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18"/>
          <w:szCs w:val="18"/>
          <w:b w:val="1"/>
          <w:bCs w:val="1"/>
          <w:color w:val="auto"/>
        </w:rPr>
        <w:t>UNITED STATES</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SECURITIES AND EXCHANGE COMMISSION</w:t>
      </w:r>
    </w:p>
    <w:p>
      <w:pPr>
        <w:spacing w:after="0" w:line="8"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Washington, D.C. 20549</w:t>
      </w:r>
    </w:p>
    <w:p>
      <w:pPr>
        <w:spacing w:after="0" w:line="20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FORM 10-Q</w:t>
      </w:r>
    </w:p>
    <w:p>
      <w:pPr>
        <w:spacing w:after="0" w:line="224" w:lineRule="exact"/>
        <w:rPr>
          <w:sz w:val="24"/>
          <w:szCs w:val="24"/>
          <w:color w:val="auto"/>
        </w:rPr>
      </w:pPr>
    </w:p>
    <w:p>
      <w:pPr>
        <w:ind w:left="3860" w:right="2880" w:hanging="973"/>
        <w:spacing w:after="0" w:line="280" w:lineRule="auto"/>
        <w:tabs>
          <w:tab w:leader="none" w:pos="3184" w:val="left"/>
        </w:tabs>
        <w:numPr>
          <w:ilvl w:val="0"/>
          <w:numId w:val="1"/>
        </w:numPr>
        <w:rPr>
          <w:rFonts w:ascii="Arial" w:cs="Arial" w:eastAsia="Arial" w:hAnsi="Arial"/>
          <w:sz w:val="18"/>
          <w:szCs w:val="18"/>
          <w:b w:val="1"/>
          <w:bCs w:val="1"/>
          <w:color w:val="auto"/>
        </w:rPr>
      </w:pPr>
      <w:r>
        <w:rPr>
          <w:rFonts w:ascii="Arial" w:cs="Arial" w:eastAsia="Arial" w:hAnsi="Arial"/>
          <w:sz w:val="18"/>
          <w:szCs w:val="18"/>
          <w:b w:val="1"/>
          <w:bCs w:val="1"/>
          <w:color w:val="auto"/>
        </w:rPr>
        <w:t>QUARTERLY REPORT PURSUANT TO SECTION 13 OR 15(d) OF THE SECURITIES EXCHANGE ACT OF 1934</w:t>
      </w:r>
    </w:p>
    <w:p>
      <w:pPr>
        <w:spacing w:after="0" w:line="163"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 the quarterly period ended February 24, 2018</w:t>
      </w:r>
    </w:p>
    <w:p>
      <w:pPr>
        <w:spacing w:after="0" w:line="228"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OR</w:t>
      </w:r>
    </w:p>
    <w:p>
      <w:pPr>
        <w:spacing w:after="0" w:line="220" w:lineRule="exact"/>
        <w:rPr>
          <w:sz w:val="24"/>
          <w:szCs w:val="24"/>
          <w:color w:val="auto"/>
        </w:rPr>
      </w:pPr>
    </w:p>
    <w:p>
      <w:pPr>
        <w:ind w:left="3860" w:right="2900" w:hanging="959"/>
        <w:spacing w:after="0" w:line="280" w:lineRule="auto"/>
        <w:tabs>
          <w:tab w:leader="none" w:pos="3053" w:val="left"/>
        </w:tabs>
        <w:numPr>
          <w:ilvl w:val="0"/>
          <w:numId w:val="2"/>
        </w:numPr>
        <w:rPr>
          <w:rFonts w:ascii="Arial" w:cs="Arial" w:eastAsia="Arial" w:hAnsi="Arial"/>
          <w:sz w:val="18"/>
          <w:szCs w:val="18"/>
          <w:b w:val="1"/>
          <w:bCs w:val="1"/>
          <w:color w:val="auto"/>
        </w:rPr>
      </w:pPr>
      <w:r>
        <w:rPr>
          <w:rFonts w:ascii="Arial" w:cs="Arial" w:eastAsia="Arial" w:hAnsi="Arial"/>
          <w:sz w:val="18"/>
          <w:szCs w:val="18"/>
          <w:b w:val="1"/>
          <w:bCs w:val="1"/>
          <w:color w:val="auto"/>
        </w:rPr>
        <w:t>] TRANSITION REPORT PURSUANT TO SECTION 13 OR 15(d) OF THE SECURITIES EXCHANGE ACT OF 1934</w:t>
      </w:r>
    </w:p>
    <w:p>
      <w:pPr>
        <w:spacing w:after="0" w:line="167" w:lineRule="exact"/>
        <w:rPr>
          <w:sz w:val="24"/>
          <w:szCs w:val="24"/>
          <w:color w:val="auto"/>
        </w:rPr>
      </w:pPr>
    </w:p>
    <w:p>
      <w:pPr>
        <w:ind w:left="2180"/>
        <w:spacing w:after="0"/>
        <w:rPr>
          <w:sz w:val="20"/>
          <w:szCs w:val="20"/>
          <w:color w:val="auto"/>
        </w:rPr>
      </w:pPr>
      <w:r>
        <w:rPr>
          <w:rFonts w:ascii="Arial" w:cs="Arial" w:eastAsia="Arial" w:hAnsi="Arial"/>
          <w:sz w:val="18"/>
          <w:szCs w:val="18"/>
          <w:color w:val="auto"/>
        </w:rPr>
        <w:t>For the transition period from _____________________________ to _______________________</w:t>
      </w:r>
    </w:p>
    <w:p>
      <w:pPr>
        <w:spacing w:after="0" w:line="224"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Commission File No. 0-209</w:t>
      </w:r>
    </w:p>
    <w:p>
      <w:pPr>
        <w:spacing w:after="0" w:line="200" w:lineRule="exact"/>
        <w:rPr>
          <w:sz w:val="24"/>
          <w:szCs w:val="24"/>
          <w:color w:val="auto"/>
        </w:rPr>
      </w:pPr>
    </w:p>
    <w:p>
      <w:pPr>
        <w:spacing w:after="0" w:line="23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BASSETT FURNITURE INDUSTRIES, INCORPORATED</w:t>
      </w:r>
    </w:p>
    <w:p>
      <w:pPr>
        <w:spacing w:after="0" w:line="23"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(Exact name of Registrant as specified in its charter)</w:t>
      </w:r>
    </w:p>
    <w:p>
      <w:pPr>
        <w:spacing w:after="0" w:line="191" w:lineRule="exact"/>
        <w:rPr>
          <w:sz w:val="24"/>
          <w:szCs w:val="24"/>
          <w:color w:val="auto"/>
        </w:rPr>
      </w:pPr>
    </w:p>
    <w:tbl>
      <w:tblPr>
        <w:tblLayout w:type="fixed"/>
        <w:tblInd w:w="3420" w:type="dxa"/>
        <w:tblCellMar>
          <w:top w:w="0" w:type="dxa"/>
          <w:left w:w="0" w:type="dxa"/>
          <w:bottom w:w="0" w:type="dxa"/>
          <w:right w:w="0" w:type="dxa"/>
        </w:tblCellMar>
      </w:tblPr>
      <w:tr>
        <w:trPr>
          <w:trHeight w:val="207"/>
        </w:trPr>
        <w:tc>
          <w:tcPr>
            <w:tcW w:w="180" w:type="dxa"/>
            <w:vAlign w:val="bottom"/>
          </w:tcPr>
          <w:p>
            <w:pPr>
              <w:spacing w:after="0"/>
              <w:rPr>
                <w:sz w:val="17"/>
                <w:szCs w:val="17"/>
                <w:color w:val="auto"/>
              </w:rPr>
            </w:pPr>
          </w:p>
        </w:tc>
        <w:tc>
          <w:tcPr>
            <w:tcW w:w="1980" w:type="dxa"/>
            <w:vAlign w:val="bottom"/>
          </w:tcPr>
          <w:p>
            <w:pPr>
              <w:spacing w:after="0"/>
              <w:rPr>
                <w:sz w:val="20"/>
                <w:szCs w:val="20"/>
                <w:color w:val="auto"/>
              </w:rPr>
            </w:pPr>
            <w:r>
              <w:rPr>
                <w:rFonts w:ascii="Arial" w:cs="Arial" w:eastAsia="Arial" w:hAnsi="Arial"/>
                <w:sz w:val="18"/>
                <w:szCs w:val="18"/>
                <w:color w:val="auto"/>
              </w:rPr>
              <w:t>Virginia</w:t>
            </w:r>
          </w:p>
        </w:tc>
        <w:tc>
          <w:tcPr>
            <w:tcW w:w="64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220" w:type="dxa"/>
            <w:vAlign w:val="bottom"/>
            <w:gridSpan w:val="2"/>
          </w:tcPr>
          <w:p>
            <w:pPr>
              <w:jc w:val="right"/>
              <w:ind w:right="180"/>
              <w:spacing w:after="0"/>
              <w:rPr>
                <w:sz w:val="20"/>
                <w:szCs w:val="20"/>
                <w:color w:val="auto"/>
              </w:rPr>
            </w:pPr>
            <w:r>
              <w:rPr>
                <w:rFonts w:ascii="Arial" w:cs="Arial" w:eastAsia="Arial" w:hAnsi="Arial"/>
                <w:sz w:val="18"/>
                <w:szCs w:val="18"/>
                <w:color w:val="auto"/>
              </w:rPr>
              <w:t>54-0135270</w:t>
            </w:r>
          </w:p>
        </w:tc>
      </w:tr>
      <w:tr>
        <w:trPr>
          <w:trHeight w:val="20"/>
        </w:trPr>
        <w:tc>
          <w:tcPr>
            <w:tcW w:w="180" w:type="dxa"/>
            <w:vAlign w:val="bottom"/>
          </w:tcPr>
          <w:p>
            <w:pPr>
              <w:spacing w:after="0" w:line="20" w:lineRule="exact"/>
              <w:rPr>
                <w:sz w:val="1"/>
                <w:szCs w:val="1"/>
                <w:color w:val="auto"/>
              </w:rPr>
            </w:pPr>
          </w:p>
        </w:tc>
        <w:tc>
          <w:tcPr>
            <w:tcW w:w="1980" w:type="dxa"/>
            <w:vAlign w:val="bottom"/>
            <w:shd w:val="clear" w:color="auto" w:fill="000000"/>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r>
      <w:tr>
        <w:trPr>
          <w:trHeight w:val="221"/>
        </w:trPr>
        <w:tc>
          <w:tcPr>
            <w:tcW w:w="2800" w:type="dxa"/>
            <w:vAlign w:val="bottom"/>
            <w:gridSpan w:val="3"/>
          </w:tcPr>
          <w:p>
            <w:pPr>
              <w:ind w:left="100"/>
              <w:spacing w:after="0"/>
              <w:rPr>
                <w:sz w:val="20"/>
                <w:szCs w:val="20"/>
                <w:color w:val="auto"/>
              </w:rPr>
            </w:pPr>
            <w:r>
              <w:rPr>
                <w:rFonts w:ascii="Arial" w:cs="Arial" w:eastAsia="Arial" w:hAnsi="Arial"/>
                <w:sz w:val="18"/>
                <w:szCs w:val="18"/>
                <w:color w:val="auto"/>
              </w:rPr>
              <w:t>(State or other jurisdiction</w:t>
            </w:r>
          </w:p>
        </w:tc>
        <w:tc>
          <w:tcPr>
            <w:tcW w:w="1780" w:type="dxa"/>
            <w:vAlign w:val="bottom"/>
            <w:gridSpan w:val="3"/>
          </w:tcPr>
          <w:p>
            <w:pPr>
              <w:ind w:left="460"/>
              <w:spacing w:after="0"/>
              <w:rPr>
                <w:sz w:val="20"/>
                <w:szCs w:val="20"/>
                <w:color w:val="auto"/>
              </w:rPr>
            </w:pPr>
            <w:r>
              <w:rPr>
                <w:rFonts w:ascii="Arial" w:cs="Arial" w:eastAsia="Arial" w:hAnsi="Arial"/>
                <w:sz w:val="18"/>
                <w:szCs w:val="18"/>
                <w:color w:val="auto"/>
                <w:w w:val="98"/>
              </w:rPr>
              <w:t>(I.R.S. Employer</w:t>
            </w:r>
          </w:p>
        </w:tc>
      </w:tr>
      <w:tr>
        <w:trPr>
          <w:trHeight w:val="230"/>
        </w:trPr>
        <w:tc>
          <w:tcPr>
            <w:tcW w:w="2800" w:type="dxa"/>
            <w:vAlign w:val="bottom"/>
            <w:gridSpan w:val="3"/>
          </w:tcPr>
          <w:p>
            <w:pPr>
              <w:spacing w:after="0"/>
              <w:rPr>
                <w:sz w:val="20"/>
                <w:szCs w:val="20"/>
                <w:color w:val="auto"/>
              </w:rPr>
            </w:pPr>
            <w:r>
              <w:rPr>
                <w:rFonts w:ascii="Arial" w:cs="Arial" w:eastAsia="Arial" w:hAnsi="Arial"/>
                <w:sz w:val="18"/>
                <w:szCs w:val="18"/>
                <w:color w:val="auto"/>
              </w:rPr>
              <w:t>of incorporation or organization)</w:t>
            </w:r>
          </w:p>
        </w:tc>
        <w:tc>
          <w:tcPr>
            <w:tcW w:w="1780" w:type="dxa"/>
            <w:vAlign w:val="bottom"/>
            <w:gridSpan w:val="3"/>
          </w:tcPr>
          <w:p>
            <w:pPr>
              <w:ind w:left="460"/>
              <w:spacing w:after="0"/>
              <w:rPr>
                <w:sz w:val="20"/>
                <w:szCs w:val="20"/>
                <w:color w:val="auto"/>
              </w:rPr>
            </w:pPr>
            <w:r>
              <w:rPr>
                <w:rFonts w:ascii="Arial" w:cs="Arial" w:eastAsia="Arial" w:hAnsi="Arial"/>
                <w:sz w:val="18"/>
                <w:szCs w:val="18"/>
                <w:color w:val="auto"/>
                <w:w w:val="92"/>
              </w:rPr>
              <w:t>Identification No.)</w:t>
            </w:r>
          </w:p>
        </w:tc>
      </w:tr>
    </w:tbl>
    <w:p>
      <w:pPr>
        <w:spacing w:after="0" w:line="201"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3525 Fairystone Park Highway</w:t>
      </w:r>
    </w:p>
    <w:p>
      <w:pPr>
        <w:spacing w:after="0" w:line="23" w:lineRule="exact"/>
        <w:rPr>
          <w:sz w:val="24"/>
          <w:szCs w:val="24"/>
          <w:color w:val="auto"/>
        </w:rPr>
      </w:pPr>
    </w:p>
    <w:p>
      <w:pPr>
        <w:jc w:val="center"/>
        <w:spacing w:after="0"/>
        <w:rPr>
          <w:sz w:val="20"/>
          <w:szCs w:val="20"/>
          <w:color w:val="auto"/>
        </w:rPr>
      </w:pPr>
      <w:r>
        <w:rPr>
          <w:rFonts w:ascii="Arial" w:cs="Arial" w:eastAsia="Arial" w:hAnsi="Arial"/>
          <w:sz w:val="18"/>
          <w:szCs w:val="18"/>
          <w:u w:val="single" w:color="auto"/>
          <w:color w:val="auto"/>
        </w:rPr>
        <w:t>Bassett, Virginia 24055</w:t>
      </w:r>
    </w:p>
    <w:p>
      <w:pPr>
        <w:spacing w:after="0" w:line="8"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(Address of principal executive offices)</w:t>
      </w:r>
    </w:p>
    <w:p>
      <w:pPr>
        <w:spacing w:after="0" w:line="8"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(Zip Code)</w:t>
      </w:r>
    </w:p>
    <w:p>
      <w:pPr>
        <w:spacing w:after="0" w:line="20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(276) 629-6000</w:t>
      </w:r>
    </w:p>
    <w:p>
      <w:pPr>
        <w:spacing w:after="0" w:line="23"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(Registrant's telephone number, including area code)</w:t>
      </w:r>
    </w:p>
    <w:p>
      <w:pPr>
        <w:spacing w:after="0" w:line="209" w:lineRule="exact"/>
        <w:rPr>
          <w:sz w:val="24"/>
          <w:szCs w:val="24"/>
          <w:color w:val="auto"/>
        </w:rPr>
      </w:pPr>
    </w:p>
    <w:p>
      <w:pPr>
        <w:jc w:val="both"/>
        <w:spacing w:after="0" w:line="276" w:lineRule="auto"/>
        <w:rPr>
          <w:sz w:val="20"/>
          <w:szCs w:val="20"/>
          <w:color w:val="auto"/>
        </w:rPr>
      </w:pPr>
      <w:r>
        <w:rPr>
          <w:rFonts w:ascii="Arial" w:cs="Arial" w:eastAsia="Arial" w:hAnsi="Arial"/>
          <w:sz w:val="18"/>
          <w:szCs w:val="18"/>
          <w:color w:val="auto"/>
        </w:rPr>
        <w:t>Indicate by check mark whether the Registrant (1) has filed all reports required to be filed by Section 13 or 15(d) of the Securities Exchange Act of 1934 during the preceding 12 months, and (2) has been subject to such filing requirements for the past 90 days. Yes __</w:t>
      </w:r>
      <w:r>
        <w:rPr>
          <w:rFonts w:ascii="Arial" w:cs="Arial" w:eastAsia="Arial" w:hAnsi="Arial"/>
          <w:sz w:val="18"/>
          <w:szCs w:val="18"/>
          <w:u w:val="single" w:color="auto"/>
          <w:color w:val="auto"/>
        </w:rPr>
        <w:t>X</w:t>
      </w:r>
      <w:r>
        <w:rPr>
          <w:rFonts w:ascii="Arial" w:cs="Arial" w:eastAsia="Arial" w:hAnsi="Arial"/>
          <w:sz w:val="18"/>
          <w:szCs w:val="18"/>
          <w:color w:val="auto"/>
        </w:rPr>
        <w:t>____No _______</w:t>
      </w:r>
    </w:p>
    <w:p>
      <w:pPr>
        <w:spacing w:after="0" w:line="170" w:lineRule="exact"/>
        <w:rPr>
          <w:sz w:val="24"/>
          <w:szCs w:val="24"/>
          <w:color w:val="auto"/>
        </w:rPr>
      </w:pPr>
    </w:p>
    <w:p>
      <w:pPr>
        <w:jc w:val="both"/>
        <w:spacing w:after="0" w:line="262" w:lineRule="auto"/>
        <w:rPr>
          <w:sz w:val="20"/>
          <w:szCs w:val="20"/>
          <w:color w:val="auto"/>
        </w:rPr>
      </w:pPr>
      <w:r>
        <w:rPr>
          <w:rFonts w:ascii="Arial" w:cs="Arial" w:eastAsia="Arial" w:hAnsi="Arial"/>
          <w:sz w:val="18"/>
          <w:szCs w:val="18"/>
          <w:color w:val="auto"/>
        </w:rPr>
        <w:t>Indicate by check mark whether the registrant has submitted electronically and posted on its corporate Web site, if any, every Interactive Data File required to be submitted and posted pursuant to Rule 405 of Regulation S-T during the preceding 12 months (or for such shorter period that the registrant was required to submit and post such files). Yes _</w:t>
      </w:r>
      <w:r>
        <w:rPr>
          <w:rFonts w:ascii="Arial" w:cs="Arial" w:eastAsia="Arial" w:hAnsi="Arial"/>
          <w:sz w:val="18"/>
          <w:szCs w:val="18"/>
          <w:u w:val="single" w:color="auto"/>
          <w:color w:val="auto"/>
        </w:rPr>
        <w:t>X</w:t>
      </w:r>
      <w:r>
        <w:rPr>
          <w:rFonts w:ascii="Arial" w:cs="Arial" w:eastAsia="Arial" w:hAnsi="Arial"/>
          <w:sz w:val="18"/>
          <w:szCs w:val="18"/>
          <w:color w:val="auto"/>
        </w:rPr>
        <w:t>___No _______</w:t>
      </w:r>
    </w:p>
    <w:p>
      <w:pPr>
        <w:spacing w:after="0" w:line="183" w:lineRule="exact"/>
        <w:rPr>
          <w:sz w:val="24"/>
          <w:szCs w:val="24"/>
          <w:color w:val="auto"/>
        </w:rPr>
      </w:pPr>
    </w:p>
    <w:p>
      <w:pPr>
        <w:jc w:val="both"/>
        <w:spacing w:after="0" w:line="262" w:lineRule="auto"/>
        <w:rPr>
          <w:sz w:val="20"/>
          <w:szCs w:val="20"/>
          <w:color w:val="auto"/>
        </w:rPr>
      </w:pPr>
      <w:r>
        <w:rPr>
          <w:rFonts w:ascii="Arial" w:cs="Arial" w:eastAsia="Arial" w:hAnsi="Arial"/>
          <w:sz w:val="18"/>
          <w:szCs w:val="18"/>
          <w:color w:val="auto"/>
        </w:rPr>
        <w:t>Indicate by check mark whether the Registrant is a large accelerated filer, an accelerated filer, a non-accelerated filer, smaller reporting company, or an emerging growth company. See the definitions of “large accelerated filer,” “accelerated filer,” “smaller reporting company,” and “emerging growth company” in Rule 12b-2 of the Exchange Act.</w:t>
      </w:r>
    </w:p>
    <w:p>
      <w:pPr>
        <w:spacing w:after="0" w:line="166" w:lineRule="exact"/>
        <w:rPr>
          <w:sz w:val="24"/>
          <w:szCs w:val="24"/>
          <w:color w:val="auto"/>
        </w:rPr>
      </w:pPr>
    </w:p>
    <w:tbl>
      <w:tblPr>
        <w:tblLayout w:type="fixed"/>
        <w:tblInd w:w="0" w:type="dxa"/>
        <w:tblCellMar>
          <w:top w:w="0" w:type="dxa"/>
          <w:left w:w="0" w:type="dxa"/>
          <w:bottom w:w="0" w:type="dxa"/>
          <w:right w:w="0" w:type="dxa"/>
        </w:tblCellMar>
      </w:tblPr>
      <w:tr>
        <w:trPr>
          <w:trHeight w:val="207"/>
        </w:trPr>
        <w:tc>
          <w:tcPr>
            <w:tcW w:w="3300" w:type="dxa"/>
            <w:vAlign w:val="bottom"/>
          </w:tcPr>
          <w:p>
            <w:pPr>
              <w:spacing w:after="0"/>
              <w:rPr>
                <w:sz w:val="20"/>
                <w:szCs w:val="20"/>
                <w:color w:val="auto"/>
              </w:rPr>
            </w:pPr>
            <w:r>
              <w:rPr>
                <w:rFonts w:ascii="Arial" w:cs="Arial" w:eastAsia="Arial" w:hAnsi="Arial"/>
                <w:sz w:val="18"/>
                <w:szCs w:val="18"/>
                <w:color w:val="auto"/>
              </w:rPr>
              <w:t>Large accelerated filer</w:t>
            </w:r>
          </w:p>
        </w:tc>
        <w:tc>
          <w:tcPr>
            <w:tcW w:w="520" w:type="dxa"/>
            <w:vAlign w:val="bottom"/>
          </w:tcPr>
          <w:p>
            <w:pPr>
              <w:spacing w:after="0"/>
              <w:rPr>
                <w:sz w:val="18"/>
                <w:szCs w:val="18"/>
                <w:color w:val="auto"/>
              </w:rPr>
            </w:pPr>
          </w:p>
        </w:tc>
        <w:tc>
          <w:tcPr>
            <w:tcW w:w="5300" w:type="dxa"/>
            <w:vAlign w:val="bottom"/>
          </w:tcPr>
          <w:p>
            <w:pPr>
              <w:ind w:left="1320"/>
              <w:spacing w:after="0"/>
              <w:rPr>
                <w:sz w:val="20"/>
                <w:szCs w:val="20"/>
                <w:color w:val="auto"/>
              </w:rPr>
            </w:pPr>
            <w:r>
              <w:rPr>
                <w:rFonts w:ascii="Arial" w:cs="Arial" w:eastAsia="Arial" w:hAnsi="Arial"/>
                <w:sz w:val="18"/>
                <w:szCs w:val="18"/>
                <w:color w:val="auto"/>
              </w:rPr>
              <w:t>Accelerated filer</w:t>
            </w:r>
          </w:p>
        </w:tc>
        <w:tc>
          <w:tcPr>
            <w:tcW w:w="680" w:type="dxa"/>
            <w:vAlign w:val="bottom"/>
            <w:gridSpan w:val="2"/>
          </w:tcPr>
          <w:p>
            <w:pPr>
              <w:jc w:val="right"/>
              <w:ind w:right="380"/>
              <w:spacing w:after="0"/>
              <w:rPr>
                <w:sz w:val="20"/>
                <w:szCs w:val="20"/>
                <w:color w:val="auto"/>
              </w:rPr>
            </w:pPr>
            <w:r>
              <w:rPr>
                <w:rFonts w:ascii="Arial" w:cs="Arial" w:eastAsia="Arial" w:hAnsi="Arial"/>
                <w:sz w:val="18"/>
                <w:szCs w:val="18"/>
                <w:color w:val="auto"/>
              </w:rPr>
              <w:t>X</w:t>
            </w:r>
          </w:p>
        </w:tc>
        <w:tc>
          <w:tcPr>
            <w:tcW w:w="0" w:type="dxa"/>
            <w:vAlign w:val="bottom"/>
          </w:tcPr>
          <w:p>
            <w:pPr>
              <w:spacing w:after="0"/>
              <w:rPr>
                <w:sz w:val="1"/>
                <w:szCs w:val="1"/>
                <w:color w:val="auto"/>
              </w:rPr>
            </w:pPr>
          </w:p>
        </w:tc>
      </w:tr>
      <w:tr>
        <w:trPr>
          <w:trHeight w:val="20"/>
        </w:trPr>
        <w:tc>
          <w:tcPr>
            <w:tcW w:w="3300" w:type="dxa"/>
            <w:vAlign w:val="bottom"/>
            <w:vMerge w:val="restart"/>
          </w:tcPr>
          <w:p>
            <w:pPr>
              <w:spacing w:after="0"/>
              <w:rPr>
                <w:sz w:val="20"/>
                <w:szCs w:val="20"/>
                <w:color w:val="auto"/>
              </w:rPr>
            </w:pPr>
            <w:r>
              <w:rPr>
                <w:rFonts w:ascii="Arial" w:cs="Arial" w:eastAsia="Arial" w:hAnsi="Arial"/>
                <w:sz w:val="18"/>
                <w:szCs w:val="18"/>
                <w:color w:val="auto"/>
              </w:rPr>
              <w:t>Non-accelerated filer</w:t>
            </w:r>
          </w:p>
        </w:tc>
        <w:tc>
          <w:tcPr>
            <w:tcW w:w="520" w:type="dxa"/>
            <w:vAlign w:val="bottom"/>
            <w:tcBorders>
              <w:bottom w:val="single" w:sz="8" w:color="auto"/>
            </w:tcBorders>
          </w:tcPr>
          <w:p>
            <w:pPr>
              <w:spacing w:after="0" w:line="20" w:lineRule="exact"/>
              <w:rPr>
                <w:sz w:val="1"/>
                <w:szCs w:val="1"/>
                <w:color w:val="auto"/>
              </w:rPr>
            </w:pPr>
          </w:p>
        </w:tc>
        <w:tc>
          <w:tcPr>
            <w:tcW w:w="5300" w:type="dxa"/>
            <w:vAlign w:val="bottom"/>
            <w:vMerge w:val="restart"/>
          </w:tcPr>
          <w:p>
            <w:pPr>
              <w:ind w:left="1320"/>
              <w:spacing w:after="0"/>
              <w:rPr>
                <w:sz w:val="20"/>
                <w:szCs w:val="20"/>
                <w:color w:val="auto"/>
              </w:rPr>
            </w:pPr>
            <w:r>
              <w:rPr>
                <w:rFonts w:ascii="Arial" w:cs="Arial" w:eastAsia="Arial" w:hAnsi="Arial"/>
                <w:sz w:val="18"/>
                <w:szCs w:val="18"/>
                <w:color w:val="auto"/>
              </w:rPr>
              <w:t>(Do not check if a smaller reporting company)</w:t>
            </w:r>
          </w:p>
        </w:tc>
        <w:tc>
          <w:tcPr>
            <w:tcW w:w="660" w:type="dxa"/>
            <w:vAlign w:val="bottom"/>
            <w:tcBorders>
              <w:top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9"/>
        </w:trPr>
        <w:tc>
          <w:tcPr>
            <w:tcW w:w="3300" w:type="dxa"/>
            <w:vAlign w:val="bottom"/>
            <w:vMerge w:val="continue"/>
          </w:tcPr>
          <w:p>
            <w:pPr>
              <w:spacing w:after="0"/>
              <w:rPr>
                <w:sz w:val="18"/>
                <w:szCs w:val="18"/>
                <w:color w:val="auto"/>
              </w:rPr>
            </w:pPr>
          </w:p>
        </w:tc>
        <w:tc>
          <w:tcPr>
            <w:tcW w:w="520" w:type="dxa"/>
            <w:vAlign w:val="bottom"/>
            <w:tcBorders>
              <w:bottom w:val="single" w:sz="8" w:color="auto"/>
            </w:tcBorders>
          </w:tcPr>
          <w:p>
            <w:pPr>
              <w:spacing w:after="0"/>
              <w:rPr>
                <w:sz w:val="18"/>
                <w:szCs w:val="18"/>
                <w:color w:val="auto"/>
              </w:rPr>
            </w:pPr>
          </w:p>
        </w:tc>
        <w:tc>
          <w:tcPr>
            <w:tcW w:w="5300" w:type="dxa"/>
            <w:vAlign w:val="bottom"/>
            <w:vMerge w:val="continue"/>
          </w:tcPr>
          <w:p>
            <w:pPr>
              <w:spacing w:after="0"/>
              <w:rPr>
                <w:sz w:val="18"/>
                <w:szCs w:val="18"/>
                <w:color w:val="auto"/>
              </w:rPr>
            </w:pPr>
          </w:p>
        </w:tc>
        <w:tc>
          <w:tcPr>
            <w:tcW w:w="6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4"/>
        </w:trPr>
        <w:tc>
          <w:tcPr>
            <w:tcW w:w="330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5300" w:type="dxa"/>
            <w:vAlign w:val="bottom"/>
          </w:tcPr>
          <w:p>
            <w:pPr>
              <w:ind w:left="1320"/>
              <w:spacing w:after="0" w:line="195" w:lineRule="exact"/>
              <w:rPr>
                <w:sz w:val="20"/>
                <w:szCs w:val="20"/>
                <w:color w:val="auto"/>
              </w:rPr>
            </w:pPr>
            <w:r>
              <w:rPr>
                <w:rFonts w:ascii="Arial" w:cs="Arial" w:eastAsia="Arial" w:hAnsi="Arial"/>
                <w:sz w:val="18"/>
                <w:szCs w:val="18"/>
                <w:color w:val="auto"/>
              </w:rPr>
              <w:t>Smaller reporting company</w:t>
            </w:r>
          </w:p>
        </w:tc>
        <w:tc>
          <w:tcPr>
            <w:tcW w:w="680" w:type="dxa"/>
            <w:vAlign w:val="bottom"/>
            <w:gridSpan w:val="2"/>
          </w:tcPr>
          <w:p>
            <w:pPr>
              <w:jc w:val="right"/>
              <w:spacing w:after="0" w:line="195" w:lineRule="exact"/>
              <w:rPr>
                <w:sz w:val="20"/>
                <w:szCs w:val="20"/>
                <w:color w:val="auto"/>
              </w:rPr>
            </w:pPr>
            <w:r>
              <w:rPr>
                <w:rFonts w:ascii="Arial" w:cs="Arial" w:eastAsia="Arial" w:hAnsi="Arial"/>
                <w:sz w:val="18"/>
                <w:szCs w:val="18"/>
                <w:color w:val="auto"/>
                <w:w w:val="94"/>
              </w:rPr>
              <w:t>_______</w:t>
            </w:r>
          </w:p>
        </w:tc>
        <w:tc>
          <w:tcPr>
            <w:tcW w:w="0" w:type="dxa"/>
            <w:vAlign w:val="bottom"/>
          </w:tcPr>
          <w:p>
            <w:pPr>
              <w:spacing w:after="0"/>
              <w:rPr>
                <w:sz w:val="1"/>
                <w:szCs w:val="1"/>
                <w:color w:val="auto"/>
              </w:rPr>
            </w:pPr>
          </w:p>
        </w:tc>
      </w:tr>
      <w:tr>
        <w:trPr>
          <w:trHeight w:val="230"/>
        </w:trPr>
        <w:tc>
          <w:tcPr>
            <w:tcW w:w="33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5300" w:type="dxa"/>
            <w:vAlign w:val="bottom"/>
          </w:tcPr>
          <w:p>
            <w:pPr>
              <w:ind w:left="1320"/>
              <w:spacing w:after="0"/>
              <w:rPr>
                <w:sz w:val="20"/>
                <w:szCs w:val="20"/>
                <w:color w:val="auto"/>
              </w:rPr>
            </w:pPr>
            <w:r>
              <w:rPr>
                <w:rFonts w:ascii="Arial" w:cs="Arial" w:eastAsia="Arial" w:hAnsi="Arial"/>
                <w:sz w:val="18"/>
                <w:szCs w:val="18"/>
                <w:color w:val="auto"/>
              </w:rPr>
              <w:t>Emerging growth company</w:t>
            </w:r>
          </w:p>
        </w:tc>
        <w:tc>
          <w:tcPr>
            <w:tcW w:w="680" w:type="dxa"/>
            <w:vAlign w:val="bottom"/>
            <w:gridSpan w:val="2"/>
          </w:tcPr>
          <w:p>
            <w:pPr>
              <w:jc w:val="right"/>
              <w:spacing w:after="0"/>
              <w:rPr>
                <w:sz w:val="20"/>
                <w:szCs w:val="20"/>
                <w:color w:val="auto"/>
              </w:rPr>
            </w:pPr>
            <w:r>
              <w:rPr>
                <w:rFonts w:ascii="Arial" w:cs="Arial" w:eastAsia="Arial" w:hAnsi="Arial"/>
                <w:sz w:val="18"/>
                <w:szCs w:val="18"/>
                <w:color w:val="auto"/>
                <w:w w:val="94"/>
              </w:rPr>
              <w:t>_______</w:t>
            </w:r>
          </w:p>
        </w:tc>
        <w:tc>
          <w:tcPr>
            <w:tcW w:w="0" w:type="dxa"/>
            <w:vAlign w:val="bottom"/>
          </w:tcPr>
          <w:p>
            <w:pPr>
              <w:spacing w:after="0"/>
              <w:rPr>
                <w:sz w:val="1"/>
                <w:szCs w:val="1"/>
                <w:color w:val="auto"/>
              </w:rPr>
            </w:pPr>
          </w:p>
        </w:tc>
      </w:tr>
    </w:tbl>
    <w:p>
      <w:pPr>
        <w:spacing w:after="0" w:line="201" w:lineRule="exact"/>
        <w:rPr>
          <w:sz w:val="24"/>
          <w:szCs w:val="24"/>
          <w:color w:val="auto"/>
        </w:rPr>
      </w:pPr>
    </w:p>
    <w:p>
      <w:pPr>
        <w:spacing w:after="0" w:line="276" w:lineRule="auto"/>
        <w:rPr>
          <w:sz w:val="20"/>
          <w:szCs w:val="20"/>
          <w:color w:val="auto"/>
        </w:rPr>
      </w:pPr>
      <w:r>
        <w:rPr>
          <w:rFonts w:ascii="Arial" w:cs="Arial" w:eastAsia="Arial" w:hAnsi="Arial"/>
          <w:sz w:val="18"/>
          <w:szCs w:val="18"/>
          <w:color w:val="auto"/>
        </w:rPr>
        <w:t>If an emerging growth company, indicate by check mark if the registrant has elected not to use the extended transition period for complying with any new or revised financial accounting standards provided pursuant to Section 13(a) of the Exchange Act. ________</w:t>
      </w:r>
    </w:p>
    <w:p>
      <w:pPr>
        <w:spacing w:after="0" w:line="170"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is a shell company (as defined in Rule 12b-2 of the Exchange Act). Yes ______No ___</w:t>
      </w:r>
      <w:r>
        <w:rPr>
          <w:rFonts w:ascii="Arial" w:cs="Arial" w:eastAsia="Arial" w:hAnsi="Arial"/>
          <w:sz w:val="18"/>
          <w:szCs w:val="18"/>
          <w:u w:val="single" w:color="auto"/>
          <w:color w:val="auto"/>
        </w:rPr>
        <w:t>X</w:t>
      </w:r>
      <w:r>
        <w:rPr>
          <w:rFonts w:ascii="Arial" w:cs="Arial" w:eastAsia="Arial" w:hAnsi="Arial"/>
          <w:sz w:val="18"/>
          <w:szCs w:val="18"/>
          <w:color w:val="auto"/>
        </w:rPr>
        <w:t>____</w:t>
      </w:r>
    </w:p>
    <w:p>
      <w:pPr>
        <w:spacing w:after="0" w:line="224" w:lineRule="exact"/>
        <w:rPr>
          <w:sz w:val="24"/>
          <w:szCs w:val="24"/>
          <w:color w:val="auto"/>
        </w:rPr>
      </w:pPr>
    </w:p>
    <w:p>
      <w:pPr>
        <w:spacing w:after="0"/>
        <w:rPr>
          <w:sz w:val="20"/>
          <w:szCs w:val="20"/>
          <w:color w:val="auto"/>
        </w:rPr>
      </w:pPr>
      <w:r>
        <w:rPr>
          <w:rFonts w:ascii="Arial" w:cs="Arial" w:eastAsia="Arial" w:hAnsi="Arial"/>
          <w:sz w:val="18"/>
          <w:szCs w:val="18"/>
          <w:color w:val="auto"/>
        </w:rPr>
        <w:t>At March 21, 2018, 10,755,292 shares of common stock of the Registrant were outstanding.</w:t>
      </w:r>
    </w:p>
    <w:p>
      <w:pPr>
        <w:spacing w:after="0" w:line="224" w:lineRule="exact"/>
        <w:rPr>
          <w:sz w:val="24"/>
          <w:szCs w:val="24"/>
          <w:color w:val="auto"/>
        </w:rPr>
      </w:pPr>
    </w:p>
    <w:p>
      <w:pPr>
        <w:ind w:left="5460"/>
        <w:spacing w:after="0"/>
        <w:rPr>
          <w:sz w:val="20"/>
          <w:szCs w:val="20"/>
          <w:color w:val="auto"/>
        </w:rPr>
      </w:pPr>
      <w:r>
        <w:rPr>
          <w:rFonts w:ascii="Arial" w:cs="Arial" w:eastAsia="Arial" w:hAnsi="Arial"/>
          <w:sz w:val="18"/>
          <w:szCs w:val="18"/>
          <w:color w:val="auto"/>
        </w:rPr>
        <w:t>1 of 39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82550</wp:posOffset>
            </wp:positionV>
            <wp:extent cx="7247255" cy="17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7255" cy="17145"/>
                    </a:xfrm>
                    <a:prstGeom prst="rect">
                      <a:avLst/>
                    </a:prstGeom>
                    <a:noFill/>
                  </pic:spPr>
                </pic:pic>
              </a:graphicData>
            </a:graphic>
          </wp:anchor>
        </w:drawing>
      </w:r>
    </w:p>
    <w:p>
      <w:pPr>
        <w:sectPr>
          <w:pgSz w:w="11900" w:h="16838" w:orient="portrait"/>
          <w:cols w:equalWidth="0" w:num="1">
            <w:col w:w="11420"/>
          </w:cols>
          <w:pgMar w:left="240" w:top="471" w:right="239" w:bottom="1440" w:gutter="0" w:footer="0" w:header="0"/>
        </w:sectPr>
      </w:pPr>
    </w:p>
    <w:bookmarkStart w:id="1" w:name="page2"/>
    <w:bookmarkEnd w:id="1"/>
    <w:p>
      <w:pPr>
        <w:jc w:val="center"/>
        <w:spacing w:after="0"/>
        <w:rPr>
          <w:sz w:val="20"/>
          <w:szCs w:val="20"/>
          <w:color w:val="auto"/>
        </w:rPr>
      </w:pPr>
      <w:r>
        <w:rPr>
          <w:rFonts w:ascii="Arial" w:cs="Arial" w:eastAsia="Arial" w:hAnsi="Arial"/>
          <w:sz w:val="18"/>
          <w:szCs w:val="18"/>
          <w:color w:val="auto"/>
        </w:rPr>
        <w:t>BASSETT FURNITURE INDUSTRIES, INCORPORATED AND SUBSIDIARIES</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TABLE OF CONTENTS</w:t>
      </w:r>
    </w:p>
    <w:p>
      <w:pPr>
        <w:spacing w:after="0" w:line="224" w:lineRule="exact"/>
        <w:rPr>
          <w:sz w:val="20"/>
          <w:szCs w:val="20"/>
          <w:color w:val="auto"/>
        </w:rPr>
      </w:pPr>
    </w:p>
    <w:p>
      <w:pPr>
        <w:spacing w:after="0"/>
        <w:tabs>
          <w:tab w:leader="none" w:pos="10260" w:val="left"/>
        </w:tabs>
        <w:rPr>
          <w:sz w:val="20"/>
          <w:szCs w:val="20"/>
          <w:color w:val="auto"/>
        </w:rPr>
      </w:pPr>
      <w:r>
        <w:rPr>
          <w:rFonts w:ascii="Arial" w:cs="Arial" w:eastAsia="Arial" w:hAnsi="Arial"/>
          <w:sz w:val="18"/>
          <w:szCs w:val="18"/>
          <w:color w:val="auto"/>
        </w:rPr>
        <w:t>ITEM</w:t>
      </w:r>
      <w:r>
        <w:rPr>
          <w:sz w:val="20"/>
          <w:szCs w:val="20"/>
          <w:color w:val="auto"/>
        </w:rPr>
        <w:tab/>
      </w:r>
      <w:r>
        <w:rPr>
          <w:rFonts w:ascii="Arial" w:cs="Arial" w:eastAsia="Arial" w:hAnsi="Arial"/>
          <w:sz w:val="18"/>
          <w:szCs w:val="18"/>
          <w:color w:val="auto"/>
        </w:rPr>
        <w:t>PAGE</w:t>
      </w:r>
    </w:p>
    <w:p>
      <w:pPr>
        <w:spacing w:after="0" w:line="224" w:lineRule="exact"/>
        <w:rPr>
          <w:sz w:val="20"/>
          <w:szCs w:val="20"/>
          <w:color w:val="auto"/>
        </w:rPr>
      </w:pPr>
    </w:p>
    <w:p>
      <w:pPr>
        <w:jc w:val="center"/>
        <w:ind w:left="460"/>
        <w:spacing w:after="0"/>
        <w:rPr>
          <w:sz w:val="20"/>
          <w:szCs w:val="20"/>
          <w:color w:val="auto"/>
        </w:rPr>
      </w:pPr>
      <w:r>
        <w:rPr>
          <w:rFonts w:ascii="Arial" w:cs="Arial" w:eastAsia="Arial" w:hAnsi="Arial"/>
          <w:sz w:val="18"/>
          <w:szCs w:val="18"/>
          <w:color w:val="auto"/>
        </w:rPr>
        <w:t>PART I - FINANCIAL INFORMATION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247255" cy="136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7255" cy="136525"/>
                    </a:xfrm>
                    <a:prstGeom prst="rect">
                      <a:avLst/>
                    </a:prstGeom>
                    <a:noFill/>
                  </pic:spPr>
                </pic:pic>
              </a:graphicData>
            </a:graphic>
          </wp:anchor>
        </w:drawing>
      </w:r>
    </w:p>
    <w:p>
      <w:pPr>
        <w:spacing w:after="0" w:line="204" w:lineRule="exact"/>
        <w:rPr>
          <w:sz w:val="20"/>
          <w:szCs w:val="20"/>
          <w:color w:val="auto"/>
        </w:rPr>
      </w:pPr>
    </w:p>
    <w:p>
      <w:pPr>
        <w:ind w:left="460" w:right="1260" w:hanging="452"/>
        <w:spacing w:after="0" w:line="276" w:lineRule="auto"/>
        <w:tabs>
          <w:tab w:leader="none" w:pos="460" w:val="left"/>
        </w:tabs>
        <w:numPr>
          <w:ilvl w:val="0"/>
          <w:numId w:val="3"/>
        </w:numPr>
        <w:rPr>
          <w:rFonts w:ascii="Arial" w:cs="Arial" w:eastAsia="Arial" w:hAnsi="Arial"/>
          <w:sz w:val="18"/>
          <w:szCs w:val="18"/>
          <w:color w:val="auto"/>
        </w:rPr>
      </w:pPr>
      <w:r>
        <w:rPr>
          <w:rFonts w:ascii="Arial" w:cs="Arial" w:eastAsia="Arial" w:hAnsi="Arial"/>
          <w:sz w:val="18"/>
          <w:szCs w:val="18"/>
          <w:color w:val="auto"/>
        </w:rPr>
        <w:t>Condensed Consolidated Financial Statements as of February 24, 2018 (unaudited) and November 25, 2017 and for the quarters ended February 24, 2018 (unaudited) and February 25, 2017 (unaudited)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-292735</wp:posOffset>
            </wp:positionV>
            <wp:extent cx="7247255" cy="2736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7255" cy="273685"/>
                    </a:xfrm>
                    <a:prstGeom prst="rect">
                      <a:avLst/>
                    </a:prstGeom>
                    <a:noFill/>
                  </pic:spPr>
                </pic:pic>
              </a:graphicData>
            </a:graphic>
          </wp:anchor>
        </w:drawing>
      </w:r>
    </w:p>
    <w:p>
      <w:pPr>
        <w:spacing w:after="0" w:line="164" w:lineRule="exact"/>
        <w:rPr>
          <w:sz w:val="20"/>
          <w:szCs w:val="20"/>
          <w:color w:val="auto"/>
        </w:rPr>
      </w:pPr>
    </w:p>
    <w:tbl>
      <w:tblPr>
        <w:tblLayout w:type="fixed"/>
        <w:tblInd w:w="0" w:type="dxa"/>
        <w:tblCellMar>
          <w:top w:w="0" w:type="dxa"/>
          <w:left w:w="0" w:type="dxa"/>
          <w:bottom w:w="0" w:type="dxa"/>
          <w:right w:w="0" w:type="dxa"/>
        </w:tblCellMar>
      </w:tblPr>
      <w:tr>
        <w:trPr>
          <w:trHeight w:val="215"/>
        </w:trPr>
        <w:tc>
          <w:tcPr>
            <w:tcW w:w="20" w:type="dxa"/>
            <w:vAlign w:val="bottom"/>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8620" w:type="dxa"/>
            <w:vAlign w:val="bottom"/>
            <w:shd w:val="clear" w:color="auto" w:fill="CCEEFF"/>
          </w:tcPr>
          <w:p>
            <w:pPr>
              <w:ind w:left="480"/>
              <w:spacing w:after="0"/>
              <w:rPr>
                <w:sz w:val="20"/>
                <w:szCs w:val="20"/>
                <w:color w:val="auto"/>
              </w:rPr>
            </w:pPr>
            <w:r>
              <w:rPr>
                <w:rFonts w:ascii="Arial" w:cs="Arial" w:eastAsia="Arial" w:hAnsi="Arial"/>
                <w:sz w:val="18"/>
                <w:szCs w:val="18"/>
                <w:color w:val="auto"/>
              </w:rPr>
              <w:t>Condensed Consolidated Statements of Operations and Retained Earnings</w:t>
            </w:r>
          </w:p>
        </w:tc>
        <w:tc>
          <w:tcPr>
            <w:tcW w:w="2500" w:type="dxa"/>
            <w:vAlign w:val="bottom"/>
            <w:shd w:val="clear" w:color="auto" w:fill="CCEEFF"/>
          </w:tcPr>
          <w:p>
            <w:pPr>
              <w:ind w:left="1360"/>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620" w:type="dxa"/>
            <w:vAlign w:val="bottom"/>
          </w:tcPr>
          <w:p>
            <w:pPr>
              <w:spacing w:after="0"/>
              <w:rPr>
                <w:sz w:val="18"/>
                <w:szCs w:val="18"/>
                <w:color w:val="auto"/>
              </w:rPr>
            </w:pPr>
          </w:p>
        </w:tc>
        <w:tc>
          <w:tcPr>
            <w:tcW w:w="2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8620" w:type="dxa"/>
            <w:vAlign w:val="bottom"/>
            <w:shd w:val="clear" w:color="auto" w:fill="CCEEFF"/>
          </w:tcPr>
          <w:p>
            <w:pPr>
              <w:ind w:left="480"/>
              <w:spacing w:after="0"/>
              <w:rPr>
                <w:sz w:val="20"/>
                <w:szCs w:val="20"/>
                <w:color w:val="auto"/>
              </w:rPr>
            </w:pPr>
            <w:r>
              <w:rPr>
                <w:rFonts w:ascii="Arial" w:cs="Arial" w:eastAsia="Arial" w:hAnsi="Arial"/>
                <w:sz w:val="18"/>
                <w:szCs w:val="18"/>
                <w:color w:val="auto"/>
              </w:rPr>
              <w:t>Condensed Consolidated Statements of Comprehensive Income (Loss)</w:t>
            </w:r>
          </w:p>
        </w:tc>
        <w:tc>
          <w:tcPr>
            <w:tcW w:w="2500" w:type="dxa"/>
            <w:vAlign w:val="bottom"/>
            <w:shd w:val="clear" w:color="auto" w:fill="CCEEFF"/>
          </w:tcPr>
          <w:p>
            <w:pPr>
              <w:ind w:left="1360"/>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620" w:type="dxa"/>
            <w:vAlign w:val="bottom"/>
          </w:tcPr>
          <w:p>
            <w:pPr>
              <w:spacing w:after="0"/>
              <w:rPr>
                <w:sz w:val="18"/>
                <w:szCs w:val="18"/>
                <w:color w:val="auto"/>
              </w:rPr>
            </w:pPr>
          </w:p>
        </w:tc>
        <w:tc>
          <w:tcPr>
            <w:tcW w:w="2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8620" w:type="dxa"/>
            <w:vAlign w:val="bottom"/>
            <w:shd w:val="clear" w:color="auto" w:fill="CCEEFF"/>
          </w:tcPr>
          <w:p>
            <w:pPr>
              <w:ind w:left="480"/>
              <w:spacing w:after="0"/>
              <w:rPr>
                <w:sz w:val="20"/>
                <w:szCs w:val="20"/>
                <w:color w:val="auto"/>
              </w:rPr>
            </w:pPr>
            <w:r>
              <w:rPr>
                <w:rFonts w:ascii="Arial" w:cs="Arial" w:eastAsia="Arial" w:hAnsi="Arial"/>
                <w:sz w:val="18"/>
                <w:szCs w:val="18"/>
                <w:color w:val="auto"/>
              </w:rPr>
              <w:t>Condensed Consolidated Balance Sheets</w:t>
            </w:r>
          </w:p>
        </w:tc>
        <w:tc>
          <w:tcPr>
            <w:tcW w:w="2500" w:type="dxa"/>
            <w:vAlign w:val="bottom"/>
            <w:shd w:val="clear" w:color="auto" w:fill="CCEEFF"/>
          </w:tcPr>
          <w:p>
            <w:pPr>
              <w:ind w:left="1360"/>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620" w:type="dxa"/>
            <w:vAlign w:val="bottom"/>
          </w:tcPr>
          <w:p>
            <w:pPr>
              <w:spacing w:after="0"/>
              <w:rPr>
                <w:sz w:val="18"/>
                <w:szCs w:val="18"/>
                <w:color w:val="auto"/>
              </w:rPr>
            </w:pPr>
          </w:p>
        </w:tc>
        <w:tc>
          <w:tcPr>
            <w:tcW w:w="2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8620" w:type="dxa"/>
            <w:vAlign w:val="bottom"/>
            <w:shd w:val="clear" w:color="auto" w:fill="CCEEFF"/>
          </w:tcPr>
          <w:p>
            <w:pPr>
              <w:ind w:left="480"/>
              <w:spacing w:after="0"/>
              <w:rPr>
                <w:sz w:val="20"/>
                <w:szCs w:val="20"/>
                <w:color w:val="auto"/>
              </w:rPr>
            </w:pPr>
            <w:r>
              <w:rPr>
                <w:rFonts w:ascii="Arial" w:cs="Arial" w:eastAsia="Arial" w:hAnsi="Arial"/>
                <w:sz w:val="18"/>
                <w:szCs w:val="18"/>
                <w:color w:val="auto"/>
              </w:rPr>
              <w:t>Condensed Consolidated Statements of Cash Flows</w:t>
            </w:r>
          </w:p>
        </w:tc>
        <w:tc>
          <w:tcPr>
            <w:tcW w:w="2500" w:type="dxa"/>
            <w:vAlign w:val="bottom"/>
            <w:shd w:val="clear" w:color="auto" w:fill="CCEEFF"/>
          </w:tcPr>
          <w:p>
            <w:pPr>
              <w:ind w:left="1360"/>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620" w:type="dxa"/>
            <w:vAlign w:val="bottom"/>
          </w:tcPr>
          <w:p>
            <w:pPr>
              <w:spacing w:after="0"/>
              <w:rPr>
                <w:sz w:val="18"/>
                <w:szCs w:val="18"/>
                <w:color w:val="auto"/>
              </w:rPr>
            </w:pPr>
          </w:p>
        </w:tc>
        <w:tc>
          <w:tcPr>
            <w:tcW w:w="2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8620" w:type="dxa"/>
            <w:vAlign w:val="bottom"/>
            <w:shd w:val="clear" w:color="auto" w:fill="CCEEFF"/>
          </w:tcPr>
          <w:p>
            <w:pPr>
              <w:ind w:left="480"/>
              <w:spacing w:after="0"/>
              <w:rPr>
                <w:sz w:val="20"/>
                <w:szCs w:val="20"/>
                <w:color w:val="auto"/>
              </w:rPr>
            </w:pPr>
            <w:r>
              <w:rPr>
                <w:rFonts w:ascii="Arial" w:cs="Arial" w:eastAsia="Arial" w:hAnsi="Arial"/>
                <w:sz w:val="18"/>
                <w:szCs w:val="18"/>
                <w:color w:val="auto"/>
              </w:rPr>
              <w:t>Notes to Condensed Consolidated Financial Statements</w:t>
            </w:r>
          </w:p>
        </w:tc>
        <w:tc>
          <w:tcPr>
            <w:tcW w:w="2500" w:type="dxa"/>
            <w:vAlign w:val="bottom"/>
            <w:shd w:val="clear" w:color="auto" w:fill="CCEEFF"/>
          </w:tcPr>
          <w:p>
            <w:pPr>
              <w:ind w:left="1360"/>
              <w:spacing w:after="0"/>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215"/>
        </w:trPr>
        <w:tc>
          <w:tcPr>
            <w:tcW w:w="20" w:type="dxa"/>
            <w:vAlign w:val="bottom"/>
            <w:vMerge w:val="restart"/>
          </w:tcPr>
          <w:p>
            <w:pPr>
              <w:spacing w:after="0"/>
              <w:rPr>
                <w:sz w:val="18"/>
                <w:szCs w:val="18"/>
                <w:color w:val="auto"/>
              </w:rPr>
            </w:pPr>
          </w:p>
        </w:tc>
        <w:tc>
          <w:tcPr>
            <w:tcW w:w="280" w:type="dxa"/>
            <w:vAlign w:val="bottom"/>
          </w:tcPr>
          <w:p>
            <w:pPr>
              <w:spacing w:after="0"/>
              <w:rPr>
                <w:sz w:val="18"/>
                <w:szCs w:val="18"/>
                <w:color w:val="auto"/>
              </w:rPr>
            </w:pPr>
          </w:p>
        </w:tc>
        <w:tc>
          <w:tcPr>
            <w:tcW w:w="8620" w:type="dxa"/>
            <w:vAlign w:val="bottom"/>
          </w:tcPr>
          <w:p>
            <w:pPr>
              <w:spacing w:after="0"/>
              <w:rPr>
                <w:sz w:val="18"/>
                <w:szCs w:val="18"/>
                <w:color w:val="auto"/>
              </w:rPr>
            </w:pPr>
          </w:p>
        </w:tc>
        <w:tc>
          <w:tcPr>
            <w:tcW w:w="2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vMerge w:val="continue"/>
          </w:tcPr>
          <w:p>
            <w:pPr>
              <w:spacing w:after="0"/>
              <w:rPr>
                <w:sz w:val="18"/>
                <w:szCs w:val="18"/>
                <w:color w:val="auto"/>
              </w:rPr>
            </w:pPr>
          </w:p>
        </w:tc>
        <w:tc>
          <w:tcPr>
            <w:tcW w:w="280" w:type="dxa"/>
            <w:vAlign w:val="bottom"/>
            <w:shd w:val="clear" w:color="auto" w:fill="CCEEFF"/>
          </w:tcPr>
          <w:p>
            <w:pPr>
              <w:jc w:val="right"/>
              <w:ind w:right="76"/>
              <w:spacing w:after="0"/>
              <w:rPr>
                <w:sz w:val="20"/>
                <w:szCs w:val="20"/>
                <w:color w:val="auto"/>
              </w:rPr>
            </w:pPr>
            <w:r>
              <w:rPr>
                <w:rFonts w:ascii="Arial" w:cs="Arial" w:eastAsia="Arial" w:hAnsi="Arial"/>
                <w:sz w:val="17"/>
                <w:szCs w:val="17"/>
                <w:color w:val="auto"/>
                <w:w w:val="70"/>
              </w:rPr>
              <w:t>2.</w:t>
            </w:r>
          </w:p>
        </w:tc>
        <w:tc>
          <w:tcPr>
            <w:tcW w:w="86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Management's Discussion and Analysis of Financial Condition and Results of Operations</w:t>
            </w:r>
          </w:p>
        </w:tc>
        <w:tc>
          <w:tcPr>
            <w:tcW w:w="2500" w:type="dxa"/>
            <w:vAlign w:val="bottom"/>
            <w:shd w:val="clear" w:color="auto" w:fill="CCEEFF"/>
          </w:tcPr>
          <w:p>
            <w:pPr>
              <w:ind w:left="1360"/>
              <w:spacing w:after="0"/>
              <w:rPr>
                <w:sz w:val="20"/>
                <w:szCs w:val="20"/>
                <w:color w:val="auto"/>
              </w:rPr>
            </w:pPr>
            <w:r>
              <w:rPr>
                <w:rFonts w:ascii="Arial" w:cs="Arial" w:eastAsia="Arial" w:hAnsi="Arial"/>
                <w:sz w:val="18"/>
                <w:szCs w:val="18"/>
                <w:color w:val="auto"/>
              </w:rPr>
              <w:t>24</w:t>
            </w:r>
          </w:p>
        </w:tc>
        <w:tc>
          <w:tcPr>
            <w:tcW w:w="0" w:type="dxa"/>
            <w:vAlign w:val="bottom"/>
          </w:tcPr>
          <w:p>
            <w:pPr>
              <w:spacing w:after="0"/>
              <w:rPr>
                <w:sz w:val="1"/>
                <w:szCs w:val="1"/>
                <w:color w:val="auto"/>
              </w:rPr>
            </w:pPr>
          </w:p>
        </w:tc>
      </w:tr>
      <w:tr>
        <w:trPr>
          <w:trHeight w:val="215"/>
        </w:trPr>
        <w:tc>
          <w:tcPr>
            <w:tcW w:w="20" w:type="dxa"/>
            <w:vAlign w:val="bottom"/>
            <w:vMerge w:val="restart"/>
          </w:tcPr>
          <w:p>
            <w:pPr>
              <w:spacing w:after="0"/>
              <w:rPr>
                <w:sz w:val="18"/>
                <w:szCs w:val="18"/>
                <w:color w:val="auto"/>
              </w:rPr>
            </w:pPr>
          </w:p>
        </w:tc>
        <w:tc>
          <w:tcPr>
            <w:tcW w:w="280" w:type="dxa"/>
            <w:vAlign w:val="bottom"/>
          </w:tcPr>
          <w:p>
            <w:pPr>
              <w:spacing w:after="0"/>
              <w:rPr>
                <w:sz w:val="18"/>
                <w:szCs w:val="18"/>
                <w:color w:val="auto"/>
              </w:rPr>
            </w:pPr>
          </w:p>
        </w:tc>
        <w:tc>
          <w:tcPr>
            <w:tcW w:w="8620" w:type="dxa"/>
            <w:vAlign w:val="bottom"/>
          </w:tcPr>
          <w:p>
            <w:pPr>
              <w:spacing w:after="0"/>
              <w:rPr>
                <w:sz w:val="18"/>
                <w:szCs w:val="18"/>
                <w:color w:val="auto"/>
              </w:rPr>
            </w:pPr>
          </w:p>
        </w:tc>
        <w:tc>
          <w:tcPr>
            <w:tcW w:w="2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vMerge w:val="continue"/>
          </w:tcPr>
          <w:p>
            <w:pPr>
              <w:spacing w:after="0"/>
              <w:rPr>
                <w:sz w:val="18"/>
                <w:szCs w:val="18"/>
                <w:color w:val="auto"/>
              </w:rPr>
            </w:pPr>
          </w:p>
        </w:tc>
        <w:tc>
          <w:tcPr>
            <w:tcW w:w="280" w:type="dxa"/>
            <w:vAlign w:val="bottom"/>
            <w:shd w:val="clear" w:color="auto" w:fill="CCEEFF"/>
          </w:tcPr>
          <w:p>
            <w:pPr>
              <w:jc w:val="right"/>
              <w:ind w:right="76"/>
              <w:spacing w:after="0"/>
              <w:rPr>
                <w:sz w:val="20"/>
                <w:szCs w:val="20"/>
                <w:color w:val="auto"/>
              </w:rPr>
            </w:pPr>
            <w:r>
              <w:rPr>
                <w:rFonts w:ascii="Arial" w:cs="Arial" w:eastAsia="Arial" w:hAnsi="Arial"/>
                <w:sz w:val="17"/>
                <w:szCs w:val="17"/>
                <w:color w:val="auto"/>
                <w:w w:val="70"/>
              </w:rPr>
              <w:t>3.</w:t>
            </w:r>
          </w:p>
        </w:tc>
        <w:tc>
          <w:tcPr>
            <w:tcW w:w="86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Quantitative and Qualitative Disclosures About Market Risk</w:t>
            </w:r>
          </w:p>
        </w:tc>
        <w:tc>
          <w:tcPr>
            <w:tcW w:w="2500" w:type="dxa"/>
            <w:vAlign w:val="bottom"/>
            <w:shd w:val="clear" w:color="auto" w:fill="CCEEFF"/>
          </w:tcPr>
          <w:p>
            <w:pPr>
              <w:ind w:left="1360"/>
              <w:spacing w:after="0"/>
              <w:rPr>
                <w:sz w:val="20"/>
                <w:szCs w:val="20"/>
                <w:color w:val="auto"/>
              </w:rPr>
            </w:pPr>
            <w:r>
              <w:rPr>
                <w:rFonts w:ascii="Arial" w:cs="Arial" w:eastAsia="Arial" w:hAnsi="Arial"/>
                <w:sz w:val="18"/>
                <w:szCs w:val="18"/>
                <w:color w:val="auto"/>
              </w:rPr>
              <w:t>35</w:t>
            </w:r>
          </w:p>
        </w:tc>
        <w:tc>
          <w:tcPr>
            <w:tcW w:w="0" w:type="dxa"/>
            <w:vAlign w:val="bottom"/>
          </w:tcPr>
          <w:p>
            <w:pPr>
              <w:spacing w:after="0"/>
              <w:rPr>
                <w:sz w:val="1"/>
                <w:szCs w:val="1"/>
                <w:color w:val="auto"/>
              </w:rPr>
            </w:pPr>
          </w:p>
        </w:tc>
      </w:tr>
      <w:tr>
        <w:trPr>
          <w:trHeight w:val="215"/>
        </w:trPr>
        <w:tc>
          <w:tcPr>
            <w:tcW w:w="20" w:type="dxa"/>
            <w:vAlign w:val="bottom"/>
            <w:vMerge w:val="restart"/>
          </w:tcPr>
          <w:p>
            <w:pPr>
              <w:spacing w:after="0"/>
              <w:rPr>
                <w:sz w:val="18"/>
                <w:szCs w:val="18"/>
                <w:color w:val="auto"/>
              </w:rPr>
            </w:pPr>
          </w:p>
        </w:tc>
        <w:tc>
          <w:tcPr>
            <w:tcW w:w="280" w:type="dxa"/>
            <w:vAlign w:val="bottom"/>
          </w:tcPr>
          <w:p>
            <w:pPr>
              <w:spacing w:after="0"/>
              <w:rPr>
                <w:sz w:val="18"/>
                <w:szCs w:val="18"/>
                <w:color w:val="auto"/>
              </w:rPr>
            </w:pPr>
          </w:p>
        </w:tc>
        <w:tc>
          <w:tcPr>
            <w:tcW w:w="8620" w:type="dxa"/>
            <w:vAlign w:val="bottom"/>
          </w:tcPr>
          <w:p>
            <w:pPr>
              <w:spacing w:after="0"/>
              <w:rPr>
                <w:sz w:val="18"/>
                <w:szCs w:val="18"/>
                <w:color w:val="auto"/>
              </w:rPr>
            </w:pPr>
          </w:p>
        </w:tc>
        <w:tc>
          <w:tcPr>
            <w:tcW w:w="2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vMerge w:val="continue"/>
          </w:tcPr>
          <w:p>
            <w:pPr>
              <w:spacing w:after="0"/>
              <w:rPr>
                <w:sz w:val="18"/>
                <w:szCs w:val="18"/>
                <w:color w:val="auto"/>
              </w:rPr>
            </w:pPr>
          </w:p>
        </w:tc>
        <w:tc>
          <w:tcPr>
            <w:tcW w:w="280" w:type="dxa"/>
            <w:vAlign w:val="bottom"/>
            <w:shd w:val="clear" w:color="auto" w:fill="CCEEFF"/>
          </w:tcPr>
          <w:p>
            <w:pPr>
              <w:jc w:val="right"/>
              <w:ind w:right="76"/>
              <w:spacing w:after="0"/>
              <w:rPr>
                <w:sz w:val="20"/>
                <w:szCs w:val="20"/>
                <w:color w:val="auto"/>
              </w:rPr>
            </w:pPr>
            <w:r>
              <w:rPr>
                <w:rFonts w:ascii="Arial" w:cs="Arial" w:eastAsia="Arial" w:hAnsi="Arial"/>
                <w:sz w:val="17"/>
                <w:szCs w:val="17"/>
                <w:color w:val="auto"/>
                <w:w w:val="70"/>
              </w:rPr>
              <w:t>4.</w:t>
            </w:r>
          </w:p>
        </w:tc>
        <w:tc>
          <w:tcPr>
            <w:tcW w:w="86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Controls and Procedures</w:t>
            </w:r>
          </w:p>
        </w:tc>
        <w:tc>
          <w:tcPr>
            <w:tcW w:w="2500" w:type="dxa"/>
            <w:vAlign w:val="bottom"/>
            <w:shd w:val="clear" w:color="auto" w:fill="CCEEFF"/>
          </w:tcPr>
          <w:p>
            <w:pPr>
              <w:ind w:left="1360"/>
              <w:spacing w:after="0"/>
              <w:rPr>
                <w:sz w:val="20"/>
                <w:szCs w:val="20"/>
                <w:color w:val="auto"/>
              </w:rPr>
            </w:pPr>
            <w:r>
              <w:rPr>
                <w:rFonts w:ascii="Arial" w:cs="Arial" w:eastAsia="Arial" w:hAnsi="Arial"/>
                <w:sz w:val="18"/>
                <w:szCs w:val="18"/>
                <w:color w:val="auto"/>
              </w:rPr>
              <w:t>35</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620" w:type="dxa"/>
            <w:vAlign w:val="bottom"/>
          </w:tcPr>
          <w:p>
            <w:pPr>
              <w:spacing w:after="0"/>
              <w:rPr>
                <w:sz w:val="18"/>
                <w:szCs w:val="18"/>
                <w:color w:val="auto"/>
              </w:rPr>
            </w:pPr>
          </w:p>
        </w:tc>
        <w:tc>
          <w:tcPr>
            <w:tcW w:w="2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8620" w:type="dxa"/>
            <w:vAlign w:val="bottom"/>
            <w:shd w:val="clear" w:color="auto" w:fill="CCEEFF"/>
          </w:tcPr>
          <w:p>
            <w:pPr>
              <w:ind w:left="4320"/>
              <w:spacing w:after="0"/>
              <w:rPr>
                <w:sz w:val="20"/>
                <w:szCs w:val="20"/>
                <w:color w:val="auto"/>
              </w:rPr>
            </w:pPr>
            <w:r>
              <w:rPr>
                <w:rFonts w:ascii="Arial" w:cs="Arial" w:eastAsia="Arial" w:hAnsi="Arial"/>
                <w:sz w:val="18"/>
                <w:szCs w:val="18"/>
                <w:color w:val="auto"/>
              </w:rPr>
              <w:t>PART II - OTHER INFORMATION</w:t>
            </w:r>
          </w:p>
        </w:tc>
        <w:tc>
          <w:tcPr>
            <w:tcW w:w="25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vMerge w:val="restart"/>
          </w:tcPr>
          <w:p>
            <w:pPr>
              <w:spacing w:after="0"/>
              <w:rPr>
                <w:sz w:val="18"/>
                <w:szCs w:val="18"/>
                <w:color w:val="auto"/>
              </w:rPr>
            </w:pPr>
          </w:p>
        </w:tc>
        <w:tc>
          <w:tcPr>
            <w:tcW w:w="280" w:type="dxa"/>
            <w:vAlign w:val="bottom"/>
          </w:tcPr>
          <w:p>
            <w:pPr>
              <w:spacing w:after="0"/>
              <w:rPr>
                <w:sz w:val="18"/>
                <w:szCs w:val="18"/>
                <w:color w:val="auto"/>
              </w:rPr>
            </w:pPr>
          </w:p>
        </w:tc>
        <w:tc>
          <w:tcPr>
            <w:tcW w:w="8620" w:type="dxa"/>
            <w:vAlign w:val="bottom"/>
          </w:tcPr>
          <w:p>
            <w:pPr>
              <w:spacing w:after="0"/>
              <w:rPr>
                <w:sz w:val="18"/>
                <w:szCs w:val="18"/>
                <w:color w:val="auto"/>
              </w:rPr>
            </w:pPr>
          </w:p>
        </w:tc>
        <w:tc>
          <w:tcPr>
            <w:tcW w:w="2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vMerge w:val="continue"/>
          </w:tcPr>
          <w:p>
            <w:pPr>
              <w:spacing w:after="0"/>
              <w:rPr>
                <w:sz w:val="18"/>
                <w:szCs w:val="18"/>
                <w:color w:val="auto"/>
              </w:rPr>
            </w:pPr>
          </w:p>
        </w:tc>
        <w:tc>
          <w:tcPr>
            <w:tcW w:w="280" w:type="dxa"/>
            <w:vAlign w:val="bottom"/>
            <w:shd w:val="clear" w:color="auto" w:fill="CCEEFF"/>
          </w:tcPr>
          <w:p>
            <w:pPr>
              <w:jc w:val="right"/>
              <w:ind w:right="76"/>
              <w:spacing w:after="0"/>
              <w:rPr>
                <w:sz w:val="20"/>
                <w:szCs w:val="20"/>
                <w:color w:val="auto"/>
              </w:rPr>
            </w:pPr>
            <w:r>
              <w:rPr>
                <w:rFonts w:ascii="Arial" w:cs="Arial" w:eastAsia="Arial" w:hAnsi="Arial"/>
                <w:sz w:val="17"/>
                <w:szCs w:val="17"/>
                <w:color w:val="auto"/>
                <w:w w:val="70"/>
              </w:rPr>
              <w:t>1.</w:t>
            </w:r>
          </w:p>
        </w:tc>
        <w:tc>
          <w:tcPr>
            <w:tcW w:w="86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Legal Proceedings</w:t>
            </w:r>
          </w:p>
        </w:tc>
        <w:tc>
          <w:tcPr>
            <w:tcW w:w="2500" w:type="dxa"/>
            <w:vAlign w:val="bottom"/>
            <w:shd w:val="clear" w:color="auto" w:fill="CCEEFF"/>
          </w:tcPr>
          <w:p>
            <w:pPr>
              <w:ind w:left="1360"/>
              <w:spacing w:after="0"/>
              <w:rPr>
                <w:sz w:val="20"/>
                <w:szCs w:val="20"/>
                <w:color w:val="auto"/>
              </w:rPr>
            </w:pPr>
            <w:r>
              <w:rPr>
                <w:rFonts w:ascii="Arial" w:cs="Arial" w:eastAsia="Arial" w:hAnsi="Arial"/>
                <w:sz w:val="18"/>
                <w:szCs w:val="18"/>
                <w:color w:val="auto"/>
              </w:rPr>
              <w:t>37</w:t>
            </w:r>
          </w:p>
        </w:tc>
        <w:tc>
          <w:tcPr>
            <w:tcW w:w="0" w:type="dxa"/>
            <w:vAlign w:val="bottom"/>
          </w:tcPr>
          <w:p>
            <w:pPr>
              <w:spacing w:after="0"/>
              <w:rPr>
                <w:sz w:val="1"/>
                <w:szCs w:val="1"/>
                <w:color w:val="auto"/>
              </w:rPr>
            </w:pPr>
          </w:p>
        </w:tc>
      </w:tr>
      <w:tr>
        <w:trPr>
          <w:trHeight w:val="215"/>
        </w:trPr>
        <w:tc>
          <w:tcPr>
            <w:tcW w:w="20" w:type="dxa"/>
            <w:vAlign w:val="bottom"/>
            <w:vMerge w:val="restart"/>
          </w:tcPr>
          <w:p>
            <w:pPr>
              <w:spacing w:after="0"/>
              <w:rPr>
                <w:sz w:val="18"/>
                <w:szCs w:val="18"/>
                <w:color w:val="auto"/>
              </w:rPr>
            </w:pPr>
          </w:p>
        </w:tc>
        <w:tc>
          <w:tcPr>
            <w:tcW w:w="280" w:type="dxa"/>
            <w:vAlign w:val="bottom"/>
          </w:tcPr>
          <w:p>
            <w:pPr>
              <w:spacing w:after="0"/>
              <w:rPr>
                <w:sz w:val="18"/>
                <w:szCs w:val="18"/>
                <w:color w:val="auto"/>
              </w:rPr>
            </w:pPr>
          </w:p>
        </w:tc>
        <w:tc>
          <w:tcPr>
            <w:tcW w:w="8620" w:type="dxa"/>
            <w:vAlign w:val="bottom"/>
          </w:tcPr>
          <w:p>
            <w:pPr>
              <w:spacing w:after="0"/>
              <w:rPr>
                <w:sz w:val="18"/>
                <w:szCs w:val="18"/>
                <w:color w:val="auto"/>
              </w:rPr>
            </w:pPr>
          </w:p>
        </w:tc>
        <w:tc>
          <w:tcPr>
            <w:tcW w:w="2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vMerge w:val="continue"/>
          </w:tcPr>
          <w:p>
            <w:pPr>
              <w:spacing w:after="0"/>
              <w:rPr>
                <w:sz w:val="18"/>
                <w:szCs w:val="18"/>
                <w:color w:val="auto"/>
              </w:rPr>
            </w:pPr>
          </w:p>
        </w:tc>
        <w:tc>
          <w:tcPr>
            <w:tcW w:w="280" w:type="dxa"/>
            <w:vAlign w:val="bottom"/>
            <w:shd w:val="clear" w:color="auto" w:fill="CCEEFF"/>
          </w:tcPr>
          <w:p>
            <w:pPr>
              <w:jc w:val="right"/>
              <w:ind w:right="76"/>
              <w:spacing w:after="0"/>
              <w:rPr>
                <w:sz w:val="20"/>
                <w:szCs w:val="20"/>
                <w:color w:val="auto"/>
              </w:rPr>
            </w:pPr>
            <w:r>
              <w:rPr>
                <w:rFonts w:ascii="Arial" w:cs="Arial" w:eastAsia="Arial" w:hAnsi="Arial"/>
                <w:sz w:val="17"/>
                <w:szCs w:val="17"/>
                <w:color w:val="auto"/>
                <w:w w:val="70"/>
              </w:rPr>
              <w:t>2.</w:t>
            </w:r>
          </w:p>
        </w:tc>
        <w:tc>
          <w:tcPr>
            <w:tcW w:w="86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Unregistered Sales of Equity Securities, Use of Proceeds and Issuer Purchases of Equity Securities</w:t>
            </w:r>
          </w:p>
        </w:tc>
        <w:tc>
          <w:tcPr>
            <w:tcW w:w="2500" w:type="dxa"/>
            <w:vAlign w:val="bottom"/>
            <w:shd w:val="clear" w:color="auto" w:fill="CCEEFF"/>
          </w:tcPr>
          <w:p>
            <w:pPr>
              <w:ind w:left="1360"/>
              <w:spacing w:after="0"/>
              <w:rPr>
                <w:sz w:val="20"/>
                <w:szCs w:val="20"/>
                <w:color w:val="auto"/>
              </w:rPr>
            </w:pPr>
            <w:r>
              <w:rPr>
                <w:rFonts w:ascii="Arial" w:cs="Arial" w:eastAsia="Arial" w:hAnsi="Arial"/>
                <w:sz w:val="18"/>
                <w:szCs w:val="18"/>
                <w:color w:val="auto"/>
              </w:rPr>
              <w:t>37</w:t>
            </w:r>
          </w:p>
        </w:tc>
        <w:tc>
          <w:tcPr>
            <w:tcW w:w="0" w:type="dxa"/>
            <w:vAlign w:val="bottom"/>
          </w:tcPr>
          <w:p>
            <w:pPr>
              <w:spacing w:after="0"/>
              <w:rPr>
                <w:sz w:val="1"/>
                <w:szCs w:val="1"/>
                <w:color w:val="auto"/>
              </w:rPr>
            </w:pPr>
          </w:p>
        </w:tc>
      </w:tr>
      <w:tr>
        <w:trPr>
          <w:trHeight w:val="215"/>
        </w:trPr>
        <w:tc>
          <w:tcPr>
            <w:tcW w:w="20" w:type="dxa"/>
            <w:vAlign w:val="bottom"/>
            <w:vMerge w:val="restart"/>
          </w:tcPr>
          <w:p>
            <w:pPr>
              <w:spacing w:after="0"/>
              <w:rPr>
                <w:sz w:val="18"/>
                <w:szCs w:val="18"/>
                <w:color w:val="auto"/>
              </w:rPr>
            </w:pPr>
          </w:p>
        </w:tc>
        <w:tc>
          <w:tcPr>
            <w:tcW w:w="280" w:type="dxa"/>
            <w:vAlign w:val="bottom"/>
          </w:tcPr>
          <w:p>
            <w:pPr>
              <w:spacing w:after="0"/>
              <w:rPr>
                <w:sz w:val="18"/>
                <w:szCs w:val="18"/>
                <w:color w:val="auto"/>
              </w:rPr>
            </w:pPr>
          </w:p>
        </w:tc>
        <w:tc>
          <w:tcPr>
            <w:tcW w:w="8620" w:type="dxa"/>
            <w:vAlign w:val="bottom"/>
          </w:tcPr>
          <w:p>
            <w:pPr>
              <w:spacing w:after="0"/>
              <w:rPr>
                <w:sz w:val="18"/>
                <w:szCs w:val="18"/>
                <w:color w:val="auto"/>
              </w:rPr>
            </w:pPr>
          </w:p>
        </w:tc>
        <w:tc>
          <w:tcPr>
            <w:tcW w:w="2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vMerge w:val="continue"/>
          </w:tcPr>
          <w:p>
            <w:pPr>
              <w:spacing w:after="0"/>
              <w:rPr>
                <w:sz w:val="18"/>
                <w:szCs w:val="18"/>
                <w:color w:val="auto"/>
              </w:rPr>
            </w:pPr>
          </w:p>
        </w:tc>
        <w:tc>
          <w:tcPr>
            <w:tcW w:w="280" w:type="dxa"/>
            <w:vAlign w:val="bottom"/>
            <w:shd w:val="clear" w:color="auto" w:fill="CCEEFF"/>
          </w:tcPr>
          <w:p>
            <w:pPr>
              <w:jc w:val="right"/>
              <w:ind w:right="76"/>
              <w:spacing w:after="0"/>
              <w:rPr>
                <w:sz w:val="20"/>
                <w:szCs w:val="20"/>
                <w:color w:val="auto"/>
              </w:rPr>
            </w:pPr>
            <w:r>
              <w:rPr>
                <w:rFonts w:ascii="Arial" w:cs="Arial" w:eastAsia="Arial" w:hAnsi="Arial"/>
                <w:sz w:val="17"/>
                <w:szCs w:val="17"/>
                <w:color w:val="auto"/>
                <w:w w:val="70"/>
              </w:rPr>
              <w:t>3.</w:t>
            </w:r>
          </w:p>
        </w:tc>
        <w:tc>
          <w:tcPr>
            <w:tcW w:w="86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Defaults Upon Senior Securities</w:t>
            </w:r>
          </w:p>
        </w:tc>
        <w:tc>
          <w:tcPr>
            <w:tcW w:w="2500" w:type="dxa"/>
            <w:vAlign w:val="bottom"/>
            <w:shd w:val="clear" w:color="auto" w:fill="CCEEFF"/>
          </w:tcPr>
          <w:p>
            <w:pPr>
              <w:ind w:left="1360"/>
              <w:spacing w:after="0"/>
              <w:rPr>
                <w:sz w:val="20"/>
                <w:szCs w:val="20"/>
                <w:color w:val="auto"/>
              </w:rPr>
            </w:pPr>
            <w:r>
              <w:rPr>
                <w:rFonts w:ascii="Arial" w:cs="Arial" w:eastAsia="Arial" w:hAnsi="Arial"/>
                <w:sz w:val="18"/>
                <w:szCs w:val="18"/>
                <w:color w:val="auto"/>
              </w:rPr>
              <w:t>37</w:t>
            </w:r>
          </w:p>
        </w:tc>
        <w:tc>
          <w:tcPr>
            <w:tcW w:w="0" w:type="dxa"/>
            <w:vAlign w:val="bottom"/>
          </w:tcPr>
          <w:p>
            <w:pPr>
              <w:spacing w:after="0"/>
              <w:rPr>
                <w:sz w:val="1"/>
                <w:szCs w:val="1"/>
                <w:color w:val="auto"/>
              </w:rPr>
            </w:pPr>
          </w:p>
        </w:tc>
      </w:tr>
      <w:tr>
        <w:trPr>
          <w:trHeight w:val="215"/>
        </w:trPr>
        <w:tc>
          <w:tcPr>
            <w:tcW w:w="20" w:type="dxa"/>
            <w:vAlign w:val="bottom"/>
            <w:vMerge w:val="restart"/>
          </w:tcPr>
          <w:p>
            <w:pPr>
              <w:spacing w:after="0"/>
              <w:rPr>
                <w:sz w:val="18"/>
                <w:szCs w:val="18"/>
                <w:color w:val="auto"/>
              </w:rPr>
            </w:pPr>
          </w:p>
        </w:tc>
        <w:tc>
          <w:tcPr>
            <w:tcW w:w="280" w:type="dxa"/>
            <w:vAlign w:val="bottom"/>
          </w:tcPr>
          <w:p>
            <w:pPr>
              <w:spacing w:after="0"/>
              <w:rPr>
                <w:sz w:val="18"/>
                <w:szCs w:val="18"/>
                <w:color w:val="auto"/>
              </w:rPr>
            </w:pPr>
          </w:p>
        </w:tc>
        <w:tc>
          <w:tcPr>
            <w:tcW w:w="8620" w:type="dxa"/>
            <w:vAlign w:val="bottom"/>
          </w:tcPr>
          <w:p>
            <w:pPr>
              <w:spacing w:after="0"/>
              <w:rPr>
                <w:sz w:val="18"/>
                <w:szCs w:val="18"/>
                <w:color w:val="auto"/>
              </w:rPr>
            </w:pPr>
          </w:p>
        </w:tc>
        <w:tc>
          <w:tcPr>
            <w:tcW w:w="2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vMerge w:val="continue"/>
          </w:tcPr>
          <w:p>
            <w:pPr>
              <w:spacing w:after="0"/>
              <w:rPr>
                <w:sz w:val="18"/>
                <w:szCs w:val="18"/>
                <w:color w:val="auto"/>
              </w:rPr>
            </w:pPr>
          </w:p>
        </w:tc>
        <w:tc>
          <w:tcPr>
            <w:tcW w:w="280" w:type="dxa"/>
            <w:vAlign w:val="bottom"/>
            <w:shd w:val="clear" w:color="auto" w:fill="CCEEFF"/>
          </w:tcPr>
          <w:p>
            <w:pPr>
              <w:jc w:val="right"/>
              <w:ind w:right="76"/>
              <w:spacing w:after="0"/>
              <w:rPr>
                <w:sz w:val="20"/>
                <w:szCs w:val="20"/>
                <w:color w:val="auto"/>
              </w:rPr>
            </w:pPr>
            <w:r>
              <w:rPr>
                <w:rFonts w:ascii="Arial" w:cs="Arial" w:eastAsia="Arial" w:hAnsi="Arial"/>
                <w:sz w:val="17"/>
                <w:szCs w:val="17"/>
                <w:color w:val="auto"/>
                <w:w w:val="70"/>
              </w:rPr>
              <w:t>6.</w:t>
            </w:r>
          </w:p>
        </w:tc>
        <w:tc>
          <w:tcPr>
            <w:tcW w:w="86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Exhibits</w:t>
            </w:r>
          </w:p>
        </w:tc>
        <w:tc>
          <w:tcPr>
            <w:tcW w:w="2500" w:type="dxa"/>
            <w:vAlign w:val="bottom"/>
            <w:shd w:val="clear" w:color="auto" w:fill="CCEEFF"/>
          </w:tcPr>
          <w:p>
            <w:pPr>
              <w:ind w:left="1360"/>
              <w:spacing w:after="0"/>
              <w:rPr>
                <w:sz w:val="20"/>
                <w:szCs w:val="20"/>
                <w:color w:val="auto"/>
              </w:rPr>
            </w:pPr>
            <w:r>
              <w:rPr>
                <w:rFonts w:ascii="Arial" w:cs="Arial" w:eastAsia="Arial" w:hAnsi="Arial"/>
                <w:sz w:val="18"/>
                <w:szCs w:val="18"/>
                <w:color w:val="auto"/>
              </w:rPr>
              <w:t>37</w:t>
            </w:r>
          </w:p>
        </w:tc>
        <w:tc>
          <w:tcPr>
            <w:tcW w:w="0" w:type="dxa"/>
            <w:vAlign w:val="bottom"/>
          </w:tcPr>
          <w:p>
            <w:pPr>
              <w:spacing w:after="0"/>
              <w:rPr>
                <w:sz w:val="1"/>
                <w:szCs w:val="1"/>
                <w:color w:val="auto"/>
              </w:rPr>
            </w:pPr>
          </w:p>
        </w:tc>
      </w:tr>
      <w:tr>
        <w:trPr>
          <w:trHeight w:val="431"/>
        </w:trPr>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620" w:type="dxa"/>
            <w:vAlign w:val="bottom"/>
          </w:tcPr>
          <w:p>
            <w:pPr>
              <w:ind w:left="5160"/>
              <w:spacing w:after="0"/>
              <w:rPr>
                <w:sz w:val="20"/>
                <w:szCs w:val="20"/>
                <w:color w:val="auto"/>
              </w:rPr>
            </w:pPr>
            <w:r>
              <w:rPr>
                <w:rFonts w:ascii="Arial" w:cs="Arial" w:eastAsia="Arial" w:hAnsi="Arial"/>
                <w:sz w:val="18"/>
                <w:szCs w:val="18"/>
                <w:color w:val="auto"/>
              </w:rPr>
              <w:t>2 of 39</w:t>
            </w:r>
          </w:p>
        </w:tc>
        <w:tc>
          <w:tcPr>
            <w:tcW w:w="25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280" w:type="dxa"/>
            <w:vAlign w:val="bottom"/>
            <w:tcBorders>
              <w:bottom w:val="single" w:sz="8" w:color="auto"/>
            </w:tcBorders>
          </w:tcPr>
          <w:p>
            <w:pPr>
              <w:spacing w:after="0"/>
              <w:rPr>
                <w:sz w:val="9"/>
                <w:szCs w:val="9"/>
                <w:color w:val="auto"/>
              </w:rPr>
            </w:pPr>
          </w:p>
        </w:tc>
        <w:tc>
          <w:tcPr>
            <w:tcW w:w="8620" w:type="dxa"/>
            <w:vAlign w:val="bottom"/>
            <w:tcBorders>
              <w:bottom w:val="single" w:sz="8" w:color="auto"/>
            </w:tcBorders>
          </w:tcPr>
          <w:p>
            <w:pPr>
              <w:spacing w:after="0"/>
              <w:rPr>
                <w:sz w:val="9"/>
                <w:szCs w:val="9"/>
                <w:color w:val="auto"/>
              </w:rPr>
            </w:pPr>
          </w:p>
        </w:tc>
        <w:tc>
          <w:tcPr>
            <w:tcW w:w="250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825" w:right="239" w:bottom="1440" w:gutter="0" w:footer="0" w:header="0"/>
        </w:sectPr>
      </w:pPr>
    </w:p>
    <w:bookmarkStart w:id="2" w:name="page3"/>
    <w:bookmarkEnd w:id="2"/>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8120" w:type="dxa"/>
            <w:vAlign w:val="bottom"/>
            <w:gridSpan w:val="8"/>
          </w:tcPr>
          <w:p>
            <w:pPr>
              <w:spacing w:after="0"/>
              <w:rPr>
                <w:sz w:val="20"/>
                <w:szCs w:val="20"/>
                <w:color w:val="auto"/>
              </w:rPr>
            </w:pPr>
            <w:r>
              <w:rPr>
                <w:rFonts w:ascii="Arial" w:cs="Arial" w:eastAsia="Arial" w:hAnsi="Arial"/>
                <w:sz w:val="18"/>
                <w:szCs w:val="18"/>
                <w:color w:val="auto"/>
              </w:rPr>
              <w:t>PART I - FINANCIAL INFORMATION</w:t>
            </w:r>
          </w:p>
        </w:tc>
        <w:tc>
          <w:tcPr>
            <w:tcW w:w="18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3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653"/>
        </w:trPr>
        <w:tc>
          <w:tcPr>
            <w:tcW w:w="20" w:type="dxa"/>
            <w:vAlign w:val="bottom"/>
          </w:tcPr>
          <w:p>
            <w:pPr>
              <w:spacing w:after="0"/>
              <w:rPr>
                <w:sz w:val="24"/>
                <w:szCs w:val="24"/>
                <w:color w:val="auto"/>
              </w:rPr>
            </w:pPr>
          </w:p>
        </w:tc>
        <w:tc>
          <w:tcPr>
            <w:tcW w:w="224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56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1420" w:type="dxa"/>
            <w:vAlign w:val="bottom"/>
          </w:tcPr>
          <w:p>
            <w:pPr>
              <w:spacing w:after="0"/>
              <w:rPr>
                <w:sz w:val="24"/>
                <w:szCs w:val="24"/>
                <w:color w:val="auto"/>
              </w:rPr>
            </w:pPr>
          </w:p>
        </w:tc>
        <w:tc>
          <w:tcPr>
            <w:tcW w:w="2800" w:type="dxa"/>
            <w:vAlign w:val="bottom"/>
            <w:tcBorders>
              <w:bottom w:val="single" w:sz="8" w:color="auto"/>
            </w:tcBorders>
          </w:tcPr>
          <w:p>
            <w:pPr>
              <w:spacing w:after="0"/>
              <w:rPr>
                <w:sz w:val="20"/>
                <w:szCs w:val="20"/>
                <w:color w:val="auto"/>
              </w:rPr>
            </w:pPr>
            <w:r>
              <w:rPr>
                <w:rFonts w:ascii="Arial" w:cs="Arial" w:eastAsia="Arial" w:hAnsi="Arial"/>
                <w:sz w:val="18"/>
                <w:szCs w:val="18"/>
                <w:color w:val="auto"/>
                <w:w w:val="96"/>
              </w:rPr>
              <w:t>ITEM 1. FINANCIAL STATEMENTS</w:t>
            </w:r>
          </w:p>
        </w:tc>
        <w:tc>
          <w:tcPr>
            <w:tcW w:w="9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5"/>
        </w:trPr>
        <w:tc>
          <w:tcPr>
            <w:tcW w:w="20" w:type="dxa"/>
            <w:vAlign w:val="bottom"/>
          </w:tcPr>
          <w:p>
            <w:pPr>
              <w:spacing w:after="0"/>
              <w:rPr>
                <w:sz w:val="16"/>
                <w:szCs w:val="16"/>
                <w:color w:val="auto"/>
              </w:rPr>
            </w:pPr>
          </w:p>
        </w:tc>
        <w:tc>
          <w:tcPr>
            <w:tcW w:w="2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6080" w:type="dxa"/>
            <w:vAlign w:val="bottom"/>
            <w:tcBorders>
              <w:bottom w:val="single" w:sz="8" w:color="auto"/>
            </w:tcBorders>
            <w:gridSpan w:val="6"/>
          </w:tcPr>
          <w:p>
            <w:pPr>
              <w:jc w:val="center"/>
              <w:spacing w:after="0" w:line="195" w:lineRule="exact"/>
              <w:rPr>
                <w:sz w:val="20"/>
                <w:szCs w:val="20"/>
                <w:color w:val="auto"/>
              </w:rPr>
            </w:pPr>
            <w:r>
              <w:rPr>
                <w:rFonts w:ascii="Arial" w:cs="Arial" w:eastAsia="Arial" w:hAnsi="Arial"/>
                <w:sz w:val="18"/>
                <w:szCs w:val="18"/>
                <w:color w:val="auto"/>
                <w:w w:val="95"/>
              </w:rPr>
              <w:t>BASSETT FURNITURE INDUSTRIES, INCORPORATED AND SUBSIDIARIES</w:t>
            </w:r>
          </w:p>
        </w:tc>
        <w:tc>
          <w:tcPr>
            <w:tcW w:w="840" w:type="dxa"/>
            <w:vAlign w:val="bottom"/>
            <w:gridSpan w:val="3"/>
          </w:tcPr>
          <w:p>
            <w:pPr>
              <w:spacing w:after="0"/>
              <w:rPr>
                <w:sz w:val="16"/>
                <w:szCs w:val="16"/>
                <w:color w:val="auto"/>
              </w:rPr>
            </w:pPr>
          </w:p>
        </w:tc>
        <w:tc>
          <w:tcPr>
            <w:tcW w:w="16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5"/>
        </w:trPr>
        <w:tc>
          <w:tcPr>
            <w:tcW w:w="20" w:type="dxa"/>
            <w:vAlign w:val="bottom"/>
          </w:tcPr>
          <w:p>
            <w:pPr>
              <w:spacing w:after="0"/>
              <w:rPr>
                <w:sz w:val="16"/>
                <w:szCs w:val="16"/>
                <w:color w:val="auto"/>
              </w:rPr>
            </w:pPr>
          </w:p>
        </w:tc>
        <w:tc>
          <w:tcPr>
            <w:tcW w:w="9820" w:type="dxa"/>
            <w:vAlign w:val="bottom"/>
            <w:gridSpan w:val="12"/>
          </w:tcPr>
          <w:p>
            <w:pPr>
              <w:jc w:val="center"/>
              <w:ind w:left="1970"/>
              <w:spacing w:after="0" w:line="195" w:lineRule="exact"/>
              <w:rPr>
                <w:sz w:val="20"/>
                <w:szCs w:val="20"/>
                <w:color w:val="auto"/>
              </w:rPr>
            </w:pPr>
            <w:r>
              <w:rPr>
                <w:rFonts w:ascii="Arial" w:cs="Arial" w:eastAsia="Arial" w:hAnsi="Arial"/>
                <w:sz w:val="18"/>
                <w:szCs w:val="18"/>
                <w:color w:val="auto"/>
                <w:w w:val="94"/>
              </w:rPr>
              <w:t>CONDENSED CONSOLIDATED STATEMENTS OF OPERATIONS AND RETAINED EARNINGS</w:t>
            </w:r>
          </w:p>
        </w:tc>
        <w:tc>
          <w:tcPr>
            <w:tcW w:w="16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5"/>
        </w:trPr>
        <w:tc>
          <w:tcPr>
            <w:tcW w:w="20" w:type="dxa"/>
            <w:vAlign w:val="bottom"/>
          </w:tcPr>
          <w:p>
            <w:pPr>
              <w:spacing w:after="0"/>
              <w:rPr>
                <w:sz w:val="16"/>
                <w:szCs w:val="16"/>
                <w:color w:val="auto"/>
              </w:rPr>
            </w:pPr>
          </w:p>
        </w:tc>
        <w:tc>
          <w:tcPr>
            <w:tcW w:w="2240" w:type="dxa"/>
            <w:vAlign w:val="bottom"/>
          </w:tcPr>
          <w:p>
            <w:pPr>
              <w:spacing w:after="0"/>
              <w:rPr>
                <w:sz w:val="16"/>
                <w:szCs w:val="16"/>
                <w:color w:val="auto"/>
              </w:rPr>
            </w:pPr>
          </w:p>
        </w:tc>
        <w:tc>
          <w:tcPr>
            <w:tcW w:w="100" w:type="dxa"/>
            <w:vAlign w:val="bottom"/>
            <w:tcBorders>
              <w:top w:val="single" w:sz="8" w:color="auto"/>
            </w:tcBorders>
          </w:tcPr>
          <w:p>
            <w:pPr>
              <w:spacing w:after="0"/>
              <w:rPr>
                <w:sz w:val="16"/>
                <w:szCs w:val="16"/>
                <w:color w:val="auto"/>
              </w:rPr>
            </w:pPr>
          </w:p>
        </w:tc>
        <w:tc>
          <w:tcPr>
            <w:tcW w:w="7300" w:type="dxa"/>
            <w:vAlign w:val="bottom"/>
            <w:tcBorders>
              <w:top w:val="single" w:sz="8" w:color="auto"/>
            </w:tcBorders>
            <w:gridSpan w:val="9"/>
          </w:tcPr>
          <w:p>
            <w:pPr>
              <w:jc w:val="center"/>
              <w:ind w:right="120"/>
              <w:spacing w:after="0" w:line="195" w:lineRule="exact"/>
              <w:rPr>
                <w:sz w:val="20"/>
                <w:szCs w:val="20"/>
                <w:color w:val="auto"/>
              </w:rPr>
            </w:pPr>
            <w:r>
              <w:rPr>
                <w:rFonts w:ascii="Arial" w:cs="Arial" w:eastAsia="Arial" w:hAnsi="Arial"/>
                <w:sz w:val="18"/>
                <w:szCs w:val="18"/>
                <w:color w:val="auto"/>
                <w:w w:val="94"/>
              </w:rPr>
              <w:t>FOR THE PERIODS ENDED FEBRUARY 24, 2018 AND FEBRUARY 25, 2017 – UNAUDITED</w:t>
            </w:r>
          </w:p>
        </w:tc>
        <w:tc>
          <w:tcPr>
            <w:tcW w:w="1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6"/>
        </w:trPr>
        <w:tc>
          <w:tcPr>
            <w:tcW w:w="20" w:type="dxa"/>
            <w:vAlign w:val="bottom"/>
          </w:tcPr>
          <w:p>
            <w:pPr>
              <w:spacing w:after="0"/>
              <w:rPr>
                <w:sz w:val="20"/>
                <w:szCs w:val="20"/>
                <w:color w:val="auto"/>
              </w:rPr>
            </w:pPr>
          </w:p>
        </w:tc>
        <w:tc>
          <w:tcPr>
            <w:tcW w:w="22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60" w:type="dxa"/>
            <w:vAlign w:val="bottom"/>
            <w:tcBorders>
              <w:top w:val="single" w:sz="8" w:color="auto"/>
            </w:tcBorders>
          </w:tcPr>
          <w:p>
            <w:pPr>
              <w:spacing w:after="0"/>
              <w:rPr>
                <w:sz w:val="20"/>
                <w:szCs w:val="20"/>
                <w:color w:val="auto"/>
              </w:rPr>
            </w:pPr>
          </w:p>
        </w:tc>
        <w:tc>
          <w:tcPr>
            <w:tcW w:w="20" w:type="dxa"/>
            <w:vAlign w:val="bottom"/>
            <w:tcBorders>
              <w:top w:val="single" w:sz="8" w:color="auto"/>
            </w:tcBorders>
          </w:tcPr>
          <w:p>
            <w:pPr>
              <w:spacing w:after="0"/>
              <w:rPr>
                <w:sz w:val="20"/>
                <w:szCs w:val="20"/>
                <w:color w:val="auto"/>
              </w:rPr>
            </w:pPr>
          </w:p>
        </w:tc>
        <w:tc>
          <w:tcPr>
            <w:tcW w:w="1420" w:type="dxa"/>
            <w:vAlign w:val="bottom"/>
            <w:tcBorders>
              <w:top w:val="single" w:sz="8" w:color="auto"/>
            </w:tcBorders>
          </w:tcPr>
          <w:p>
            <w:pPr>
              <w:spacing w:after="0"/>
              <w:rPr>
                <w:sz w:val="20"/>
                <w:szCs w:val="20"/>
                <w:color w:val="auto"/>
              </w:rPr>
            </w:pPr>
          </w:p>
        </w:tc>
        <w:tc>
          <w:tcPr>
            <w:tcW w:w="3760" w:type="dxa"/>
            <w:vAlign w:val="bottom"/>
            <w:tcBorders>
              <w:top w:val="single" w:sz="8" w:color="auto"/>
            </w:tcBorders>
            <w:gridSpan w:val="2"/>
          </w:tcPr>
          <w:p>
            <w:pPr>
              <w:jc w:val="center"/>
              <w:ind w:right="580"/>
              <w:spacing w:after="0"/>
              <w:rPr>
                <w:sz w:val="20"/>
                <w:szCs w:val="20"/>
                <w:color w:val="auto"/>
              </w:rPr>
            </w:pPr>
            <w:r>
              <w:rPr>
                <w:rFonts w:ascii="Arial" w:cs="Arial" w:eastAsia="Arial" w:hAnsi="Arial"/>
                <w:sz w:val="18"/>
                <w:szCs w:val="18"/>
                <w:color w:val="auto"/>
                <w:w w:val="87"/>
              </w:rPr>
              <w:t>(In thousands except per share data)</w:t>
            </w:r>
          </w:p>
        </w:tc>
        <w:tc>
          <w:tcPr>
            <w:tcW w:w="180" w:type="dxa"/>
            <w:vAlign w:val="bottom"/>
            <w:tcBorders>
              <w:top w:val="single" w:sz="8" w:color="auto"/>
            </w:tcBorders>
          </w:tcPr>
          <w:p>
            <w:pPr>
              <w:spacing w:after="0"/>
              <w:rPr>
                <w:sz w:val="20"/>
                <w:szCs w:val="20"/>
                <w:color w:val="auto"/>
              </w:rPr>
            </w:pPr>
          </w:p>
        </w:tc>
        <w:tc>
          <w:tcPr>
            <w:tcW w:w="700" w:type="dxa"/>
            <w:vAlign w:val="bottom"/>
            <w:tcBorders>
              <w:top w:val="single" w:sz="8" w:color="auto"/>
            </w:tcBorders>
          </w:tcPr>
          <w:p>
            <w:pPr>
              <w:spacing w:after="0"/>
              <w:rPr>
                <w:sz w:val="20"/>
                <w:szCs w:val="20"/>
                <w:color w:val="auto"/>
              </w:rPr>
            </w:pPr>
          </w:p>
        </w:tc>
        <w:tc>
          <w:tcPr>
            <w:tcW w:w="54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0"/>
        </w:trPr>
        <w:tc>
          <w:tcPr>
            <w:tcW w:w="20" w:type="dxa"/>
            <w:vAlign w:val="bottom"/>
          </w:tcPr>
          <w:p>
            <w:pPr>
              <w:spacing w:after="0"/>
              <w:rPr>
                <w:sz w:val="24"/>
                <w:szCs w:val="24"/>
                <w:color w:val="auto"/>
              </w:rPr>
            </w:pPr>
          </w:p>
        </w:tc>
        <w:tc>
          <w:tcPr>
            <w:tcW w:w="2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28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spacing w:after="0"/>
              <w:rPr>
                <w:sz w:val="24"/>
                <w:szCs w:val="24"/>
                <w:color w:val="auto"/>
              </w:rPr>
            </w:pPr>
          </w:p>
        </w:tc>
        <w:tc>
          <w:tcPr>
            <w:tcW w:w="2320" w:type="dxa"/>
            <w:vAlign w:val="bottom"/>
            <w:tcBorders>
              <w:bottom w:val="single" w:sz="8" w:color="auto"/>
            </w:tcBorders>
            <w:gridSpan w:val="5"/>
          </w:tcPr>
          <w:p>
            <w:pPr>
              <w:jc w:val="right"/>
              <w:ind w:right="930"/>
              <w:spacing w:after="0"/>
              <w:rPr>
                <w:sz w:val="20"/>
                <w:szCs w:val="20"/>
                <w:color w:val="auto"/>
              </w:rPr>
            </w:pPr>
            <w:r>
              <w:rPr>
                <w:rFonts w:ascii="Arial" w:cs="Arial" w:eastAsia="Arial" w:hAnsi="Arial"/>
                <w:sz w:val="18"/>
                <w:szCs w:val="18"/>
                <w:b w:val="1"/>
                <w:bCs w:val="1"/>
                <w:color w:val="auto"/>
              </w:rPr>
              <w:t>Quarter Ended</w:t>
            </w: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06"/>
        </w:trPr>
        <w:tc>
          <w:tcPr>
            <w:tcW w:w="20" w:type="dxa"/>
            <w:vAlign w:val="bottom"/>
          </w:tcPr>
          <w:p>
            <w:pPr>
              <w:spacing w:after="0"/>
              <w:rPr>
                <w:sz w:val="24"/>
                <w:szCs w:val="24"/>
                <w:color w:val="auto"/>
              </w:rPr>
            </w:pPr>
          </w:p>
        </w:tc>
        <w:tc>
          <w:tcPr>
            <w:tcW w:w="2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28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540" w:type="dxa"/>
            <w:vAlign w:val="bottom"/>
            <w:gridSpan w:val="4"/>
          </w:tcPr>
          <w:p>
            <w:pPr>
              <w:jc w:val="center"/>
              <w:ind w:right="400"/>
              <w:spacing w:after="0"/>
              <w:rPr>
                <w:sz w:val="20"/>
                <w:szCs w:val="20"/>
                <w:color w:val="auto"/>
              </w:rPr>
            </w:pPr>
            <w:r>
              <w:rPr>
                <w:rFonts w:ascii="Arial" w:cs="Arial" w:eastAsia="Arial" w:hAnsi="Arial"/>
                <w:sz w:val="18"/>
                <w:szCs w:val="18"/>
                <w:b w:val="1"/>
                <w:bCs w:val="1"/>
                <w:color w:val="auto"/>
                <w:w w:val="91"/>
              </w:rPr>
              <w:t>February 24,</w:t>
            </w:r>
          </w:p>
        </w:tc>
        <w:tc>
          <w:tcPr>
            <w:tcW w:w="160" w:type="dxa"/>
            <w:vAlign w:val="bottom"/>
          </w:tcPr>
          <w:p>
            <w:pPr>
              <w:spacing w:after="0"/>
              <w:rPr>
                <w:sz w:val="24"/>
                <w:szCs w:val="24"/>
                <w:color w:val="auto"/>
              </w:rPr>
            </w:pPr>
          </w:p>
        </w:tc>
        <w:tc>
          <w:tcPr>
            <w:tcW w:w="1420" w:type="dxa"/>
            <w:vAlign w:val="bottom"/>
            <w:gridSpan w:val="2"/>
          </w:tcPr>
          <w:p>
            <w:pPr>
              <w:jc w:val="right"/>
              <w:ind w:right="340"/>
              <w:spacing w:after="0"/>
              <w:rPr>
                <w:sz w:val="20"/>
                <w:szCs w:val="20"/>
                <w:color w:val="auto"/>
              </w:rPr>
            </w:pPr>
            <w:r>
              <w:rPr>
                <w:rFonts w:ascii="Arial" w:cs="Arial" w:eastAsia="Arial" w:hAnsi="Arial"/>
                <w:sz w:val="18"/>
                <w:szCs w:val="18"/>
                <w:b w:val="1"/>
                <w:bCs w:val="1"/>
                <w:color w:val="auto"/>
                <w:w w:val="98"/>
              </w:rPr>
              <w:t>February 25,</w:t>
            </w: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22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280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240" w:type="dxa"/>
            <w:vAlign w:val="bottom"/>
            <w:tcBorders>
              <w:bottom w:val="single" w:sz="8" w:color="auto"/>
            </w:tcBorders>
            <w:gridSpan w:val="2"/>
          </w:tcPr>
          <w:p>
            <w:pPr>
              <w:jc w:val="right"/>
              <w:ind w:right="410"/>
              <w:spacing w:after="0"/>
              <w:rPr>
                <w:sz w:val="20"/>
                <w:szCs w:val="20"/>
                <w:color w:val="auto"/>
              </w:rPr>
            </w:pPr>
            <w:r>
              <w:rPr>
                <w:rFonts w:ascii="Arial" w:cs="Arial" w:eastAsia="Arial" w:hAnsi="Arial"/>
                <w:sz w:val="18"/>
                <w:szCs w:val="18"/>
                <w:b w:val="1"/>
                <w:bCs w:val="1"/>
                <w:color w:val="auto"/>
              </w:rPr>
              <w:t>2018</w:t>
            </w:r>
          </w:p>
        </w:tc>
        <w:tc>
          <w:tcPr>
            <w:tcW w:w="120" w:type="dxa"/>
            <w:vAlign w:val="bottom"/>
            <w:tcBorders>
              <w:bottom w:val="single" w:sz="8" w:color="auto"/>
            </w:tcBorders>
          </w:tcPr>
          <w:p>
            <w:pPr>
              <w:spacing w:after="0"/>
              <w:rPr>
                <w:sz w:val="20"/>
                <w:szCs w:val="20"/>
                <w:color w:val="auto"/>
              </w:rPr>
            </w:pPr>
          </w:p>
        </w:tc>
        <w:tc>
          <w:tcPr>
            <w:tcW w:w="18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320" w:type="dxa"/>
            <w:vAlign w:val="bottom"/>
            <w:tcBorders>
              <w:bottom w:val="single" w:sz="8" w:color="auto"/>
            </w:tcBorders>
          </w:tcPr>
          <w:p>
            <w:pPr>
              <w:jc w:val="right"/>
              <w:ind w:right="47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8100" w:type="dxa"/>
            <w:vAlign w:val="bottom"/>
            <w:gridSpan w:val="7"/>
            <w:shd w:val="clear" w:color="auto" w:fill="CCEEFF"/>
          </w:tcPr>
          <w:p>
            <w:pPr>
              <w:spacing w:after="0"/>
              <w:rPr>
                <w:sz w:val="20"/>
                <w:szCs w:val="20"/>
                <w:color w:val="auto"/>
              </w:rPr>
            </w:pPr>
            <w:r>
              <w:rPr>
                <w:rFonts w:ascii="Arial" w:cs="Arial" w:eastAsia="Arial" w:hAnsi="Arial"/>
                <w:sz w:val="18"/>
                <w:szCs w:val="18"/>
                <w:color w:val="auto"/>
              </w:rPr>
              <w:t>Sales revenue:</w:t>
            </w:r>
          </w:p>
        </w:tc>
        <w:tc>
          <w:tcPr>
            <w:tcW w:w="18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20" w:type="dxa"/>
            <w:vAlign w:val="bottom"/>
            <w:tcBorders>
              <w:right w:val="single" w:sz="8" w:color="CCEEFF"/>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8100" w:type="dxa"/>
            <w:vAlign w:val="bottom"/>
            <w:gridSpan w:val="7"/>
          </w:tcPr>
          <w:p>
            <w:pPr>
              <w:ind w:left="140"/>
              <w:spacing w:after="0"/>
              <w:rPr>
                <w:sz w:val="20"/>
                <w:szCs w:val="20"/>
                <w:color w:val="auto"/>
              </w:rPr>
            </w:pPr>
            <w:r>
              <w:rPr>
                <w:rFonts w:ascii="Arial" w:cs="Arial" w:eastAsia="Arial" w:hAnsi="Arial"/>
                <w:sz w:val="18"/>
                <w:szCs w:val="18"/>
                <w:color w:val="auto"/>
              </w:rPr>
              <w:t>Furniture and accessories</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60" w:type="dxa"/>
            <w:vAlign w:val="bottom"/>
            <w:gridSpan w:val="3"/>
          </w:tcPr>
          <w:p>
            <w:pPr>
              <w:jc w:val="right"/>
              <w:ind w:right="40"/>
              <w:spacing w:after="0"/>
              <w:rPr>
                <w:sz w:val="20"/>
                <w:szCs w:val="20"/>
                <w:color w:val="auto"/>
              </w:rPr>
            </w:pPr>
            <w:r>
              <w:rPr>
                <w:rFonts w:ascii="Arial" w:cs="Arial" w:eastAsia="Arial" w:hAnsi="Arial"/>
                <w:sz w:val="18"/>
                <w:szCs w:val="18"/>
                <w:color w:val="auto"/>
              </w:rPr>
              <w:t>96,123</w:t>
            </w:r>
          </w:p>
        </w:tc>
        <w:tc>
          <w:tcPr>
            <w:tcW w:w="18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420" w:type="dxa"/>
            <w:vAlign w:val="bottom"/>
            <w:gridSpan w:val="2"/>
          </w:tcPr>
          <w:p>
            <w:pPr>
              <w:jc w:val="right"/>
              <w:ind w:right="100"/>
              <w:spacing w:after="0"/>
              <w:rPr>
                <w:sz w:val="20"/>
                <w:szCs w:val="20"/>
                <w:color w:val="auto"/>
              </w:rPr>
            </w:pPr>
            <w:r>
              <w:rPr>
                <w:rFonts w:ascii="Arial" w:cs="Arial" w:eastAsia="Arial" w:hAnsi="Arial"/>
                <w:sz w:val="18"/>
                <w:szCs w:val="18"/>
                <w:color w:val="auto"/>
              </w:rPr>
              <w:t>93,698</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8100" w:type="dxa"/>
            <w:vAlign w:val="bottom"/>
            <w:tcBorders>
              <w:bottom w:val="single" w:sz="8" w:color="CCEEFF"/>
            </w:tcBorders>
            <w:gridSpan w:val="7"/>
            <w:shd w:val="clear" w:color="auto" w:fill="CCEEFF"/>
          </w:tcPr>
          <w:p>
            <w:pPr>
              <w:ind w:left="140"/>
              <w:spacing w:after="0"/>
              <w:rPr>
                <w:sz w:val="20"/>
                <w:szCs w:val="20"/>
                <w:color w:val="auto"/>
              </w:rPr>
            </w:pPr>
            <w:r>
              <w:rPr>
                <w:rFonts w:ascii="Arial" w:cs="Arial" w:eastAsia="Arial" w:hAnsi="Arial"/>
                <w:sz w:val="18"/>
                <w:szCs w:val="18"/>
                <w:color w:val="auto"/>
              </w:rPr>
              <w:t>Logistics</w:t>
            </w:r>
          </w:p>
        </w:tc>
        <w:tc>
          <w:tcPr>
            <w:tcW w:w="180" w:type="dxa"/>
            <w:vAlign w:val="bottom"/>
            <w:tcBorders>
              <w:bottom w:val="single" w:sz="8" w:color="auto"/>
            </w:tcBorders>
            <w:shd w:val="clear" w:color="auto" w:fill="CCEEFF"/>
          </w:tcPr>
          <w:p>
            <w:pPr>
              <w:spacing w:after="0"/>
              <w:rPr>
                <w:sz w:val="18"/>
                <w:szCs w:val="18"/>
                <w:color w:val="auto"/>
              </w:rPr>
            </w:pPr>
          </w:p>
        </w:tc>
        <w:tc>
          <w:tcPr>
            <w:tcW w:w="1360" w:type="dxa"/>
            <w:vAlign w:val="bottom"/>
            <w:tcBorders>
              <w:bottom w:val="single" w:sz="8" w:color="auto"/>
              <w:right w:val="single" w:sz="8" w:color="CCEEFF"/>
            </w:tcBorders>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14,149</w:t>
            </w:r>
          </w:p>
        </w:tc>
        <w:tc>
          <w:tcPr>
            <w:tcW w:w="18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12,194</w:t>
            </w:r>
          </w:p>
        </w:tc>
        <w:tc>
          <w:tcPr>
            <w:tcW w:w="10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8100" w:type="dxa"/>
            <w:vAlign w:val="bottom"/>
            <w:gridSpan w:val="7"/>
          </w:tcPr>
          <w:p>
            <w:pPr>
              <w:ind w:left="320"/>
              <w:spacing w:after="0"/>
              <w:rPr>
                <w:sz w:val="20"/>
                <w:szCs w:val="20"/>
                <w:color w:val="auto"/>
              </w:rPr>
            </w:pPr>
            <w:r>
              <w:rPr>
                <w:rFonts w:ascii="Arial" w:cs="Arial" w:eastAsia="Arial" w:hAnsi="Arial"/>
                <w:sz w:val="18"/>
                <w:szCs w:val="18"/>
                <w:color w:val="auto"/>
              </w:rPr>
              <w:t>Total sales revenue</w:t>
            </w:r>
          </w:p>
        </w:tc>
        <w:tc>
          <w:tcPr>
            <w:tcW w:w="180" w:type="dxa"/>
            <w:vAlign w:val="bottom"/>
          </w:tcPr>
          <w:p>
            <w:pPr>
              <w:spacing w:after="0"/>
              <w:rPr>
                <w:sz w:val="18"/>
                <w:szCs w:val="18"/>
                <w:color w:val="auto"/>
              </w:rPr>
            </w:pPr>
          </w:p>
        </w:tc>
        <w:tc>
          <w:tcPr>
            <w:tcW w:w="1360" w:type="dxa"/>
            <w:vAlign w:val="bottom"/>
            <w:gridSpan w:val="3"/>
          </w:tcPr>
          <w:p>
            <w:pPr>
              <w:jc w:val="right"/>
              <w:ind w:right="40"/>
              <w:spacing w:after="0"/>
              <w:rPr>
                <w:sz w:val="20"/>
                <w:szCs w:val="20"/>
                <w:color w:val="auto"/>
              </w:rPr>
            </w:pPr>
            <w:r>
              <w:rPr>
                <w:rFonts w:ascii="Arial" w:cs="Arial" w:eastAsia="Arial" w:hAnsi="Arial"/>
                <w:sz w:val="18"/>
                <w:szCs w:val="18"/>
                <w:color w:val="auto"/>
              </w:rPr>
              <w:t>110,272</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20" w:type="dxa"/>
            <w:vAlign w:val="bottom"/>
            <w:gridSpan w:val="2"/>
          </w:tcPr>
          <w:p>
            <w:pPr>
              <w:jc w:val="right"/>
              <w:ind w:right="100"/>
              <w:spacing w:after="0"/>
              <w:rPr>
                <w:sz w:val="20"/>
                <w:szCs w:val="20"/>
                <w:color w:val="auto"/>
              </w:rPr>
            </w:pPr>
            <w:r>
              <w:rPr>
                <w:rFonts w:ascii="Arial" w:cs="Arial" w:eastAsia="Arial" w:hAnsi="Arial"/>
                <w:sz w:val="18"/>
                <w:szCs w:val="18"/>
                <w:color w:val="auto"/>
              </w:rPr>
              <w:t>105,892</w:t>
            </w:r>
          </w:p>
        </w:tc>
        <w:tc>
          <w:tcPr>
            <w:tcW w:w="0" w:type="dxa"/>
            <w:vAlign w:val="bottom"/>
          </w:tcPr>
          <w:p>
            <w:pPr>
              <w:spacing w:after="0"/>
              <w:rPr>
                <w:sz w:val="1"/>
                <w:szCs w:val="1"/>
                <w:color w:val="auto"/>
              </w:rPr>
            </w:pPr>
          </w:p>
        </w:tc>
      </w:tr>
      <w:tr>
        <w:trPr>
          <w:trHeight w:val="215"/>
        </w:trPr>
        <w:tc>
          <w:tcPr>
            <w:tcW w:w="20" w:type="dxa"/>
            <w:vAlign w:val="bottom"/>
            <w:vMerge w:val="restart"/>
          </w:tcPr>
          <w:p>
            <w:pPr>
              <w:spacing w:after="0"/>
              <w:rPr>
                <w:sz w:val="18"/>
                <w:szCs w:val="18"/>
                <w:color w:val="auto"/>
              </w:rPr>
            </w:pPr>
          </w:p>
        </w:tc>
        <w:tc>
          <w:tcPr>
            <w:tcW w:w="2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20" w:type="dxa"/>
            <w:vAlign w:val="bottom"/>
            <w:shd w:val="clear" w:color="auto" w:fill="CCEEFF"/>
          </w:tcPr>
          <w:p>
            <w:pPr>
              <w:spacing w:after="0"/>
              <w:rPr>
                <w:sz w:val="18"/>
                <w:szCs w:val="18"/>
                <w:color w:val="auto"/>
              </w:rPr>
            </w:pPr>
          </w:p>
        </w:tc>
        <w:tc>
          <w:tcPr>
            <w:tcW w:w="28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20" w:type="dxa"/>
            <w:vAlign w:val="bottom"/>
            <w:tcBorders>
              <w:right w:val="single" w:sz="8" w:color="CCEEFF"/>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vMerge w:val="continue"/>
          </w:tcPr>
          <w:p>
            <w:pPr>
              <w:spacing w:after="0"/>
              <w:rPr>
                <w:sz w:val="18"/>
                <w:szCs w:val="18"/>
                <w:color w:val="auto"/>
              </w:rPr>
            </w:pPr>
          </w:p>
        </w:tc>
        <w:tc>
          <w:tcPr>
            <w:tcW w:w="8100" w:type="dxa"/>
            <w:vAlign w:val="bottom"/>
            <w:gridSpan w:val="7"/>
          </w:tcPr>
          <w:p>
            <w:pPr>
              <w:spacing w:after="0"/>
              <w:rPr>
                <w:sz w:val="20"/>
                <w:szCs w:val="20"/>
                <w:color w:val="auto"/>
              </w:rPr>
            </w:pPr>
            <w:r>
              <w:rPr>
                <w:rFonts w:ascii="Arial" w:cs="Arial" w:eastAsia="Arial" w:hAnsi="Arial"/>
                <w:sz w:val="18"/>
                <w:szCs w:val="18"/>
                <w:color w:val="auto"/>
              </w:rPr>
              <w:t>Cost of furniture and accessories sold</w:t>
            </w:r>
          </w:p>
        </w:tc>
        <w:tc>
          <w:tcPr>
            <w:tcW w:w="180" w:type="dxa"/>
            <w:vAlign w:val="bottom"/>
          </w:tcPr>
          <w:p>
            <w:pPr>
              <w:spacing w:after="0"/>
              <w:rPr>
                <w:sz w:val="18"/>
                <w:szCs w:val="18"/>
                <w:color w:val="auto"/>
              </w:rPr>
            </w:pPr>
          </w:p>
        </w:tc>
        <w:tc>
          <w:tcPr>
            <w:tcW w:w="1360" w:type="dxa"/>
            <w:vAlign w:val="bottom"/>
            <w:gridSpan w:val="3"/>
          </w:tcPr>
          <w:p>
            <w:pPr>
              <w:jc w:val="right"/>
              <w:ind w:right="40"/>
              <w:spacing w:after="0"/>
              <w:rPr>
                <w:sz w:val="20"/>
                <w:szCs w:val="20"/>
                <w:color w:val="auto"/>
              </w:rPr>
            </w:pPr>
            <w:r>
              <w:rPr>
                <w:rFonts w:ascii="Arial" w:cs="Arial" w:eastAsia="Arial" w:hAnsi="Arial"/>
                <w:sz w:val="18"/>
                <w:szCs w:val="18"/>
                <w:color w:val="auto"/>
              </w:rPr>
              <w:t>43,269</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20" w:type="dxa"/>
            <w:vAlign w:val="bottom"/>
            <w:gridSpan w:val="2"/>
          </w:tcPr>
          <w:p>
            <w:pPr>
              <w:jc w:val="right"/>
              <w:ind w:right="100"/>
              <w:spacing w:after="0"/>
              <w:rPr>
                <w:sz w:val="20"/>
                <w:szCs w:val="20"/>
                <w:color w:val="auto"/>
              </w:rPr>
            </w:pPr>
            <w:r>
              <w:rPr>
                <w:rFonts w:ascii="Arial" w:cs="Arial" w:eastAsia="Arial" w:hAnsi="Arial"/>
                <w:sz w:val="18"/>
                <w:szCs w:val="18"/>
                <w:color w:val="auto"/>
              </w:rPr>
              <w:t>41,898</w:t>
            </w:r>
          </w:p>
        </w:tc>
        <w:tc>
          <w:tcPr>
            <w:tcW w:w="0" w:type="dxa"/>
            <w:vAlign w:val="bottom"/>
          </w:tcPr>
          <w:p>
            <w:pPr>
              <w:spacing w:after="0"/>
              <w:rPr>
                <w:sz w:val="1"/>
                <w:szCs w:val="1"/>
                <w:color w:val="auto"/>
              </w:rPr>
            </w:pPr>
          </w:p>
        </w:tc>
      </w:tr>
      <w:tr>
        <w:trPr>
          <w:trHeight w:val="215"/>
        </w:trPr>
        <w:tc>
          <w:tcPr>
            <w:tcW w:w="20" w:type="dxa"/>
            <w:vAlign w:val="bottom"/>
            <w:vMerge w:val="restart"/>
          </w:tcPr>
          <w:p>
            <w:pPr>
              <w:spacing w:after="0"/>
              <w:rPr>
                <w:sz w:val="18"/>
                <w:szCs w:val="18"/>
                <w:color w:val="auto"/>
              </w:rPr>
            </w:pPr>
          </w:p>
        </w:tc>
        <w:tc>
          <w:tcPr>
            <w:tcW w:w="2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20" w:type="dxa"/>
            <w:vAlign w:val="bottom"/>
            <w:shd w:val="clear" w:color="auto" w:fill="CCEEFF"/>
          </w:tcPr>
          <w:p>
            <w:pPr>
              <w:spacing w:after="0"/>
              <w:rPr>
                <w:sz w:val="18"/>
                <w:szCs w:val="18"/>
                <w:color w:val="auto"/>
              </w:rPr>
            </w:pPr>
          </w:p>
        </w:tc>
        <w:tc>
          <w:tcPr>
            <w:tcW w:w="28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20" w:type="dxa"/>
            <w:vAlign w:val="bottom"/>
            <w:tcBorders>
              <w:right w:val="single" w:sz="8" w:color="CCEEFF"/>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vMerge w:val="continue"/>
          </w:tcPr>
          <w:p>
            <w:pPr>
              <w:spacing w:after="0"/>
              <w:rPr>
                <w:sz w:val="18"/>
                <w:szCs w:val="18"/>
                <w:color w:val="auto"/>
              </w:rPr>
            </w:pPr>
          </w:p>
        </w:tc>
        <w:tc>
          <w:tcPr>
            <w:tcW w:w="8100" w:type="dxa"/>
            <w:vAlign w:val="bottom"/>
            <w:gridSpan w:val="7"/>
          </w:tcPr>
          <w:p>
            <w:pPr>
              <w:spacing w:after="0"/>
              <w:rPr>
                <w:sz w:val="20"/>
                <w:szCs w:val="20"/>
                <w:color w:val="auto"/>
              </w:rPr>
            </w:pPr>
            <w:r>
              <w:rPr>
                <w:rFonts w:ascii="Arial" w:cs="Arial" w:eastAsia="Arial" w:hAnsi="Arial"/>
                <w:sz w:val="18"/>
                <w:szCs w:val="18"/>
                <w:color w:val="auto"/>
              </w:rPr>
              <w:t>Selling, general and administrative expenses excluding new store pre-opening costs</w:t>
            </w:r>
          </w:p>
        </w:tc>
        <w:tc>
          <w:tcPr>
            <w:tcW w:w="180" w:type="dxa"/>
            <w:vAlign w:val="bottom"/>
          </w:tcPr>
          <w:p>
            <w:pPr>
              <w:spacing w:after="0"/>
              <w:rPr>
                <w:sz w:val="18"/>
                <w:szCs w:val="18"/>
                <w:color w:val="auto"/>
              </w:rPr>
            </w:pPr>
          </w:p>
        </w:tc>
        <w:tc>
          <w:tcPr>
            <w:tcW w:w="1360" w:type="dxa"/>
            <w:vAlign w:val="bottom"/>
            <w:gridSpan w:val="3"/>
          </w:tcPr>
          <w:p>
            <w:pPr>
              <w:jc w:val="right"/>
              <w:ind w:right="40"/>
              <w:spacing w:after="0"/>
              <w:rPr>
                <w:sz w:val="20"/>
                <w:szCs w:val="20"/>
                <w:color w:val="auto"/>
              </w:rPr>
            </w:pPr>
            <w:r>
              <w:rPr>
                <w:rFonts w:ascii="Arial" w:cs="Arial" w:eastAsia="Arial" w:hAnsi="Arial"/>
                <w:sz w:val="18"/>
                <w:szCs w:val="18"/>
                <w:color w:val="auto"/>
              </w:rPr>
              <w:t>64,251</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20" w:type="dxa"/>
            <w:vAlign w:val="bottom"/>
            <w:gridSpan w:val="2"/>
          </w:tcPr>
          <w:p>
            <w:pPr>
              <w:jc w:val="right"/>
              <w:ind w:right="100"/>
              <w:spacing w:after="0"/>
              <w:rPr>
                <w:sz w:val="20"/>
                <w:szCs w:val="20"/>
                <w:color w:val="auto"/>
              </w:rPr>
            </w:pPr>
            <w:r>
              <w:rPr>
                <w:rFonts w:ascii="Arial" w:cs="Arial" w:eastAsia="Arial" w:hAnsi="Arial"/>
                <w:sz w:val="18"/>
                <w:szCs w:val="18"/>
                <w:color w:val="auto"/>
              </w:rPr>
              <w:t>58,524</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8100" w:type="dxa"/>
            <w:vAlign w:val="bottom"/>
            <w:tcBorders>
              <w:bottom w:val="single" w:sz="8" w:color="CCEEFF"/>
            </w:tcBorders>
            <w:gridSpan w:val="7"/>
            <w:shd w:val="clear" w:color="auto" w:fill="CCEEFF"/>
          </w:tcPr>
          <w:p>
            <w:pPr>
              <w:spacing w:after="0"/>
              <w:rPr>
                <w:sz w:val="20"/>
                <w:szCs w:val="20"/>
                <w:color w:val="auto"/>
              </w:rPr>
            </w:pPr>
            <w:r>
              <w:rPr>
                <w:rFonts w:ascii="Arial" w:cs="Arial" w:eastAsia="Arial" w:hAnsi="Arial"/>
                <w:sz w:val="18"/>
                <w:szCs w:val="18"/>
                <w:color w:val="auto"/>
              </w:rPr>
              <w:t>New store pre-opening costs</w:t>
            </w:r>
          </w:p>
        </w:tc>
        <w:tc>
          <w:tcPr>
            <w:tcW w:w="180" w:type="dxa"/>
            <w:vAlign w:val="bottom"/>
            <w:tcBorders>
              <w:bottom w:val="single" w:sz="8" w:color="auto"/>
            </w:tcBorders>
            <w:shd w:val="clear" w:color="auto" w:fill="CCEEFF"/>
          </w:tcPr>
          <w:p>
            <w:pPr>
              <w:spacing w:after="0"/>
              <w:rPr>
                <w:sz w:val="18"/>
                <w:szCs w:val="18"/>
                <w:color w:val="auto"/>
              </w:rPr>
            </w:pPr>
          </w:p>
        </w:tc>
        <w:tc>
          <w:tcPr>
            <w:tcW w:w="1360" w:type="dxa"/>
            <w:vAlign w:val="bottom"/>
            <w:tcBorders>
              <w:bottom w:val="single" w:sz="8" w:color="auto"/>
              <w:right w:val="single" w:sz="8" w:color="CCEEFF"/>
            </w:tcBorders>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702</w:t>
            </w:r>
          </w:p>
        </w:tc>
        <w:tc>
          <w:tcPr>
            <w:tcW w:w="18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806</w:t>
            </w:r>
          </w:p>
        </w:tc>
        <w:tc>
          <w:tcPr>
            <w:tcW w:w="10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8100" w:type="dxa"/>
            <w:vAlign w:val="bottom"/>
            <w:gridSpan w:val="7"/>
          </w:tcPr>
          <w:p>
            <w:pPr>
              <w:ind w:left="140"/>
              <w:spacing w:after="0"/>
              <w:rPr>
                <w:sz w:val="20"/>
                <w:szCs w:val="20"/>
                <w:color w:val="auto"/>
              </w:rPr>
            </w:pPr>
            <w:r>
              <w:rPr>
                <w:rFonts w:ascii="Arial" w:cs="Arial" w:eastAsia="Arial" w:hAnsi="Arial"/>
                <w:sz w:val="18"/>
                <w:szCs w:val="18"/>
                <w:color w:val="auto"/>
              </w:rPr>
              <w:t>Income from operations</w:t>
            </w:r>
          </w:p>
        </w:tc>
        <w:tc>
          <w:tcPr>
            <w:tcW w:w="180" w:type="dxa"/>
            <w:vAlign w:val="bottom"/>
          </w:tcPr>
          <w:p>
            <w:pPr>
              <w:spacing w:after="0"/>
              <w:rPr>
                <w:sz w:val="18"/>
                <w:szCs w:val="18"/>
                <w:color w:val="auto"/>
              </w:rPr>
            </w:pPr>
          </w:p>
        </w:tc>
        <w:tc>
          <w:tcPr>
            <w:tcW w:w="1360" w:type="dxa"/>
            <w:vAlign w:val="bottom"/>
            <w:gridSpan w:val="3"/>
          </w:tcPr>
          <w:p>
            <w:pPr>
              <w:jc w:val="right"/>
              <w:ind w:right="40"/>
              <w:spacing w:after="0"/>
              <w:rPr>
                <w:sz w:val="20"/>
                <w:szCs w:val="20"/>
                <w:color w:val="auto"/>
              </w:rPr>
            </w:pPr>
            <w:r>
              <w:rPr>
                <w:rFonts w:ascii="Arial" w:cs="Arial" w:eastAsia="Arial" w:hAnsi="Arial"/>
                <w:sz w:val="18"/>
                <w:szCs w:val="18"/>
                <w:color w:val="auto"/>
              </w:rPr>
              <w:t>2,050</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20" w:type="dxa"/>
            <w:vAlign w:val="bottom"/>
            <w:gridSpan w:val="2"/>
          </w:tcPr>
          <w:p>
            <w:pPr>
              <w:jc w:val="right"/>
              <w:ind w:right="100"/>
              <w:spacing w:after="0"/>
              <w:rPr>
                <w:sz w:val="20"/>
                <w:szCs w:val="20"/>
                <w:color w:val="auto"/>
              </w:rPr>
            </w:pPr>
            <w:r>
              <w:rPr>
                <w:rFonts w:ascii="Arial" w:cs="Arial" w:eastAsia="Arial" w:hAnsi="Arial"/>
                <w:sz w:val="18"/>
                <w:szCs w:val="18"/>
                <w:color w:val="auto"/>
              </w:rPr>
              <w:t>4,664</w:t>
            </w:r>
          </w:p>
        </w:tc>
        <w:tc>
          <w:tcPr>
            <w:tcW w:w="0" w:type="dxa"/>
            <w:vAlign w:val="bottom"/>
          </w:tcPr>
          <w:p>
            <w:pPr>
              <w:spacing w:after="0"/>
              <w:rPr>
                <w:sz w:val="1"/>
                <w:szCs w:val="1"/>
                <w:color w:val="auto"/>
              </w:rPr>
            </w:pPr>
          </w:p>
        </w:tc>
      </w:tr>
      <w:tr>
        <w:trPr>
          <w:trHeight w:val="215"/>
        </w:trPr>
        <w:tc>
          <w:tcPr>
            <w:tcW w:w="20" w:type="dxa"/>
            <w:vAlign w:val="bottom"/>
            <w:vMerge w:val="restart"/>
          </w:tcPr>
          <w:p>
            <w:pPr>
              <w:spacing w:after="0"/>
              <w:rPr>
                <w:sz w:val="18"/>
                <w:szCs w:val="18"/>
                <w:color w:val="auto"/>
              </w:rPr>
            </w:pPr>
          </w:p>
        </w:tc>
        <w:tc>
          <w:tcPr>
            <w:tcW w:w="2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20" w:type="dxa"/>
            <w:vAlign w:val="bottom"/>
            <w:shd w:val="clear" w:color="auto" w:fill="CCEEFF"/>
          </w:tcPr>
          <w:p>
            <w:pPr>
              <w:spacing w:after="0"/>
              <w:rPr>
                <w:sz w:val="18"/>
                <w:szCs w:val="18"/>
                <w:color w:val="auto"/>
              </w:rPr>
            </w:pPr>
          </w:p>
        </w:tc>
        <w:tc>
          <w:tcPr>
            <w:tcW w:w="28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20" w:type="dxa"/>
            <w:vAlign w:val="bottom"/>
            <w:tcBorders>
              <w:right w:val="single" w:sz="8" w:color="CCEEFF"/>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vMerge w:val="continue"/>
          </w:tcPr>
          <w:p>
            <w:pPr>
              <w:spacing w:after="0"/>
              <w:rPr>
                <w:sz w:val="18"/>
                <w:szCs w:val="18"/>
                <w:color w:val="auto"/>
              </w:rPr>
            </w:pPr>
          </w:p>
        </w:tc>
        <w:tc>
          <w:tcPr>
            <w:tcW w:w="8100" w:type="dxa"/>
            <w:vAlign w:val="bottom"/>
            <w:gridSpan w:val="7"/>
          </w:tcPr>
          <w:p>
            <w:pPr>
              <w:spacing w:after="0"/>
              <w:rPr>
                <w:sz w:val="20"/>
                <w:szCs w:val="20"/>
                <w:color w:val="auto"/>
              </w:rPr>
            </w:pPr>
            <w:r>
              <w:rPr>
                <w:rFonts w:ascii="Arial" w:cs="Arial" w:eastAsia="Arial" w:hAnsi="Arial"/>
                <w:sz w:val="18"/>
                <w:szCs w:val="18"/>
                <w:color w:val="auto"/>
              </w:rPr>
              <w:t>Other loss, net</w:t>
            </w:r>
          </w:p>
        </w:tc>
        <w:tc>
          <w:tcPr>
            <w:tcW w:w="180" w:type="dxa"/>
            <w:vAlign w:val="bottom"/>
          </w:tcPr>
          <w:p>
            <w:pPr>
              <w:spacing w:after="0"/>
              <w:rPr>
                <w:sz w:val="18"/>
                <w:szCs w:val="18"/>
                <w:color w:val="auto"/>
              </w:rPr>
            </w:pPr>
          </w:p>
        </w:tc>
        <w:tc>
          <w:tcPr>
            <w:tcW w:w="1540" w:type="dxa"/>
            <w:vAlign w:val="bottom"/>
            <w:gridSpan w:val="4"/>
          </w:tcPr>
          <w:p>
            <w:pPr>
              <w:jc w:val="right"/>
              <w:ind w:right="160"/>
              <w:spacing w:after="0"/>
              <w:rPr>
                <w:sz w:val="20"/>
                <w:szCs w:val="20"/>
                <w:color w:val="auto"/>
              </w:rPr>
            </w:pPr>
            <w:r>
              <w:rPr>
                <w:rFonts w:ascii="Arial" w:cs="Arial" w:eastAsia="Arial" w:hAnsi="Arial"/>
                <w:sz w:val="18"/>
                <w:szCs w:val="18"/>
                <w:color w:val="auto"/>
              </w:rPr>
              <w:t>(627)</w:t>
            </w:r>
          </w:p>
        </w:tc>
        <w:tc>
          <w:tcPr>
            <w:tcW w:w="160" w:type="dxa"/>
            <w:vAlign w:val="bottom"/>
          </w:tcPr>
          <w:p>
            <w:pPr>
              <w:spacing w:after="0"/>
              <w:rPr>
                <w:sz w:val="18"/>
                <w:szCs w:val="18"/>
                <w:color w:val="auto"/>
              </w:rPr>
            </w:pPr>
          </w:p>
        </w:tc>
        <w:tc>
          <w:tcPr>
            <w:tcW w:w="1420" w:type="dxa"/>
            <w:vAlign w:val="bottom"/>
            <w:gridSpan w:val="2"/>
          </w:tcPr>
          <w:p>
            <w:pPr>
              <w:jc w:val="right"/>
              <w:ind w:right="40"/>
              <w:spacing w:after="0"/>
              <w:rPr>
                <w:sz w:val="20"/>
                <w:szCs w:val="20"/>
                <w:color w:val="auto"/>
              </w:rPr>
            </w:pPr>
            <w:r>
              <w:rPr>
                <w:rFonts w:ascii="Arial" w:cs="Arial" w:eastAsia="Arial" w:hAnsi="Arial"/>
                <w:sz w:val="18"/>
                <w:szCs w:val="18"/>
                <w:color w:val="auto"/>
              </w:rPr>
              <w:t>(733)</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8100" w:type="dxa"/>
            <w:vAlign w:val="bottom"/>
            <w:gridSpan w:val="7"/>
            <w:shd w:val="clear" w:color="auto" w:fill="CCEEFF"/>
          </w:tcPr>
          <w:p>
            <w:pPr>
              <w:spacing w:after="0"/>
              <w:rPr>
                <w:sz w:val="20"/>
                <w:szCs w:val="20"/>
                <w:color w:val="auto"/>
              </w:rPr>
            </w:pPr>
            <w:r>
              <w:rPr>
                <w:rFonts w:ascii="Arial" w:cs="Arial" w:eastAsia="Arial" w:hAnsi="Arial"/>
                <w:sz w:val="18"/>
                <w:szCs w:val="18"/>
                <w:color w:val="auto"/>
              </w:rPr>
              <w:t>Income before income taxes</w:t>
            </w:r>
          </w:p>
        </w:tc>
        <w:tc>
          <w:tcPr>
            <w:tcW w:w="180" w:type="dxa"/>
            <w:vAlign w:val="bottom"/>
            <w:tcBorders>
              <w:top w:val="single" w:sz="8" w:color="auto"/>
            </w:tcBorders>
            <w:shd w:val="clear" w:color="auto" w:fill="CCEEFF"/>
          </w:tcPr>
          <w:p>
            <w:pPr>
              <w:spacing w:after="0"/>
              <w:rPr>
                <w:sz w:val="18"/>
                <w:szCs w:val="18"/>
                <w:color w:val="auto"/>
              </w:rPr>
            </w:pPr>
          </w:p>
        </w:tc>
        <w:tc>
          <w:tcPr>
            <w:tcW w:w="1360" w:type="dxa"/>
            <w:vAlign w:val="bottom"/>
            <w:tcBorders>
              <w:top w:val="single" w:sz="8" w:color="auto"/>
              <w:right w:val="single" w:sz="8" w:color="CCEEFF"/>
            </w:tcBorders>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1,423</w:t>
            </w:r>
          </w:p>
        </w:tc>
        <w:tc>
          <w:tcPr>
            <w:tcW w:w="18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13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3,931</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2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8100" w:type="dxa"/>
            <w:vAlign w:val="bottom"/>
            <w:gridSpan w:val="7"/>
            <w:shd w:val="clear" w:color="auto" w:fill="CCEEFF"/>
          </w:tcPr>
          <w:p>
            <w:pPr>
              <w:ind w:left="140"/>
              <w:spacing w:after="0"/>
              <w:rPr>
                <w:sz w:val="20"/>
                <w:szCs w:val="20"/>
                <w:color w:val="auto"/>
              </w:rPr>
            </w:pPr>
            <w:r>
              <w:rPr>
                <w:rFonts w:ascii="Arial" w:cs="Arial" w:eastAsia="Arial" w:hAnsi="Arial"/>
                <w:sz w:val="18"/>
                <w:szCs w:val="18"/>
                <w:color w:val="auto"/>
              </w:rPr>
              <w:t>Income tax expense</w:t>
            </w:r>
          </w:p>
        </w:tc>
        <w:tc>
          <w:tcPr>
            <w:tcW w:w="180" w:type="dxa"/>
            <w:vAlign w:val="bottom"/>
            <w:shd w:val="clear" w:color="auto" w:fill="CCEEFF"/>
          </w:tcPr>
          <w:p>
            <w:pPr>
              <w:spacing w:after="0"/>
              <w:rPr>
                <w:sz w:val="18"/>
                <w:szCs w:val="18"/>
                <w:color w:val="auto"/>
              </w:rPr>
            </w:pPr>
          </w:p>
        </w:tc>
        <w:tc>
          <w:tcPr>
            <w:tcW w:w="1360" w:type="dxa"/>
            <w:vAlign w:val="bottom"/>
            <w:tcBorders>
              <w:right w:val="single" w:sz="8" w:color="CCEEFF"/>
            </w:tcBorders>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2,336</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1,070</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2240" w:type="dxa"/>
            <w:vAlign w:val="bottom"/>
            <w:tcBorders>
              <w:top w:val="single" w:sz="8" w:color="CCEEFF"/>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560" w:type="dxa"/>
            <w:vAlign w:val="bottom"/>
            <w:tcBorders>
              <w:top w:val="single" w:sz="8" w:color="CCEEFF"/>
            </w:tcBorders>
          </w:tcPr>
          <w:p>
            <w:pPr>
              <w:spacing w:after="0"/>
              <w:rPr>
                <w:sz w:val="18"/>
                <w:szCs w:val="18"/>
                <w:color w:val="auto"/>
              </w:rPr>
            </w:pPr>
          </w:p>
        </w:tc>
        <w:tc>
          <w:tcPr>
            <w:tcW w:w="20" w:type="dxa"/>
            <w:vAlign w:val="bottom"/>
            <w:tcBorders>
              <w:top w:val="single" w:sz="8" w:color="CCEEFF"/>
            </w:tcBorders>
          </w:tcPr>
          <w:p>
            <w:pPr>
              <w:spacing w:after="0"/>
              <w:rPr>
                <w:sz w:val="18"/>
                <w:szCs w:val="18"/>
                <w:color w:val="auto"/>
              </w:rPr>
            </w:pPr>
          </w:p>
        </w:tc>
        <w:tc>
          <w:tcPr>
            <w:tcW w:w="1420" w:type="dxa"/>
            <w:vAlign w:val="bottom"/>
            <w:tcBorders>
              <w:top w:val="single" w:sz="8" w:color="CCEEFF"/>
            </w:tcBorders>
          </w:tcPr>
          <w:p>
            <w:pPr>
              <w:spacing w:after="0"/>
              <w:rPr>
                <w:sz w:val="18"/>
                <w:szCs w:val="18"/>
                <w:color w:val="auto"/>
              </w:rPr>
            </w:pPr>
          </w:p>
        </w:tc>
        <w:tc>
          <w:tcPr>
            <w:tcW w:w="2800" w:type="dxa"/>
            <w:vAlign w:val="bottom"/>
            <w:tcBorders>
              <w:top w:val="single" w:sz="8" w:color="CCEEFF"/>
            </w:tcBorders>
          </w:tcPr>
          <w:p>
            <w:pPr>
              <w:spacing w:after="0"/>
              <w:rPr>
                <w:sz w:val="18"/>
                <w:szCs w:val="18"/>
                <w:color w:val="auto"/>
              </w:rPr>
            </w:pPr>
          </w:p>
        </w:tc>
        <w:tc>
          <w:tcPr>
            <w:tcW w:w="960" w:type="dxa"/>
            <w:vAlign w:val="bottom"/>
            <w:tcBorders>
              <w:top w:val="single" w:sz="8" w:color="CCEEFF"/>
            </w:tcBorders>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spacing w:after="0"/>
              <w:rPr>
                <w:sz w:val="18"/>
                <w:szCs w:val="18"/>
                <w:color w:val="auto"/>
              </w:rPr>
            </w:pPr>
          </w:p>
        </w:tc>
        <w:tc>
          <w:tcPr>
            <w:tcW w:w="540" w:type="dxa"/>
            <w:vAlign w:val="bottom"/>
            <w:tcBorders>
              <w:top w:val="single" w:sz="8" w:color="auto"/>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80" w:type="dxa"/>
            <w:vAlign w:val="bottom"/>
            <w:tcBorders>
              <w:top w:val="single" w:sz="8" w:color="CCEEFF"/>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32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8100" w:type="dxa"/>
            <w:vAlign w:val="bottom"/>
            <w:gridSpan w:val="7"/>
            <w:shd w:val="clear" w:color="auto" w:fill="CCEEFF"/>
          </w:tcPr>
          <w:p>
            <w:pPr>
              <w:ind w:left="140"/>
              <w:spacing w:after="0"/>
              <w:rPr>
                <w:sz w:val="20"/>
                <w:szCs w:val="20"/>
                <w:color w:val="auto"/>
              </w:rPr>
            </w:pPr>
            <w:r>
              <w:rPr>
                <w:rFonts w:ascii="Arial" w:cs="Arial" w:eastAsia="Arial" w:hAnsi="Arial"/>
                <w:sz w:val="18"/>
                <w:szCs w:val="18"/>
                <w:color w:val="auto"/>
              </w:rPr>
              <w:t>Net income (loss)</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540" w:type="dxa"/>
            <w:vAlign w:val="bottom"/>
            <w:gridSpan w:val="4"/>
            <w:shd w:val="clear" w:color="auto" w:fill="CCEEFF"/>
          </w:tcPr>
          <w:p>
            <w:pPr>
              <w:jc w:val="right"/>
              <w:ind w:right="160"/>
              <w:spacing w:after="0"/>
              <w:rPr>
                <w:sz w:val="20"/>
                <w:szCs w:val="20"/>
                <w:color w:val="auto"/>
              </w:rPr>
            </w:pPr>
            <w:r>
              <w:rPr>
                <w:rFonts w:ascii="Arial" w:cs="Arial" w:eastAsia="Arial" w:hAnsi="Arial"/>
                <w:sz w:val="18"/>
                <w:szCs w:val="18"/>
                <w:color w:val="auto"/>
              </w:rPr>
              <w:t>(913)</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4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2,861</w:t>
            </w:r>
          </w:p>
        </w:tc>
        <w:tc>
          <w:tcPr>
            <w:tcW w:w="0" w:type="dxa"/>
            <w:vAlign w:val="bottom"/>
          </w:tcPr>
          <w:p>
            <w:pPr>
              <w:spacing w:after="0"/>
              <w:rPr>
                <w:sz w:val="1"/>
                <w:szCs w:val="1"/>
                <w:color w:val="auto"/>
              </w:rPr>
            </w:pPr>
          </w:p>
        </w:tc>
      </w:tr>
      <w:tr>
        <w:trPr>
          <w:trHeight w:val="215"/>
        </w:trPr>
        <w:tc>
          <w:tcPr>
            <w:tcW w:w="20" w:type="dxa"/>
            <w:vAlign w:val="bottom"/>
            <w:vMerge w:val="restart"/>
          </w:tcPr>
          <w:p>
            <w:pPr>
              <w:spacing w:after="0"/>
              <w:rPr>
                <w:sz w:val="18"/>
                <w:szCs w:val="18"/>
                <w:color w:val="auto"/>
              </w:rPr>
            </w:pPr>
          </w:p>
        </w:tc>
        <w:tc>
          <w:tcPr>
            <w:tcW w:w="2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vMerge w:val="continue"/>
          </w:tcPr>
          <w:p>
            <w:pPr>
              <w:spacing w:after="0"/>
              <w:rPr>
                <w:sz w:val="18"/>
                <w:szCs w:val="18"/>
                <w:color w:val="auto"/>
              </w:rPr>
            </w:pPr>
          </w:p>
        </w:tc>
        <w:tc>
          <w:tcPr>
            <w:tcW w:w="8100" w:type="dxa"/>
            <w:vAlign w:val="bottom"/>
            <w:gridSpan w:val="7"/>
            <w:shd w:val="clear" w:color="auto" w:fill="CCEEFF"/>
          </w:tcPr>
          <w:p>
            <w:pPr>
              <w:spacing w:after="0"/>
              <w:rPr>
                <w:sz w:val="20"/>
                <w:szCs w:val="20"/>
                <w:color w:val="auto"/>
              </w:rPr>
            </w:pPr>
            <w:r>
              <w:rPr>
                <w:rFonts w:ascii="Arial" w:cs="Arial" w:eastAsia="Arial" w:hAnsi="Arial"/>
                <w:sz w:val="18"/>
                <w:szCs w:val="18"/>
                <w:color w:val="auto"/>
              </w:rPr>
              <w:t>Retained earnings-beginning of period</w:t>
            </w:r>
          </w:p>
        </w:tc>
        <w:tc>
          <w:tcPr>
            <w:tcW w:w="180" w:type="dxa"/>
            <w:vAlign w:val="bottom"/>
            <w:shd w:val="clear" w:color="auto" w:fill="CCEEFF"/>
          </w:tcPr>
          <w:p>
            <w:pPr>
              <w:spacing w:after="0"/>
              <w:rPr>
                <w:sz w:val="18"/>
                <w:szCs w:val="18"/>
                <w:color w:val="auto"/>
              </w:rPr>
            </w:pPr>
          </w:p>
        </w:tc>
        <w:tc>
          <w:tcPr>
            <w:tcW w:w="1360" w:type="dxa"/>
            <w:vAlign w:val="bottom"/>
            <w:tcBorders>
              <w:right w:val="single" w:sz="8" w:color="CCEEFF"/>
            </w:tcBorders>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139,378</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129,388</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8100" w:type="dxa"/>
            <w:vAlign w:val="bottom"/>
            <w:gridSpan w:val="7"/>
          </w:tcPr>
          <w:p>
            <w:pPr>
              <w:spacing w:after="0"/>
              <w:rPr>
                <w:sz w:val="20"/>
                <w:szCs w:val="20"/>
                <w:color w:val="auto"/>
              </w:rPr>
            </w:pPr>
            <w:r>
              <w:rPr>
                <w:rFonts w:ascii="Arial" w:cs="Arial" w:eastAsia="Arial" w:hAnsi="Arial"/>
                <w:sz w:val="18"/>
                <w:szCs w:val="18"/>
                <w:color w:val="auto"/>
              </w:rPr>
              <w:t>Reclassification of certain tax effects from accumulated other comprehensive loss</w:t>
            </w:r>
          </w:p>
        </w:tc>
        <w:tc>
          <w:tcPr>
            <w:tcW w:w="180" w:type="dxa"/>
            <w:vAlign w:val="bottom"/>
          </w:tcPr>
          <w:p>
            <w:pPr>
              <w:spacing w:after="0"/>
              <w:rPr>
                <w:sz w:val="18"/>
                <w:szCs w:val="18"/>
                <w:color w:val="auto"/>
              </w:rPr>
            </w:pPr>
          </w:p>
        </w:tc>
        <w:tc>
          <w:tcPr>
            <w:tcW w:w="1360" w:type="dxa"/>
            <w:vAlign w:val="bottom"/>
            <w:gridSpan w:val="3"/>
          </w:tcPr>
          <w:p>
            <w:pPr>
              <w:jc w:val="right"/>
              <w:ind w:right="40"/>
              <w:spacing w:after="0"/>
              <w:rPr>
                <w:sz w:val="20"/>
                <w:szCs w:val="20"/>
                <w:color w:val="auto"/>
              </w:rPr>
            </w:pPr>
            <w:r>
              <w:rPr>
                <w:rFonts w:ascii="Arial" w:cs="Arial" w:eastAsia="Arial" w:hAnsi="Arial"/>
                <w:sz w:val="18"/>
                <w:szCs w:val="18"/>
                <w:color w:val="auto"/>
              </w:rPr>
              <w:t>545</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8100" w:type="dxa"/>
            <w:vAlign w:val="bottom"/>
            <w:gridSpan w:val="7"/>
            <w:shd w:val="clear" w:color="auto" w:fill="CCEEFF"/>
          </w:tcPr>
          <w:p>
            <w:pPr>
              <w:spacing w:after="0"/>
              <w:rPr>
                <w:sz w:val="20"/>
                <w:szCs w:val="20"/>
                <w:color w:val="auto"/>
              </w:rPr>
            </w:pPr>
            <w:r>
              <w:rPr>
                <w:rFonts w:ascii="Arial" w:cs="Arial" w:eastAsia="Arial" w:hAnsi="Arial"/>
                <w:sz w:val="18"/>
                <w:szCs w:val="18"/>
                <w:color w:val="auto"/>
              </w:rPr>
              <w:t>Cash dividends</w:t>
            </w:r>
          </w:p>
        </w:tc>
        <w:tc>
          <w:tcPr>
            <w:tcW w:w="180" w:type="dxa"/>
            <w:vAlign w:val="bottom"/>
            <w:shd w:val="clear" w:color="auto" w:fill="CCEEFF"/>
          </w:tcPr>
          <w:p>
            <w:pPr>
              <w:spacing w:after="0"/>
              <w:rPr>
                <w:sz w:val="18"/>
                <w:szCs w:val="18"/>
                <w:color w:val="auto"/>
              </w:rPr>
            </w:pPr>
          </w:p>
        </w:tc>
        <w:tc>
          <w:tcPr>
            <w:tcW w:w="1540" w:type="dxa"/>
            <w:vAlign w:val="bottom"/>
            <w:gridSpan w:val="4"/>
            <w:shd w:val="clear" w:color="auto" w:fill="CCEEFF"/>
          </w:tcPr>
          <w:p>
            <w:pPr>
              <w:jc w:val="right"/>
              <w:ind w:right="160"/>
              <w:spacing w:after="0"/>
              <w:rPr>
                <w:sz w:val="20"/>
                <w:szCs w:val="20"/>
                <w:color w:val="auto"/>
              </w:rPr>
            </w:pPr>
            <w:r>
              <w:rPr>
                <w:rFonts w:ascii="Arial" w:cs="Arial" w:eastAsia="Arial" w:hAnsi="Arial"/>
                <w:sz w:val="18"/>
                <w:szCs w:val="18"/>
                <w:color w:val="auto"/>
              </w:rPr>
              <w:t>(1,183)</w:t>
            </w:r>
          </w:p>
        </w:tc>
        <w:tc>
          <w:tcPr>
            <w:tcW w:w="16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(1,071)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24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560" w:type="dxa"/>
            <w:vAlign w:val="bottom"/>
            <w:shd w:val="clear" w:color="auto" w:fill="CCEEFF"/>
          </w:tcPr>
          <w:p>
            <w:pPr>
              <w:spacing w:after="0" w:line="20" w:lineRule="exact"/>
              <w:rPr>
                <w:sz w:val="1"/>
                <w:szCs w:val="1"/>
                <w:color w:val="auto"/>
              </w:rPr>
            </w:pPr>
          </w:p>
        </w:tc>
        <w:tc>
          <w:tcPr>
            <w:tcW w:w="20" w:type="dxa"/>
            <w:vAlign w:val="bottom"/>
            <w:shd w:val="clear" w:color="auto" w:fill="CCEEFF"/>
          </w:tcPr>
          <w:p>
            <w:pPr>
              <w:spacing w:after="0" w:line="20" w:lineRule="exact"/>
              <w:rPr>
                <w:sz w:val="1"/>
                <w:szCs w:val="1"/>
                <w:color w:val="auto"/>
              </w:rPr>
            </w:pPr>
          </w:p>
        </w:tc>
        <w:tc>
          <w:tcPr>
            <w:tcW w:w="1420" w:type="dxa"/>
            <w:vAlign w:val="bottom"/>
            <w:shd w:val="clear" w:color="auto" w:fill="CCEEFF"/>
          </w:tcPr>
          <w:p>
            <w:pPr>
              <w:spacing w:after="0" w:line="20" w:lineRule="exact"/>
              <w:rPr>
                <w:sz w:val="1"/>
                <w:szCs w:val="1"/>
                <w:color w:val="auto"/>
              </w:rPr>
            </w:pPr>
          </w:p>
        </w:tc>
        <w:tc>
          <w:tcPr>
            <w:tcW w:w="2800" w:type="dxa"/>
            <w:vAlign w:val="bottom"/>
            <w:shd w:val="clear" w:color="auto" w:fill="CCEEFF"/>
          </w:tcPr>
          <w:p>
            <w:pPr>
              <w:spacing w:after="0" w:line="20" w:lineRule="exact"/>
              <w:rPr>
                <w:sz w:val="1"/>
                <w:szCs w:val="1"/>
                <w:color w:val="auto"/>
              </w:rPr>
            </w:pPr>
          </w:p>
        </w:tc>
        <w:tc>
          <w:tcPr>
            <w:tcW w:w="960" w:type="dxa"/>
            <w:vAlign w:val="bottom"/>
            <w:shd w:val="clear" w:color="auto" w:fill="CCEEFF"/>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20" w:type="dxa"/>
            <w:vAlign w:val="bottom"/>
            <w:tcBorders>
              <w:right w:val="single" w:sz="8" w:color="CCEEFF"/>
            </w:tcBorders>
            <w:shd w:val="clear" w:color="auto" w:fill="000000"/>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8120" w:type="dxa"/>
            <w:vAlign w:val="bottom"/>
            <w:gridSpan w:val="8"/>
          </w:tcPr>
          <w:p>
            <w:pPr>
              <w:spacing w:after="0"/>
              <w:rPr>
                <w:sz w:val="20"/>
                <w:szCs w:val="20"/>
                <w:color w:val="auto"/>
              </w:rPr>
            </w:pPr>
            <w:r>
              <w:rPr>
                <w:rFonts w:ascii="Arial" w:cs="Arial" w:eastAsia="Arial" w:hAnsi="Arial"/>
                <w:sz w:val="18"/>
                <w:szCs w:val="18"/>
                <w:color w:val="auto"/>
              </w:rPr>
              <w:t>Retained earnings-end of period</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60" w:type="dxa"/>
            <w:vAlign w:val="bottom"/>
            <w:gridSpan w:val="3"/>
          </w:tcPr>
          <w:p>
            <w:pPr>
              <w:jc w:val="right"/>
              <w:ind w:right="40"/>
              <w:spacing w:after="0"/>
              <w:rPr>
                <w:sz w:val="20"/>
                <w:szCs w:val="20"/>
                <w:color w:val="auto"/>
              </w:rPr>
            </w:pPr>
            <w:r>
              <w:rPr>
                <w:rFonts w:ascii="Arial" w:cs="Arial" w:eastAsia="Arial" w:hAnsi="Arial"/>
                <w:sz w:val="18"/>
                <w:szCs w:val="18"/>
                <w:color w:val="auto"/>
              </w:rPr>
              <w:t>137,827</w:t>
            </w:r>
          </w:p>
        </w:tc>
        <w:tc>
          <w:tcPr>
            <w:tcW w:w="18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420" w:type="dxa"/>
            <w:vAlign w:val="bottom"/>
            <w:gridSpan w:val="2"/>
          </w:tcPr>
          <w:p>
            <w:pPr>
              <w:jc w:val="right"/>
              <w:ind w:right="100"/>
              <w:spacing w:after="0"/>
              <w:rPr>
                <w:sz w:val="20"/>
                <w:szCs w:val="20"/>
                <w:color w:val="auto"/>
              </w:rPr>
            </w:pPr>
            <w:r>
              <w:rPr>
                <w:rFonts w:ascii="Arial" w:cs="Arial" w:eastAsia="Arial" w:hAnsi="Arial"/>
                <w:sz w:val="18"/>
                <w:szCs w:val="18"/>
                <w:color w:val="auto"/>
              </w:rPr>
              <w:t>131,178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280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20" w:type="dxa"/>
            <w:vAlign w:val="bottom"/>
          </w:tcPr>
          <w:p>
            <w:pPr>
              <w:spacing w:after="0"/>
              <w:rPr>
                <w:sz w:val="17"/>
                <w:szCs w:val="17"/>
                <w:color w:val="auto"/>
              </w:rPr>
            </w:pPr>
          </w:p>
        </w:tc>
        <w:tc>
          <w:tcPr>
            <w:tcW w:w="22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420" w:type="dxa"/>
            <w:vAlign w:val="bottom"/>
            <w:shd w:val="clear" w:color="auto" w:fill="CCEEFF"/>
          </w:tcPr>
          <w:p>
            <w:pPr>
              <w:spacing w:after="0"/>
              <w:rPr>
                <w:sz w:val="17"/>
                <w:szCs w:val="17"/>
                <w:color w:val="auto"/>
              </w:rPr>
            </w:pPr>
          </w:p>
        </w:tc>
        <w:tc>
          <w:tcPr>
            <w:tcW w:w="280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20" w:type="dxa"/>
            <w:vAlign w:val="bottom"/>
            <w:tcBorders>
              <w:right w:val="single" w:sz="8" w:color="CCEEFF"/>
            </w:tcBorders>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3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5"/>
        </w:trPr>
        <w:tc>
          <w:tcPr>
            <w:tcW w:w="8120" w:type="dxa"/>
            <w:vAlign w:val="bottom"/>
            <w:gridSpan w:val="8"/>
          </w:tcPr>
          <w:p>
            <w:pPr>
              <w:spacing w:after="0"/>
              <w:rPr>
                <w:sz w:val="20"/>
                <w:szCs w:val="20"/>
                <w:color w:val="auto"/>
              </w:rPr>
            </w:pPr>
            <w:r>
              <w:rPr>
                <w:rFonts w:ascii="Arial" w:cs="Arial" w:eastAsia="Arial" w:hAnsi="Arial"/>
                <w:sz w:val="18"/>
                <w:szCs w:val="18"/>
                <w:color w:val="auto"/>
              </w:rPr>
              <w:t>Basic earnings (loss) per share</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540" w:type="dxa"/>
            <w:vAlign w:val="bottom"/>
            <w:gridSpan w:val="4"/>
          </w:tcPr>
          <w:p>
            <w:pPr>
              <w:jc w:val="right"/>
              <w:ind w:right="160"/>
              <w:spacing w:after="0"/>
              <w:rPr>
                <w:sz w:val="20"/>
                <w:szCs w:val="20"/>
                <w:color w:val="auto"/>
              </w:rPr>
            </w:pPr>
            <w:r>
              <w:rPr>
                <w:rFonts w:ascii="Arial" w:cs="Arial" w:eastAsia="Arial" w:hAnsi="Arial"/>
                <w:sz w:val="18"/>
                <w:szCs w:val="18"/>
                <w:color w:val="auto"/>
              </w:rPr>
              <w:t>(0.09)</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420" w:type="dxa"/>
            <w:vAlign w:val="bottom"/>
            <w:gridSpan w:val="2"/>
          </w:tcPr>
          <w:p>
            <w:pPr>
              <w:jc w:val="right"/>
              <w:ind w:right="100"/>
              <w:spacing w:after="0"/>
              <w:rPr>
                <w:sz w:val="20"/>
                <w:szCs w:val="20"/>
                <w:color w:val="auto"/>
              </w:rPr>
            </w:pPr>
            <w:r>
              <w:rPr>
                <w:rFonts w:ascii="Arial" w:cs="Arial" w:eastAsia="Arial" w:hAnsi="Arial"/>
                <w:sz w:val="18"/>
                <w:szCs w:val="18"/>
                <w:color w:val="auto"/>
              </w:rPr>
              <w:t>0.27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280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20" w:type="dxa"/>
            <w:vAlign w:val="bottom"/>
          </w:tcPr>
          <w:p>
            <w:pPr>
              <w:spacing w:after="0"/>
              <w:rPr>
                <w:sz w:val="17"/>
                <w:szCs w:val="17"/>
                <w:color w:val="auto"/>
              </w:rPr>
            </w:pPr>
          </w:p>
        </w:tc>
        <w:tc>
          <w:tcPr>
            <w:tcW w:w="22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420" w:type="dxa"/>
            <w:vAlign w:val="bottom"/>
            <w:shd w:val="clear" w:color="auto" w:fill="CCEEFF"/>
          </w:tcPr>
          <w:p>
            <w:pPr>
              <w:spacing w:after="0"/>
              <w:rPr>
                <w:sz w:val="17"/>
                <w:szCs w:val="17"/>
                <w:color w:val="auto"/>
              </w:rPr>
            </w:pPr>
          </w:p>
        </w:tc>
        <w:tc>
          <w:tcPr>
            <w:tcW w:w="280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20" w:type="dxa"/>
            <w:vAlign w:val="bottom"/>
            <w:tcBorders>
              <w:right w:val="single" w:sz="8" w:color="CCEEFF"/>
            </w:tcBorders>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3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5"/>
        </w:trPr>
        <w:tc>
          <w:tcPr>
            <w:tcW w:w="8120" w:type="dxa"/>
            <w:vAlign w:val="bottom"/>
            <w:gridSpan w:val="8"/>
          </w:tcPr>
          <w:p>
            <w:pPr>
              <w:spacing w:after="0"/>
              <w:rPr>
                <w:sz w:val="20"/>
                <w:szCs w:val="20"/>
                <w:color w:val="auto"/>
              </w:rPr>
            </w:pPr>
            <w:r>
              <w:rPr>
                <w:rFonts w:ascii="Arial" w:cs="Arial" w:eastAsia="Arial" w:hAnsi="Arial"/>
                <w:sz w:val="18"/>
                <w:szCs w:val="18"/>
                <w:color w:val="auto"/>
              </w:rPr>
              <w:t>Diluted earnings (loss) per share</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540" w:type="dxa"/>
            <w:vAlign w:val="bottom"/>
            <w:gridSpan w:val="4"/>
          </w:tcPr>
          <w:p>
            <w:pPr>
              <w:jc w:val="right"/>
              <w:ind w:right="160"/>
              <w:spacing w:after="0"/>
              <w:rPr>
                <w:sz w:val="20"/>
                <w:szCs w:val="20"/>
                <w:color w:val="auto"/>
              </w:rPr>
            </w:pPr>
            <w:r>
              <w:rPr>
                <w:rFonts w:ascii="Arial" w:cs="Arial" w:eastAsia="Arial" w:hAnsi="Arial"/>
                <w:sz w:val="18"/>
                <w:szCs w:val="18"/>
                <w:color w:val="auto"/>
              </w:rPr>
              <w:t>(0.09)</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420" w:type="dxa"/>
            <w:vAlign w:val="bottom"/>
            <w:gridSpan w:val="2"/>
          </w:tcPr>
          <w:p>
            <w:pPr>
              <w:jc w:val="right"/>
              <w:ind w:right="100"/>
              <w:spacing w:after="0"/>
              <w:rPr>
                <w:sz w:val="20"/>
                <w:szCs w:val="20"/>
                <w:color w:val="auto"/>
              </w:rPr>
            </w:pPr>
            <w:r>
              <w:rPr>
                <w:rFonts w:ascii="Arial" w:cs="Arial" w:eastAsia="Arial" w:hAnsi="Arial"/>
                <w:sz w:val="18"/>
                <w:szCs w:val="18"/>
                <w:color w:val="auto"/>
              </w:rPr>
              <w:t>0.27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280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20" w:type="dxa"/>
            <w:vAlign w:val="bottom"/>
          </w:tcPr>
          <w:p>
            <w:pPr>
              <w:spacing w:after="0"/>
              <w:rPr>
                <w:sz w:val="17"/>
                <w:szCs w:val="17"/>
                <w:color w:val="auto"/>
              </w:rPr>
            </w:pPr>
          </w:p>
        </w:tc>
        <w:tc>
          <w:tcPr>
            <w:tcW w:w="22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420" w:type="dxa"/>
            <w:vAlign w:val="bottom"/>
            <w:shd w:val="clear" w:color="auto" w:fill="CCEEFF"/>
          </w:tcPr>
          <w:p>
            <w:pPr>
              <w:spacing w:after="0"/>
              <w:rPr>
                <w:sz w:val="17"/>
                <w:szCs w:val="17"/>
                <w:color w:val="auto"/>
              </w:rPr>
            </w:pPr>
          </w:p>
        </w:tc>
        <w:tc>
          <w:tcPr>
            <w:tcW w:w="280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20" w:type="dxa"/>
            <w:vAlign w:val="bottom"/>
            <w:tcBorders>
              <w:right w:val="single" w:sz="8" w:color="CCEEFF"/>
            </w:tcBorders>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3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5"/>
        </w:trPr>
        <w:tc>
          <w:tcPr>
            <w:tcW w:w="8120" w:type="dxa"/>
            <w:vAlign w:val="bottom"/>
            <w:gridSpan w:val="8"/>
          </w:tcPr>
          <w:p>
            <w:pPr>
              <w:spacing w:after="0"/>
              <w:rPr>
                <w:sz w:val="20"/>
                <w:szCs w:val="20"/>
                <w:color w:val="auto"/>
              </w:rPr>
            </w:pPr>
            <w:r>
              <w:rPr>
                <w:rFonts w:ascii="Arial" w:cs="Arial" w:eastAsia="Arial" w:hAnsi="Arial"/>
                <w:sz w:val="18"/>
                <w:szCs w:val="18"/>
                <w:color w:val="auto"/>
              </w:rPr>
              <w:t>Dividends per share</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60" w:type="dxa"/>
            <w:vAlign w:val="bottom"/>
            <w:gridSpan w:val="3"/>
          </w:tcPr>
          <w:p>
            <w:pPr>
              <w:jc w:val="right"/>
              <w:ind w:right="40"/>
              <w:spacing w:after="0"/>
              <w:rPr>
                <w:sz w:val="20"/>
                <w:szCs w:val="20"/>
                <w:color w:val="auto"/>
              </w:rPr>
            </w:pPr>
            <w:r>
              <w:rPr>
                <w:rFonts w:ascii="Arial" w:cs="Arial" w:eastAsia="Arial" w:hAnsi="Arial"/>
                <w:sz w:val="18"/>
                <w:szCs w:val="18"/>
                <w:color w:val="auto"/>
              </w:rPr>
              <w:t>0.11</w:t>
            </w:r>
          </w:p>
        </w:tc>
        <w:tc>
          <w:tcPr>
            <w:tcW w:w="18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420" w:type="dxa"/>
            <w:vAlign w:val="bottom"/>
            <w:gridSpan w:val="2"/>
          </w:tcPr>
          <w:p>
            <w:pPr>
              <w:jc w:val="right"/>
              <w:ind w:right="100"/>
              <w:spacing w:after="0"/>
              <w:rPr>
                <w:sz w:val="20"/>
                <w:szCs w:val="20"/>
                <w:color w:val="auto"/>
              </w:rPr>
            </w:pPr>
            <w:r>
              <w:rPr>
                <w:rFonts w:ascii="Arial" w:cs="Arial" w:eastAsia="Arial" w:hAnsi="Arial"/>
                <w:sz w:val="18"/>
                <w:szCs w:val="18"/>
                <w:color w:val="auto"/>
              </w:rPr>
              <w:t>0.10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280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The accompanying notes to condensed consolidated financial statements are an integral part of the condensed consolidated financial statements.</w:t>
      </w: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82550</wp:posOffset>
            </wp:positionV>
            <wp:extent cx="7247255"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7255" cy="17145"/>
                    </a:xfrm>
                    <a:prstGeom prst="rect">
                      <a:avLst/>
                    </a:prstGeom>
                    <a:noFill/>
                  </pic:spPr>
                </pic:pic>
              </a:graphicData>
            </a:graphic>
          </wp:anchor>
        </w:drawing>
      </w:r>
    </w:p>
    <w:p>
      <w:pPr>
        <w:sectPr>
          <w:pgSz w:w="11900" w:h="16838" w:orient="portrait"/>
          <w:cols w:equalWidth="0" w:num="1">
            <w:col w:w="11420"/>
          </w:cols>
          <w:pgMar w:left="240" w:top="565" w:right="239" w:bottom="1440" w:gutter="0" w:footer="0" w:header="0"/>
        </w:sectPr>
      </w:pPr>
    </w:p>
    <w:bookmarkStart w:id="3" w:name="page4"/>
    <w:bookmarkEnd w:id="3"/>
    <w:p>
      <w:pPr>
        <w:ind w:left="3660"/>
        <w:spacing w:after="0"/>
        <w:rPr>
          <w:sz w:val="20"/>
          <w:szCs w:val="20"/>
          <w:color w:val="auto"/>
        </w:rPr>
      </w:pPr>
      <w:r>
        <w:rPr>
          <w:rFonts w:ascii="Arial" w:cs="Arial" w:eastAsia="Arial" w:hAnsi="Arial"/>
          <w:sz w:val="18"/>
          <w:szCs w:val="18"/>
          <w:u w:val="single" w:color="auto"/>
          <w:color w:val="auto"/>
        </w:rPr>
        <w:t>PART I – FINANCIAL INFORMATION – CONTINUED</w:t>
      </w:r>
    </w:p>
    <w:p>
      <w:pPr>
        <w:spacing w:after="0" w:line="23" w:lineRule="exact"/>
        <w:rPr>
          <w:sz w:val="20"/>
          <w:szCs w:val="20"/>
          <w:color w:val="auto"/>
        </w:rPr>
      </w:pPr>
    </w:p>
    <w:p>
      <w:pPr>
        <w:ind w:left="4360"/>
        <w:spacing w:after="0"/>
        <w:rPr>
          <w:sz w:val="20"/>
          <w:szCs w:val="20"/>
          <w:color w:val="auto"/>
        </w:rPr>
      </w:pPr>
      <w:r>
        <w:rPr>
          <w:rFonts w:ascii="Arial" w:cs="Arial" w:eastAsia="Arial" w:hAnsi="Arial"/>
          <w:sz w:val="18"/>
          <w:szCs w:val="18"/>
          <w:u w:val="single" w:color="auto"/>
          <w:color w:val="auto"/>
        </w:rPr>
        <w:t>ITEM 1. FINANCIAL STATEMENTS</w:t>
      </w:r>
    </w:p>
    <w:p>
      <w:pPr>
        <w:spacing w:after="0" w:line="8" w:lineRule="exact"/>
        <w:rPr>
          <w:sz w:val="20"/>
          <w:szCs w:val="20"/>
          <w:color w:val="auto"/>
        </w:rPr>
      </w:pPr>
    </w:p>
    <w:p>
      <w:pPr>
        <w:ind w:left="2920"/>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8" w:lineRule="exact"/>
        <w:rPr>
          <w:sz w:val="20"/>
          <w:szCs w:val="20"/>
          <w:color w:val="auto"/>
        </w:rPr>
      </w:pPr>
    </w:p>
    <w:p>
      <w:pPr>
        <w:jc w:val="center"/>
        <w:ind w:left="720" w:right="1880"/>
        <w:spacing w:after="0" w:line="254" w:lineRule="auto"/>
        <w:rPr>
          <w:sz w:val="20"/>
          <w:szCs w:val="20"/>
          <w:color w:val="auto"/>
        </w:rPr>
      </w:pPr>
      <w:r>
        <w:rPr>
          <w:rFonts w:ascii="Arial" w:cs="Arial" w:eastAsia="Arial" w:hAnsi="Arial"/>
          <w:sz w:val="18"/>
          <w:szCs w:val="18"/>
          <w:u w:val="single" w:color="auto"/>
          <w:color w:val="auto"/>
        </w:rPr>
        <w:t>CONDENSED CONSOLIDATED STATEMENTS OF COMPREHENSIVE INCOME (LOSS) FOR THE PERIODS ENDED FEBRUARY 24, 2018 AND FEBRUARY 25, 2017 – UNAUDITED (In thousands)</w:t>
      </w:r>
    </w:p>
    <w:p>
      <w:pPr>
        <w:spacing w:after="0" w:line="18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810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3020" w:type="dxa"/>
            <w:vAlign w:val="bottom"/>
            <w:tcBorders>
              <w:bottom w:val="single" w:sz="8" w:color="auto"/>
            </w:tcBorders>
            <w:gridSpan w:val="4"/>
          </w:tcPr>
          <w:p>
            <w:pPr>
              <w:jc w:val="right"/>
              <w:ind w:right="930"/>
              <w:spacing w:after="0"/>
              <w:rPr>
                <w:sz w:val="20"/>
                <w:szCs w:val="20"/>
                <w:color w:val="auto"/>
              </w:rPr>
            </w:pPr>
            <w:r>
              <w:rPr>
                <w:rFonts w:ascii="Arial" w:cs="Arial" w:eastAsia="Arial" w:hAnsi="Arial"/>
                <w:sz w:val="18"/>
                <w:szCs w:val="18"/>
                <w:b w:val="1"/>
                <w:bCs w:val="1"/>
                <w:color w:val="auto"/>
              </w:rPr>
              <w:t>Quarter Ended</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06"/>
        </w:trPr>
        <w:tc>
          <w:tcPr>
            <w:tcW w:w="20" w:type="dxa"/>
            <w:vAlign w:val="bottom"/>
          </w:tcPr>
          <w:p>
            <w:pPr>
              <w:spacing w:after="0"/>
              <w:rPr>
                <w:sz w:val="24"/>
                <w:szCs w:val="24"/>
                <w:color w:val="auto"/>
              </w:rPr>
            </w:pPr>
          </w:p>
        </w:tc>
        <w:tc>
          <w:tcPr>
            <w:tcW w:w="8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540" w:type="dxa"/>
            <w:vAlign w:val="bottom"/>
            <w:gridSpan w:val="2"/>
          </w:tcPr>
          <w:p>
            <w:pPr>
              <w:jc w:val="right"/>
              <w:ind w:right="480"/>
              <w:spacing w:after="0"/>
              <w:rPr>
                <w:sz w:val="20"/>
                <w:szCs w:val="20"/>
                <w:color w:val="auto"/>
              </w:rPr>
            </w:pPr>
            <w:r>
              <w:rPr>
                <w:rFonts w:ascii="Arial" w:cs="Arial" w:eastAsia="Arial" w:hAnsi="Arial"/>
                <w:sz w:val="18"/>
                <w:szCs w:val="18"/>
                <w:b w:val="1"/>
                <w:bCs w:val="1"/>
                <w:color w:val="auto"/>
                <w:w w:val="97"/>
              </w:rPr>
              <w:t>February 24,</w:t>
            </w:r>
          </w:p>
        </w:tc>
        <w:tc>
          <w:tcPr>
            <w:tcW w:w="160" w:type="dxa"/>
            <w:vAlign w:val="bottom"/>
          </w:tcPr>
          <w:p>
            <w:pPr>
              <w:spacing w:after="0"/>
              <w:rPr>
                <w:sz w:val="24"/>
                <w:szCs w:val="24"/>
                <w:color w:val="auto"/>
              </w:rPr>
            </w:pPr>
          </w:p>
        </w:tc>
        <w:tc>
          <w:tcPr>
            <w:tcW w:w="1420" w:type="dxa"/>
            <w:vAlign w:val="bottom"/>
            <w:gridSpan w:val="2"/>
          </w:tcPr>
          <w:p>
            <w:pPr>
              <w:jc w:val="right"/>
              <w:ind w:right="340"/>
              <w:spacing w:after="0"/>
              <w:rPr>
                <w:sz w:val="20"/>
                <w:szCs w:val="20"/>
                <w:color w:val="auto"/>
              </w:rPr>
            </w:pPr>
            <w:r>
              <w:rPr>
                <w:rFonts w:ascii="Arial" w:cs="Arial" w:eastAsia="Arial" w:hAnsi="Arial"/>
                <w:sz w:val="18"/>
                <w:szCs w:val="18"/>
                <w:b w:val="1"/>
                <w:bCs w:val="1"/>
                <w:color w:val="auto"/>
                <w:w w:val="98"/>
              </w:rPr>
              <w:t>February 25,</w:t>
            </w: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810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320" w:type="dxa"/>
            <w:vAlign w:val="bottom"/>
            <w:tcBorders>
              <w:bottom w:val="single" w:sz="8" w:color="auto"/>
            </w:tcBorders>
          </w:tcPr>
          <w:p>
            <w:pPr>
              <w:jc w:val="right"/>
              <w:ind w:right="490"/>
              <w:spacing w:after="0"/>
              <w:rPr>
                <w:sz w:val="20"/>
                <w:szCs w:val="20"/>
                <w:color w:val="auto"/>
              </w:rPr>
            </w:pPr>
            <w:r>
              <w:rPr>
                <w:rFonts w:ascii="Arial" w:cs="Arial" w:eastAsia="Arial" w:hAnsi="Arial"/>
                <w:sz w:val="18"/>
                <w:szCs w:val="18"/>
                <w:b w:val="1"/>
                <w:bCs w:val="1"/>
                <w:color w:val="auto"/>
              </w:rPr>
              <w:t>2018</w:t>
            </w:r>
          </w:p>
        </w:tc>
        <w:tc>
          <w:tcPr>
            <w:tcW w:w="22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320" w:type="dxa"/>
            <w:vAlign w:val="bottom"/>
            <w:tcBorders>
              <w:bottom w:val="single" w:sz="8" w:color="auto"/>
            </w:tcBorders>
          </w:tcPr>
          <w:p>
            <w:pPr>
              <w:jc w:val="right"/>
              <w:ind w:right="47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9"/>
        </w:trPr>
        <w:tc>
          <w:tcPr>
            <w:tcW w:w="20" w:type="dxa"/>
            <w:vAlign w:val="bottom"/>
            <w:vMerge w:val="restart"/>
          </w:tcPr>
          <w:p>
            <w:pPr>
              <w:spacing w:after="0"/>
              <w:rPr>
                <w:sz w:val="18"/>
                <w:szCs w:val="18"/>
                <w:color w:val="auto"/>
              </w:rPr>
            </w:pPr>
          </w:p>
        </w:tc>
        <w:tc>
          <w:tcPr>
            <w:tcW w:w="8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vMerge w:val="continue"/>
          </w:tcPr>
          <w:p>
            <w:pPr>
              <w:spacing w:after="0"/>
              <w:rPr>
                <w:sz w:val="18"/>
                <w:szCs w:val="18"/>
                <w:color w:val="auto"/>
              </w:rPr>
            </w:pPr>
          </w:p>
        </w:tc>
        <w:tc>
          <w:tcPr>
            <w:tcW w:w="8100" w:type="dxa"/>
            <w:vAlign w:val="bottom"/>
            <w:shd w:val="clear" w:color="auto" w:fill="CCEEFF"/>
          </w:tcPr>
          <w:p>
            <w:pPr>
              <w:spacing w:after="0"/>
              <w:rPr>
                <w:sz w:val="20"/>
                <w:szCs w:val="20"/>
                <w:color w:val="auto"/>
              </w:rPr>
            </w:pPr>
            <w:r>
              <w:rPr>
                <w:rFonts w:ascii="Arial" w:cs="Arial" w:eastAsia="Arial" w:hAnsi="Arial"/>
                <w:sz w:val="18"/>
                <w:szCs w:val="18"/>
                <w:color w:val="auto"/>
              </w:rPr>
              <w:t>Net income (loss)</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5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(913)</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4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2,861</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8100" w:type="dxa"/>
            <w:vAlign w:val="bottom"/>
          </w:tcPr>
          <w:p>
            <w:pPr>
              <w:spacing w:after="0"/>
              <w:rPr>
                <w:sz w:val="20"/>
                <w:szCs w:val="20"/>
                <w:color w:val="auto"/>
              </w:rPr>
            </w:pPr>
            <w:r>
              <w:rPr>
                <w:rFonts w:ascii="Arial" w:cs="Arial" w:eastAsia="Arial" w:hAnsi="Arial"/>
                <w:sz w:val="18"/>
                <w:szCs w:val="18"/>
                <w:color w:val="auto"/>
              </w:rPr>
              <w:t>Other comprehensive income:</w:t>
            </w:r>
          </w:p>
        </w:tc>
        <w:tc>
          <w:tcPr>
            <w:tcW w:w="18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8100" w:type="dxa"/>
            <w:vAlign w:val="bottom"/>
            <w:shd w:val="clear" w:color="auto" w:fill="CCEEFF"/>
          </w:tcPr>
          <w:p>
            <w:pPr>
              <w:ind w:left="320"/>
              <w:spacing w:after="0"/>
              <w:rPr>
                <w:sz w:val="20"/>
                <w:szCs w:val="20"/>
                <w:color w:val="auto"/>
              </w:rPr>
            </w:pPr>
            <w:r>
              <w:rPr>
                <w:rFonts w:ascii="Arial" w:cs="Arial" w:eastAsia="Arial" w:hAnsi="Arial"/>
                <w:sz w:val="18"/>
                <w:szCs w:val="18"/>
                <w:color w:val="auto"/>
              </w:rPr>
              <w:t>Amortization associated with Long Term Cash Awards (LTCA)</w:t>
            </w:r>
          </w:p>
        </w:tc>
        <w:tc>
          <w:tcPr>
            <w:tcW w:w="18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31</w:t>
            </w:r>
          </w:p>
        </w:tc>
        <w:tc>
          <w:tcPr>
            <w:tcW w:w="16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8100" w:type="dxa"/>
            <w:vAlign w:val="bottom"/>
          </w:tcPr>
          <w:p>
            <w:pPr>
              <w:ind w:left="320"/>
              <w:spacing w:after="0"/>
              <w:rPr>
                <w:sz w:val="20"/>
                <w:szCs w:val="20"/>
                <w:color w:val="auto"/>
              </w:rPr>
            </w:pPr>
            <w:r>
              <w:rPr>
                <w:rFonts w:ascii="Arial" w:cs="Arial" w:eastAsia="Arial" w:hAnsi="Arial"/>
                <w:sz w:val="18"/>
                <w:szCs w:val="18"/>
                <w:color w:val="auto"/>
              </w:rPr>
              <w:t>Income taxes related to LTCA</w:t>
            </w:r>
          </w:p>
        </w:tc>
        <w:tc>
          <w:tcPr>
            <w:tcW w:w="180" w:type="dxa"/>
            <w:vAlign w:val="bottom"/>
          </w:tcPr>
          <w:p>
            <w:pPr>
              <w:spacing w:after="0"/>
              <w:rPr>
                <w:sz w:val="18"/>
                <w:szCs w:val="18"/>
                <w:color w:val="auto"/>
              </w:rPr>
            </w:pPr>
          </w:p>
        </w:tc>
        <w:tc>
          <w:tcPr>
            <w:tcW w:w="1540" w:type="dxa"/>
            <w:vAlign w:val="bottom"/>
            <w:gridSpan w:val="2"/>
          </w:tcPr>
          <w:p>
            <w:pPr>
              <w:jc w:val="right"/>
              <w:ind w:right="160"/>
              <w:spacing w:after="0"/>
              <w:rPr>
                <w:sz w:val="20"/>
                <w:szCs w:val="20"/>
                <w:color w:val="auto"/>
              </w:rPr>
            </w:pPr>
            <w:r>
              <w:rPr>
                <w:rFonts w:ascii="Arial" w:cs="Arial" w:eastAsia="Arial" w:hAnsi="Arial"/>
                <w:sz w:val="18"/>
                <w:szCs w:val="18"/>
                <w:color w:val="auto"/>
              </w:rPr>
              <w:t>(8)</w:t>
            </w:r>
          </w:p>
        </w:tc>
        <w:tc>
          <w:tcPr>
            <w:tcW w:w="16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8100" w:type="dxa"/>
            <w:vAlign w:val="bottom"/>
            <w:shd w:val="clear" w:color="auto" w:fill="CCEEFF"/>
          </w:tcPr>
          <w:p>
            <w:pPr>
              <w:ind w:left="320"/>
              <w:spacing w:after="0"/>
              <w:rPr>
                <w:sz w:val="20"/>
                <w:szCs w:val="20"/>
                <w:color w:val="auto"/>
              </w:rPr>
            </w:pPr>
            <w:r>
              <w:rPr>
                <w:rFonts w:ascii="Arial" w:cs="Arial" w:eastAsia="Arial" w:hAnsi="Arial"/>
                <w:sz w:val="18"/>
                <w:szCs w:val="18"/>
                <w:color w:val="auto"/>
              </w:rPr>
              <w:t>Amortization associated with supplemental executive retirement defined benefit plan (SERP)</w:t>
            </w:r>
          </w:p>
        </w:tc>
        <w:tc>
          <w:tcPr>
            <w:tcW w:w="18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76</w:t>
            </w:r>
          </w:p>
        </w:tc>
        <w:tc>
          <w:tcPr>
            <w:tcW w:w="16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94</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8100" w:type="dxa"/>
            <w:vAlign w:val="bottom"/>
          </w:tcPr>
          <w:p>
            <w:pPr>
              <w:ind w:left="320"/>
              <w:spacing w:after="0"/>
              <w:rPr>
                <w:sz w:val="20"/>
                <w:szCs w:val="20"/>
                <w:color w:val="auto"/>
              </w:rPr>
            </w:pPr>
            <w:r>
              <w:rPr>
                <w:rFonts w:ascii="Arial" w:cs="Arial" w:eastAsia="Arial" w:hAnsi="Arial"/>
                <w:sz w:val="18"/>
                <w:szCs w:val="18"/>
                <w:color w:val="auto"/>
              </w:rPr>
              <w:t>Income taxes related to SERP</w:t>
            </w:r>
          </w:p>
        </w:tc>
        <w:tc>
          <w:tcPr>
            <w:tcW w:w="180" w:type="dxa"/>
            <w:vAlign w:val="bottom"/>
          </w:tcPr>
          <w:p>
            <w:pPr>
              <w:spacing w:after="0"/>
              <w:rPr>
                <w:sz w:val="18"/>
                <w:szCs w:val="18"/>
                <w:color w:val="auto"/>
              </w:rPr>
            </w:pPr>
          </w:p>
        </w:tc>
        <w:tc>
          <w:tcPr>
            <w:tcW w:w="1540" w:type="dxa"/>
            <w:vAlign w:val="bottom"/>
            <w:gridSpan w:val="2"/>
          </w:tcPr>
          <w:p>
            <w:pPr>
              <w:jc w:val="right"/>
              <w:ind w:right="160"/>
              <w:spacing w:after="0"/>
              <w:rPr>
                <w:sz w:val="20"/>
                <w:szCs w:val="20"/>
                <w:color w:val="auto"/>
              </w:rPr>
            </w:pPr>
            <w:r>
              <w:rPr>
                <w:rFonts w:ascii="Arial" w:cs="Arial" w:eastAsia="Arial" w:hAnsi="Arial"/>
                <w:sz w:val="18"/>
                <w:szCs w:val="18"/>
                <w:color w:val="auto"/>
              </w:rPr>
              <w:t>(19)</w:t>
            </w:r>
          </w:p>
        </w:tc>
        <w:tc>
          <w:tcPr>
            <w:tcW w:w="160" w:type="dxa"/>
            <w:vAlign w:val="bottom"/>
          </w:tcPr>
          <w:p>
            <w:pPr>
              <w:spacing w:after="0"/>
              <w:rPr>
                <w:sz w:val="18"/>
                <w:szCs w:val="18"/>
                <w:color w:val="auto"/>
              </w:rPr>
            </w:pPr>
          </w:p>
        </w:tc>
        <w:tc>
          <w:tcPr>
            <w:tcW w:w="1420" w:type="dxa"/>
            <w:vAlign w:val="bottom"/>
            <w:gridSpan w:val="2"/>
          </w:tcPr>
          <w:p>
            <w:pPr>
              <w:jc w:val="right"/>
              <w:ind w:right="40"/>
              <w:spacing w:after="0"/>
              <w:rPr>
                <w:sz w:val="20"/>
                <w:szCs w:val="20"/>
                <w:color w:val="auto"/>
              </w:rPr>
            </w:pPr>
            <w:r>
              <w:rPr>
                <w:rFonts w:ascii="Arial" w:cs="Arial" w:eastAsia="Arial" w:hAnsi="Arial"/>
                <w:sz w:val="18"/>
                <w:szCs w:val="18"/>
                <w:color w:val="auto"/>
              </w:rPr>
              <w:t>(36)</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8100" w:type="dxa"/>
            <w:vAlign w:val="bottom"/>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132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132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8100" w:type="dxa"/>
            <w:vAlign w:val="bottom"/>
          </w:tcPr>
          <w:p>
            <w:pPr>
              <w:ind w:left="480"/>
              <w:spacing w:after="0"/>
              <w:rPr>
                <w:sz w:val="20"/>
                <w:szCs w:val="20"/>
                <w:color w:val="auto"/>
              </w:rPr>
            </w:pPr>
            <w:r>
              <w:rPr>
                <w:rFonts w:ascii="Arial" w:cs="Arial" w:eastAsia="Arial" w:hAnsi="Arial"/>
                <w:sz w:val="18"/>
                <w:szCs w:val="18"/>
                <w:color w:val="auto"/>
              </w:rPr>
              <w:t>Other comprehensive income, net of tax</w:t>
            </w:r>
          </w:p>
        </w:tc>
        <w:tc>
          <w:tcPr>
            <w:tcW w:w="180" w:type="dxa"/>
            <w:vAlign w:val="bottom"/>
          </w:tcPr>
          <w:p>
            <w:pPr>
              <w:spacing w:after="0"/>
              <w:rPr>
                <w:sz w:val="18"/>
                <w:szCs w:val="18"/>
                <w:color w:val="auto"/>
              </w:rPr>
            </w:pPr>
          </w:p>
        </w:tc>
        <w:tc>
          <w:tcPr>
            <w:tcW w:w="1540" w:type="dxa"/>
            <w:vAlign w:val="bottom"/>
            <w:gridSpan w:val="2"/>
          </w:tcPr>
          <w:p>
            <w:pPr>
              <w:jc w:val="right"/>
              <w:ind w:right="220"/>
              <w:spacing w:after="0"/>
              <w:rPr>
                <w:sz w:val="20"/>
                <w:szCs w:val="20"/>
                <w:color w:val="auto"/>
              </w:rPr>
            </w:pPr>
            <w:r>
              <w:rPr>
                <w:rFonts w:ascii="Arial" w:cs="Arial" w:eastAsia="Arial" w:hAnsi="Arial"/>
                <w:sz w:val="18"/>
                <w:szCs w:val="18"/>
                <w:color w:val="auto"/>
              </w:rPr>
              <w:t>80</w:t>
            </w:r>
          </w:p>
        </w:tc>
        <w:tc>
          <w:tcPr>
            <w:tcW w:w="16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58</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8100" w:type="dxa"/>
            <w:vAlign w:val="bottom"/>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132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132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8120" w:type="dxa"/>
            <w:vAlign w:val="bottom"/>
            <w:gridSpan w:val="2"/>
          </w:tcPr>
          <w:p>
            <w:pPr>
              <w:spacing w:after="0"/>
              <w:rPr>
                <w:sz w:val="20"/>
                <w:szCs w:val="20"/>
                <w:color w:val="auto"/>
              </w:rPr>
            </w:pPr>
            <w:r>
              <w:rPr>
                <w:rFonts w:ascii="Arial" w:cs="Arial" w:eastAsia="Arial" w:hAnsi="Arial"/>
                <w:sz w:val="18"/>
                <w:szCs w:val="18"/>
                <w:color w:val="auto"/>
              </w:rPr>
              <w:t>Total comprehensive income (loss)</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540" w:type="dxa"/>
            <w:vAlign w:val="bottom"/>
            <w:gridSpan w:val="2"/>
          </w:tcPr>
          <w:p>
            <w:pPr>
              <w:jc w:val="right"/>
              <w:ind w:right="160"/>
              <w:spacing w:after="0"/>
              <w:rPr>
                <w:sz w:val="20"/>
                <w:szCs w:val="20"/>
                <w:color w:val="auto"/>
              </w:rPr>
            </w:pPr>
            <w:r>
              <w:rPr>
                <w:rFonts w:ascii="Arial" w:cs="Arial" w:eastAsia="Arial" w:hAnsi="Arial"/>
                <w:sz w:val="18"/>
                <w:szCs w:val="18"/>
                <w:color w:val="auto"/>
              </w:rPr>
              <w:t>(833)</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420" w:type="dxa"/>
            <w:vAlign w:val="bottom"/>
            <w:gridSpan w:val="2"/>
          </w:tcPr>
          <w:p>
            <w:pPr>
              <w:jc w:val="right"/>
              <w:ind w:right="100"/>
              <w:spacing w:after="0"/>
              <w:rPr>
                <w:sz w:val="20"/>
                <w:szCs w:val="20"/>
                <w:color w:val="auto"/>
              </w:rPr>
            </w:pPr>
            <w:r>
              <w:rPr>
                <w:rFonts w:ascii="Arial" w:cs="Arial" w:eastAsia="Arial" w:hAnsi="Arial"/>
                <w:sz w:val="18"/>
                <w:szCs w:val="18"/>
                <w:color w:val="auto"/>
              </w:rPr>
              <w:t>2,919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10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1" w:lineRule="exact"/>
        <w:rPr>
          <w:sz w:val="20"/>
          <w:szCs w:val="20"/>
          <w:color w:val="auto"/>
        </w:rPr>
      </w:pPr>
    </w:p>
    <w:p>
      <w:pPr>
        <w:jc w:val="center"/>
        <w:ind w:right="20"/>
        <w:spacing w:after="0"/>
        <w:rPr>
          <w:sz w:val="20"/>
          <w:szCs w:val="20"/>
          <w:color w:val="auto"/>
        </w:rPr>
      </w:pPr>
      <w:r>
        <w:rPr>
          <w:rFonts w:ascii="Arial" w:cs="Arial" w:eastAsia="Arial" w:hAnsi="Arial"/>
          <w:sz w:val="17"/>
          <w:szCs w:val="17"/>
          <w:color w:val="auto"/>
        </w:rPr>
        <w:t>The accompanying notes to condensed consolidated financial statements are an integral part of the condensed consolidated financial statements.</w:t>
      </w: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82550</wp:posOffset>
            </wp:positionV>
            <wp:extent cx="7247255"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7255" cy="17145"/>
                    </a:xfrm>
                    <a:prstGeom prst="rect">
                      <a:avLst/>
                    </a:prstGeom>
                    <a:noFill/>
                  </pic:spPr>
                </pic:pic>
              </a:graphicData>
            </a:graphic>
          </wp:anchor>
        </w:drawing>
      </w:r>
    </w:p>
    <w:p>
      <w:pPr>
        <w:sectPr>
          <w:pgSz w:w="11900" w:h="16838" w:orient="portrait"/>
          <w:cols w:equalWidth="0" w:num="1">
            <w:col w:w="11420"/>
          </w:cols>
          <w:pgMar w:left="240" w:top="825" w:right="239" w:bottom="1440" w:gutter="0" w:footer="0" w:header="0"/>
        </w:sectPr>
      </w:pPr>
    </w:p>
    <w:bookmarkStart w:id="4" w:name="page5"/>
    <w:bookmarkEnd w:id="4"/>
    <w:p>
      <w:pPr>
        <w:jc w:val="center"/>
        <w:ind w:right="20"/>
        <w:spacing w:after="0"/>
        <w:rPr>
          <w:sz w:val="20"/>
          <w:szCs w:val="20"/>
          <w:color w:val="auto"/>
        </w:rPr>
      </w:pPr>
      <w:r>
        <w:rPr>
          <w:rFonts w:ascii="Arial" w:cs="Arial" w:eastAsia="Arial" w:hAnsi="Arial"/>
          <w:sz w:val="18"/>
          <w:szCs w:val="18"/>
          <w:u w:val="single" w:color="auto"/>
          <w:color w:val="auto"/>
        </w:rPr>
        <w:t>PART I – FINANCIAL INFORMATION – CONTINUED</w:t>
      </w:r>
    </w:p>
    <w:p>
      <w:pPr>
        <w:spacing w:after="0" w:line="23" w:lineRule="exact"/>
        <w:rPr>
          <w:sz w:val="20"/>
          <w:szCs w:val="20"/>
          <w:color w:val="auto"/>
        </w:rPr>
      </w:pPr>
    </w:p>
    <w:p>
      <w:pPr>
        <w:jc w:val="center"/>
        <w:ind w:right="-79"/>
        <w:spacing w:after="0"/>
        <w:rPr>
          <w:sz w:val="20"/>
          <w:szCs w:val="20"/>
          <w:color w:val="auto"/>
        </w:rPr>
      </w:pPr>
      <w:r>
        <w:rPr>
          <w:rFonts w:ascii="Arial" w:cs="Arial" w:eastAsia="Arial" w:hAnsi="Arial"/>
          <w:sz w:val="18"/>
          <w:szCs w:val="18"/>
          <w:u w:val="single" w:color="auto"/>
          <w:color w:val="auto"/>
        </w:rPr>
        <w:t>ITEM 1. FINANCIAL STATEMENTS</w:t>
      </w:r>
    </w:p>
    <w:p>
      <w:pPr>
        <w:spacing w:after="0" w:line="8" w:lineRule="exact"/>
        <w:rPr>
          <w:sz w:val="20"/>
          <w:szCs w:val="20"/>
          <w:color w:val="auto"/>
        </w:rPr>
      </w:pPr>
    </w:p>
    <w:p>
      <w:pPr>
        <w:jc w:val="center"/>
        <w:ind w:right="-39"/>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8" w:lineRule="exact"/>
        <w:rPr>
          <w:sz w:val="20"/>
          <w:szCs w:val="20"/>
          <w:color w:val="auto"/>
        </w:rPr>
      </w:pPr>
    </w:p>
    <w:p>
      <w:pPr>
        <w:jc w:val="center"/>
        <w:ind w:right="-39"/>
        <w:spacing w:after="0"/>
        <w:rPr>
          <w:sz w:val="20"/>
          <w:szCs w:val="20"/>
          <w:color w:val="auto"/>
        </w:rPr>
      </w:pPr>
      <w:r>
        <w:rPr>
          <w:rFonts w:ascii="Arial" w:cs="Arial" w:eastAsia="Arial" w:hAnsi="Arial"/>
          <w:sz w:val="18"/>
          <w:szCs w:val="18"/>
          <w:u w:val="single" w:color="auto"/>
          <w:color w:val="auto"/>
        </w:rPr>
        <w:t>CONDENSED CONSOLIDATED BALANCE SHEETS</w:t>
      </w:r>
    </w:p>
    <w:p>
      <w:pPr>
        <w:spacing w:after="0" w:line="8" w:lineRule="exact"/>
        <w:rPr>
          <w:sz w:val="20"/>
          <w:szCs w:val="20"/>
          <w:color w:val="auto"/>
        </w:rPr>
      </w:pPr>
    </w:p>
    <w:p>
      <w:pPr>
        <w:jc w:val="center"/>
        <w:ind w:right="-39"/>
        <w:spacing w:after="0"/>
        <w:rPr>
          <w:sz w:val="20"/>
          <w:szCs w:val="20"/>
          <w:color w:val="auto"/>
        </w:rPr>
      </w:pPr>
      <w:r>
        <w:rPr>
          <w:rFonts w:ascii="Arial" w:cs="Arial" w:eastAsia="Arial" w:hAnsi="Arial"/>
          <w:sz w:val="18"/>
          <w:szCs w:val="18"/>
          <w:u w:val="single" w:color="auto"/>
          <w:color w:val="auto"/>
        </w:rPr>
        <w:t>FEBRUARY 24, 2018 AND NOVEMBER 25, 2017</w:t>
      </w:r>
    </w:p>
    <w:p>
      <w:pPr>
        <w:spacing w:after="0" w:line="8"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230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4180" w:type="dxa"/>
            <w:vAlign w:val="bottom"/>
            <w:gridSpan w:val="2"/>
          </w:tcPr>
          <w:p>
            <w:pPr>
              <w:jc w:val="right"/>
              <w:ind w:right="1990"/>
              <w:spacing w:after="0"/>
              <w:rPr>
                <w:sz w:val="20"/>
                <w:szCs w:val="20"/>
                <w:color w:val="auto"/>
              </w:rPr>
            </w:pPr>
            <w:r>
              <w:rPr>
                <w:rFonts w:ascii="Arial" w:cs="Arial" w:eastAsia="Arial" w:hAnsi="Arial"/>
                <w:sz w:val="18"/>
                <w:szCs w:val="18"/>
                <w:color w:val="auto"/>
              </w:rPr>
              <w:t>(In thousands)</w:t>
            </w:r>
          </w:p>
        </w:tc>
        <w:tc>
          <w:tcPr>
            <w:tcW w:w="13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98"/>
        </w:trPr>
        <w:tc>
          <w:tcPr>
            <w:tcW w:w="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30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40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540" w:type="dxa"/>
            <w:vAlign w:val="bottom"/>
            <w:gridSpan w:val="2"/>
          </w:tcPr>
          <w:p>
            <w:pPr>
              <w:jc w:val="center"/>
              <w:ind w:right="400"/>
              <w:spacing w:after="0"/>
              <w:rPr>
                <w:sz w:val="20"/>
                <w:szCs w:val="20"/>
                <w:color w:val="auto"/>
              </w:rPr>
            </w:pPr>
            <w:r>
              <w:rPr>
                <w:rFonts w:ascii="Arial" w:cs="Arial" w:eastAsia="Arial" w:hAnsi="Arial"/>
                <w:sz w:val="18"/>
                <w:szCs w:val="18"/>
                <w:b w:val="1"/>
                <w:bCs w:val="1"/>
                <w:color w:val="auto"/>
                <w:w w:val="93"/>
              </w:rPr>
              <w:t>(Unaudited)</w:t>
            </w:r>
          </w:p>
        </w:tc>
        <w:tc>
          <w:tcPr>
            <w:tcW w:w="16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30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40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540" w:type="dxa"/>
            <w:vAlign w:val="bottom"/>
            <w:gridSpan w:val="2"/>
          </w:tcPr>
          <w:p>
            <w:pPr>
              <w:jc w:val="center"/>
              <w:ind w:right="400"/>
              <w:spacing w:after="0"/>
              <w:rPr>
                <w:sz w:val="20"/>
                <w:szCs w:val="20"/>
                <w:color w:val="auto"/>
              </w:rPr>
            </w:pPr>
            <w:r>
              <w:rPr>
                <w:rFonts w:ascii="Arial" w:cs="Arial" w:eastAsia="Arial" w:hAnsi="Arial"/>
                <w:sz w:val="18"/>
                <w:szCs w:val="18"/>
                <w:b w:val="1"/>
                <w:bCs w:val="1"/>
                <w:color w:val="auto"/>
                <w:w w:val="91"/>
              </w:rPr>
              <w:t>February 24,</w:t>
            </w:r>
          </w:p>
        </w:tc>
        <w:tc>
          <w:tcPr>
            <w:tcW w:w="160" w:type="dxa"/>
            <w:vAlign w:val="bottom"/>
          </w:tcPr>
          <w:p>
            <w:pPr>
              <w:spacing w:after="0"/>
              <w:rPr>
                <w:sz w:val="18"/>
                <w:szCs w:val="18"/>
                <w:color w:val="auto"/>
              </w:rPr>
            </w:pPr>
          </w:p>
        </w:tc>
        <w:tc>
          <w:tcPr>
            <w:tcW w:w="142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w w:val="93"/>
              </w:rPr>
              <w:t>November 25,</w:t>
            </w: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230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400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320" w:type="dxa"/>
            <w:vAlign w:val="bottom"/>
            <w:tcBorders>
              <w:bottom w:val="single" w:sz="8" w:color="auto"/>
            </w:tcBorders>
          </w:tcPr>
          <w:p>
            <w:pPr>
              <w:jc w:val="center"/>
              <w:ind w:right="90"/>
              <w:spacing w:after="0"/>
              <w:rPr>
                <w:sz w:val="20"/>
                <w:szCs w:val="20"/>
                <w:color w:val="auto"/>
              </w:rPr>
            </w:pPr>
            <w:r>
              <w:rPr>
                <w:rFonts w:ascii="Arial" w:cs="Arial" w:eastAsia="Arial" w:hAnsi="Arial"/>
                <w:sz w:val="18"/>
                <w:szCs w:val="18"/>
                <w:b w:val="1"/>
                <w:bCs w:val="1"/>
                <w:color w:val="auto"/>
                <w:w w:val="84"/>
              </w:rPr>
              <w:t>2018</w:t>
            </w:r>
          </w:p>
        </w:tc>
        <w:tc>
          <w:tcPr>
            <w:tcW w:w="22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320" w:type="dxa"/>
            <w:vAlign w:val="bottom"/>
            <w:tcBorders>
              <w:bottom w:val="single" w:sz="8" w:color="auto"/>
            </w:tcBorders>
          </w:tcPr>
          <w:p>
            <w:pPr>
              <w:jc w:val="right"/>
              <w:ind w:right="47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4100" w:type="dxa"/>
            <w:vAlign w:val="bottom"/>
            <w:gridSpan w:val="3"/>
            <w:shd w:val="clear" w:color="auto" w:fill="CCEEFF"/>
          </w:tcPr>
          <w:p>
            <w:pPr>
              <w:spacing w:after="0" w:line="169" w:lineRule="exact"/>
              <w:rPr>
                <w:sz w:val="20"/>
                <w:szCs w:val="20"/>
                <w:color w:val="auto"/>
              </w:rPr>
            </w:pPr>
            <w:r>
              <w:rPr>
                <w:rFonts w:ascii="Arial" w:cs="Arial" w:eastAsia="Arial" w:hAnsi="Arial"/>
                <w:sz w:val="18"/>
                <w:szCs w:val="18"/>
                <w:b w:val="1"/>
                <w:bCs w:val="1"/>
                <w:color w:val="auto"/>
              </w:rPr>
              <w:t>Assets</w:t>
            </w:r>
          </w:p>
        </w:tc>
        <w:tc>
          <w:tcPr>
            <w:tcW w:w="40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32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3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460" w:type="dxa"/>
            <w:vAlign w:val="bottom"/>
            <w:tcBorders>
              <w:top w:val="single" w:sz="8" w:color="auto"/>
            </w:tcBorders>
            <w:shd w:val="clear" w:color="auto" w:fill="CCEEFF"/>
          </w:tcPr>
          <w:p>
            <w:pPr>
              <w:spacing w:after="0" w:line="20" w:lineRule="exact"/>
              <w:rPr>
                <w:sz w:val="1"/>
                <w:szCs w:val="1"/>
                <w:color w:val="auto"/>
              </w:rPr>
            </w:pPr>
          </w:p>
        </w:tc>
        <w:tc>
          <w:tcPr>
            <w:tcW w:w="2300" w:type="dxa"/>
            <w:vAlign w:val="bottom"/>
            <w:tcBorders>
              <w:top w:val="single" w:sz="8" w:color="CCEEFF"/>
            </w:tcBorders>
            <w:shd w:val="clear" w:color="auto" w:fill="CCEEFF"/>
          </w:tcPr>
          <w:p>
            <w:pPr>
              <w:spacing w:after="0" w:line="20" w:lineRule="exact"/>
              <w:rPr>
                <w:sz w:val="1"/>
                <w:szCs w:val="1"/>
                <w:color w:val="auto"/>
              </w:rPr>
            </w:pPr>
          </w:p>
        </w:tc>
        <w:tc>
          <w:tcPr>
            <w:tcW w:w="1340" w:type="dxa"/>
            <w:vAlign w:val="bottom"/>
            <w:tcBorders>
              <w:top w:val="single" w:sz="8" w:color="CCEEFF"/>
            </w:tcBorders>
            <w:shd w:val="clear" w:color="auto" w:fill="CCEEFF"/>
          </w:tcPr>
          <w:p>
            <w:pPr>
              <w:spacing w:after="0" w:line="20" w:lineRule="exact"/>
              <w:rPr>
                <w:sz w:val="1"/>
                <w:szCs w:val="1"/>
                <w:color w:val="auto"/>
              </w:rPr>
            </w:pPr>
          </w:p>
        </w:tc>
        <w:tc>
          <w:tcPr>
            <w:tcW w:w="400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1320" w:type="dxa"/>
            <w:vAlign w:val="bottom"/>
            <w:tcBorders>
              <w:top w:val="single" w:sz="8" w:color="CCEEFF"/>
            </w:tcBorders>
            <w:shd w:val="clear" w:color="auto" w:fill="CCEEFF"/>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132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5"/>
        </w:trPr>
        <w:tc>
          <w:tcPr>
            <w:tcW w:w="20" w:type="dxa"/>
            <w:vAlign w:val="bottom"/>
            <w:vMerge w:val="continue"/>
          </w:tcPr>
          <w:p>
            <w:pPr>
              <w:spacing w:after="0"/>
              <w:rPr>
                <w:sz w:val="18"/>
                <w:szCs w:val="18"/>
                <w:color w:val="auto"/>
              </w:rPr>
            </w:pPr>
          </w:p>
        </w:tc>
        <w:tc>
          <w:tcPr>
            <w:tcW w:w="4100" w:type="dxa"/>
            <w:vAlign w:val="bottom"/>
            <w:gridSpan w:val="3"/>
          </w:tcPr>
          <w:p>
            <w:pPr>
              <w:spacing w:after="0"/>
              <w:rPr>
                <w:sz w:val="20"/>
                <w:szCs w:val="20"/>
                <w:color w:val="auto"/>
              </w:rPr>
            </w:pPr>
            <w:r>
              <w:rPr>
                <w:rFonts w:ascii="Arial" w:cs="Arial" w:eastAsia="Arial" w:hAnsi="Arial"/>
                <w:sz w:val="18"/>
                <w:szCs w:val="18"/>
                <w:b w:val="1"/>
                <w:bCs w:val="1"/>
                <w:color w:val="auto"/>
              </w:rPr>
              <w:t>Current assets</w:t>
            </w:r>
          </w:p>
        </w:tc>
        <w:tc>
          <w:tcPr>
            <w:tcW w:w="40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4100" w:type="dxa"/>
            <w:vAlign w:val="bottom"/>
            <w:gridSpan w:val="3"/>
            <w:shd w:val="clear" w:color="auto" w:fill="CCEEFF"/>
          </w:tcPr>
          <w:p>
            <w:pPr>
              <w:ind w:left="140"/>
              <w:spacing w:after="0"/>
              <w:rPr>
                <w:sz w:val="20"/>
                <w:szCs w:val="20"/>
                <w:color w:val="auto"/>
              </w:rPr>
            </w:pPr>
            <w:r>
              <w:rPr>
                <w:rFonts w:ascii="Arial" w:cs="Arial" w:eastAsia="Arial" w:hAnsi="Arial"/>
                <w:sz w:val="18"/>
                <w:szCs w:val="18"/>
                <w:color w:val="auto"/>
              </w:rPr>
              <w:t>Cash and cash equivalents</w:t>
            </w:r>
          </w:p>
        </w:tc>
        <w:tc>
          <w:tcPr>
            <w:tcW w:w="4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5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24,310</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4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53,949</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4100" w:type="dxa"/>
            <w:vAlign w:val="bottom"/>
            <w:gridSpan w:val="3"/>
          </w:tcPr>
          <w:p>
            <w:pPr>
              <w:ind w:left="140"/>
              <w:spacing w:after="0"/>
              <w:rPr>
                <w:sz w:val="20"/>
                <w:szCs w:val="20"/>
                <w:color w:val="auto"/>
              </w:rPr>
            </w:pPr>
            <w:r>
              <w:rPr>
                <w:rFonts w:ascii="Arial" w:cs="Arial" w:eastAsia="Arial" w:hAnsi="Arial"/>
                <w:sz w:val="18"/>
                <w:szCs w:val="18"/>
                <w:color w:val="auto"/>
              </w:rPr>
              <w:t>Short-term investments</w:t>
            </w:r>
          </w:p>
        </w:tc>
        <w:tc>
          <w:tcPr>
            <w:tcW w:w="40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540" w:type="dxa"/>
            <w:vAlign w:val="bottom"/>
            <w:gridSpan w:val="2"/>
          </w:tcPr>
          <w:p>
            <w:pPr>
              <w:jc w:val="right"/>
              <w:ind w:right="220"/>
              <w:spacing w:after="0"/>
              <w:rPr>
                <w:sz w:val="20"/>
                <w:szCs w:val="20"/>
                <w:color w:val="auto"/>
              </w:rPr>
            </w:pPr>
            <w:r>
              <w:rPr>
                <w:rFonts w:ascii="Arial" w:cs="Arial" w:eastAsia="Arial" w:hAnsi="Arial"/>
                <w:sz w:val="18"/>
                <w:szCs w:val="18"/>
                <w:color w:val="auto"/>
              </w:rPr>
              <w:t>23,125</w:t>
            </w:r>
          </w:p>
        </w:tc>
        <w:tc>
          <w:tcPr>
            <w:tcW w:w="160" w:type="dxa"/>
            <w:vAlign w:val="bottom"/>
          </w:tcPr>
          <w:p>
            <w:pPr>
              <w:spacing w:after="0"/>
              <w:rPr>
                <w:sz w:val="18"/>
                <w:szCs w:val="18"/>
                <w:color w:val="auto"/>
              </w:rPr>
            </w:pPr>
          </w:p>
        </w:tc>
        <w:tc>
          <w:tcPr>
            <w:tcW w:w="1420" w:type="dxa"/>
            <w:vAlign w:val="bottom"/>
            <w:gridSpan w:val="2"/>
          </w:tcPr>
          <w:p>
            <w:pPr>
              <w:jc w:val="right"/>
              <w:ind w:right="100"/>
              <w:spacing w:after="0"/>
              <w:rPr>
                <w:sz w:val="20"/>
                <w:szCs w:val="20"/>
                <w:color w:val="auto"/>
              </w:rPr>
            </w:pPr>
            <w:r>
              <w:rPr>
                <w:rFonts w:ascii="Arial" w:cs="Arial" w:eastAsia="Arial" w:hAnsi="Arial"/>
                <w:sz w:val="18"/>
                <w:szCs w:val="18"/>
                <w:color w:val="auto"/>
              </w:rPr>
              <w:t>23,125</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4100" w:type="dxa"/>
            <w:vAlign w:val="bottom"/>
            <w:gridSpan w:val="3"/>
            <w:shd w:val="clear" w:color="auto" w:fill="CCEEFF"/>
          </w:tcPr>
          <w:p>
            <w:pPr>
              <w:ind w:left="140"/>
              <w:spacing w:after="0"/>
              <w:rPr>
                <w:sz w:val="20"/>
                <w:szCs w:val="20"/>
                <w:color w:val="auto"/>
              </w:rPr>
            </w:pPr>
            <w:r>
              <w:rPr>
                <w:rFonts w:ascii="Arial" w:cs="Arial" w:eastAsia="Arial" w:hAnsi="Arial"/>
                <w:sz w:val="18"/>
                <w:szCs w:val="18"/>
                <w:color w:val="auto"/>
              </w:rPr>
              <w:t>Accounts receivable, net</w:t>
            </w:r>
          </w:p>
        </w:tc>
        <w:tc>
          <w:tcPr>
            <w:tcW w:w="40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21,543</w:t>
            </w:r>
          </w:p>
        </w:tc>
        <w:tc>
          <w:tcPr>
            <w:tcW w:w="16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19,640</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4100" w:type="dxa"/>
            <w:vAlign w:val="bottom"/>
            <w:gridSpan w:val="3"/>
          </w:tcPr>
          <w:p>
            <w:pPr>
              <w:ind w:left="140"/>
              <w:spacing w:after="0"/>
              <w:rPr>
                <w:sz w:val="20"/>
                <w:szCs w:val="20"/>
                <w:color w:val="auto"/>
              </w:rPr>
            </w:pPr>
            <w:r>
              <w:rPr>
                <w:rFonts w:ascii="Arial" w:cs="Arial" w:eastAsia="Arial" w:hAnsi="Arial"/>
                <w:sz w:val="18"/>
                <w:szCs w:val="18"/>
                <w:color w:val="auto"/>
              </w:rPr>
              <w:t>Inventories</w:t>
            </w:r>
          </w:p>
        </w:tc>
        <w:tc>
          <w:tcPr>
            <w:tcW w:w="40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540" w:type="dxa"/>
            <w:vAlign w:val="bottom"/>
            <w:gridSpan w:val="2"/>
          </w:tcPr>
          <w:p>
            <w:pPr>
              <w:jc w:val="right"/>
              <w:ind w:right="220"/>
              <w:spacing w:after="0"/>
              <w:rPr>
                <w:sz w:val="20"/>
                <w:szCs w:val="20"/>
                <w:color w:val="auto"/>
              </w:rPr>
            </w:pPr>
            <w:r>
              <w:rPr>
                <w:rFonts w:ascii="Arial" w:cs="Arial" w:eastAsia="Arial" w:hAnsi="Arial"/>
                <w:sz w:val="18"/>
                <w:szCs w:val="18"/>
                <w:color w:val="auto"/>
              </w:rPr>
              <w:t>63,669</w:t>
            </w:r>
          </w:p>
        </w:tc>
        <w:tc>
          <w:tcPr>
            <w:tcW w:w="160" w:type="dxa"/>
            <w:vAlign w:val="bottom"/>
          </w:tcPr>
          <w:p>
            <w:pPr>
              <w:spacing w:after="0"/>
              <w:rPr>
                <w:sz w:val="18"/>
                <w:szCs w:val="18"/>
                <w:color w:val="auto"/>
              </w:rPr>
            </w:pPr>
          </w:p>
        </w:tc>
        <w:tc>
          <w:tcPr>
            <w:tcW w:w="1420" w:type="dxa"/>
            <w:vAlign w:val="bottom"/>
            <w:gridSpan w:val="2"/>
          </w:tcPr>
          <w:p>
            <w:pPr>
              <w:jc w:val="right"/>
              <w:ind w:right="100"/>
              <w:spacing w:after="0"/>
              <w:rPr>
                <w:sz w:val="20"/>
                <w:szCs w:val="20"/>
                <w:color w:val="auto"/>
              </w:rPr>
            </w:pPr>
            <w:r>
              <w:rPr>
                <w:rFonts w:ascii="Arial" w:cs="Arial" w:eastAsia="Arial" w:hAnsi="Arial"/>
                <w:sz w:val="18"/>
                <w:szCs w:val="18"/>
                <w:color w:val="auto"/>
              </w:rPr>
              <w:t>54,476</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4100" w:type="dxa"/>
            <w:vAlign w:val="bottom"/>
            <w:tcBorders>
              <w:bottom w:val="single" w:sz="8" w:color="CCEEFF"/>
            </w:tcBorders>
            <w:gridSpan w:val="3"/>
            <w:shd w:val="clear" w:color="auto" w:fill="CCEEFF"/>
          </w:tcPr>
          <w:p>
            <w:pPr>
              <w:ind w:left="140"/>
              <w:spacing w:after="0"/>
              <w:rPr>
                <w:sz w:val="20"/>
                <w:szCs w:val="20"/>
                <w:color w:val="auto"/>
              </w:rPr>
            </w:pPr>
            <w:r>
              <w:rPr>
                <w:rFonts w:ascii="Arial" w:cs="Arial" w:eastAsia="Arial" w:hAnsi="Arial"/>
                <w:sz w:val="18"/>
                <w:szCs w:val="18"/>
                <w:color w:val="auto"/>
              </w:rPr>
              <w:t>Other current assets</w:t>
            </w:r>
          </w:p>
        </w:tc>
        <w:tc>
          <w:tcPr>
            <w:tcW w:w="400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9,610</w:t>
            </w:r>
          </w:p>
        </w:tc>
        <w:tc>
          <w:tcPr>
            <w:tcW w:w="22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8,192</w:t>
            </w:r>
          </w:p>
        </w:tc>
        <w:tc>
          <w:tcPr>
            <w:tcW w:w="10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4100" w:type="dxa"/>
            <w:vAlign w:val="bottom"/>
            <w:gridSpan w:val="3"/>
          </w:tcPr>
          <w:p>
            <w:pPr>
              <w:spacing w:after="0"/>
              <w:rPr>
                <w:sz w:val="20"/>
                <w:szCs w:val="20"/>
                <w:color w:val="auto"/>
              </w:rPr>
            </w:pPr>
            <w:r>
              <w:rPr>
                <w:rFonts w:ascii="Arial" w:cs="Arial" w:eastAsia="Arial" w:hAnsi="Arial"/>
                <w:sz w:val="18"/>
                <w:szCs w:val="18"/>
                <w:color w:val="auto"/>
              </w:rPr>
              <w:t>Total current assets</w:t>
            </w:r>
          </w:p>
        </w:tc>
        <w:tc>
          <w:tcPr>
            <w:tcW w:w="40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540" w:type="dxa"/>
            <w:vAlign w:val="bottom"/>
            <w:gridSpan w:val="2"/>
          </w:tcPr>
          <w:p>
            <w:pPr>
              <w:jc w:val="right"/>
              <w:ind w:right="220"/>
              <w:spacing w:after="0"/>
              <w:rPr>
                <w:sz w:val="20"/>
                <w:szCs w:val="20"/>
                <w:color w:val="auto"/>
              </w:rPr>
            </w:pPr>
            <w:r>
              <w:rPr>
                <w:rFonts w:ascii="Arial" w:cs="Arial" w:eastAsia="Arial" w:hAnsi="Arial"/>
                <w:sz w:val="18"/>
                <w:szCs w:val="18"/>
                <w:color w:val="auto"/>
              </w:rPr>
              <w:t>142,257</w:t>
            </w:r>
          </w:p>
        </w:tc>
        <w:tc>
          <w:tcPr>
            <w:tcW w:w="160" w:type="dxa"/>
            <w:vAlign w:val="bottom"/>
          </w:tcPr>
          <w:p>
            <w:pPr>
              <w:spacing w:after="0"/>
              <w:rPr>
                <w:sz w:val="18"/>
                <w:szCs w:val="18"/>
                <w:color w:val="auto"/>
              </w:rPr>
            </w:pPr>
          </w:p>
        </w:tc>
        <w:tc>
          <w:tcPr>
            <w:tcW w:w="1420" w:type="dxa"/>
            <w:vAlign w:val="bottom"/>
            <w:gridSpan w:val="2"/>
          </w:tcPr>
          <w:p>
            <w:pPr>
              <w:jc w:val="right"/>
              <w:ind w:right="100"/>
              <w:spacing w:after="0"/>
              <w:rPr>
                <w:sz w:val="20"/>
                <w:szCs w:val="20"/>
                <w:color w:val="auto"/>
              </w:rPr>
            </w:pPr>
            <w:r>
              <w:rPr>
                <w:rFonts w:ascii="Arial" w:cs="Arial" w:eastAsia="Arial" w:hAnsi="Arial"/>
                <w:sz w:val="18"/>
                <w:szCs w:val="18"/>
                <w:color w:val="auto"/>
              </w:rPr>
              <w:t>159,382</w:t>
            </w:r>
          </w:p>
        </w:tc>
        <w:tc>
          <w:tcPr>
            <w:tcW w:w="0" w:type="dxa"/>
            <w:vAlign w:val="bottom"/>
          </w:tcPr>
          <w:p>
            <w:pPr>
              <w:spacing w:after="0"/>
              <w:rPr>
                <w:sz w:val="1"/>
                <w:szCs w:val="1"/>
                <w:color w:val="auto"/>
              </w:rPr>
            </w:pPr>
          </w:p>
        </w:tc>
      </w:tr>
      <w:tr>
        <w:trPr>
          <w:trHeight w:val="209"/>
        </w:trPr>
        <w:tc>
          <w:tcPr>
            <w:tcW w:w="20" w:type="dxa"/>
            <w:vAlign w:val="bottom"/>
            <w:vMerge w:val="restart"/>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2300" w:type="dxa"/>
            <w:vAlign w:val="bottom"/>
            <w:shd w:val="clear" w:color="auto" w:fill="CCEEFF"/>
          </w:tcPr>
          <w:p>
            <w:pPr>
              <w:spacing w:after="0"/>
              <w:rPr>
                <w:sz w:val="18"/>
                <w:szCs w:val="18"/>
                <w:color w:val="auto"/>
              </w:rPr>
            </w:pPr>
          </w:p>
        </w:tc>
        <w:tc>
          <w:tcPr>
            <w:tcW w:w="1340" w:type="dxa"/>
            <w:vAlign w:val="bottom"/>
            <w:shd w:val="clear" w:color="auto" w:fill="CCEEFF"/>
          </w:tcPr>
          <w:p>
            <w:pPr>
              <w:spacing w:after="0"/>
              <w:rPr>
                <w:sz w:val="18"/>
                <w:szCs w:val="18"/>
                <w:color w:val="auto"/>
              </w:rPr>
            </w:pPr>
          </w:p>
        </w:tc>
        <w:tc>
          <w:tcPr>
            <w:tcW w:w="4000" w:type="dxa"/>
            <w:vAlign w:val="bottom"/>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132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132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vMerge w:val="continue"/>
          </w:tcPr>
          <w:p>
            <w:pPr>
              <w:spacing w:after="0"/>
              <w:rPr>
                <w:sz w:val="18"/>
                <w:szCs w:val="18"/>
                <w:color w:val="auto"/>
              </w:rPr>
            </w:pPr>
          </w:p>
        </w:tc>
        <w:tc>
          <w:tcPr>
            <w:tcW w:w="4100" w:type="dxa"/>
            <w:vAlign w:val="bottom"/>
            <w:gridSpan w:val="3"/>
          </w:tcPr>
          <w:p>
            <w:pPr>
              <w:spacing w:after="0"/>
              <w:rPr>
                <w:sz w:val="20"/>
                <w:szCs w:val="20"/>
                <w:color w:val="auto"/>
              </w:rPr>
            </w:pPr>
            <w:r>
              <w:rPr>
                <w:rFonts w:ascii="Arial" w:cs="Arial" w:eastAsia="Arial" w:hAnsi="Arial"/>
                <w:sz w:val="18"/>
                <w:szCs w:val="18"/>
                <w:color w:val="auto"/>
              </w:rPr>
              <w:t>Property and equipment, net</w:t>
            </w:r>
          </w:p>
        </w:tc>
        <w:tc>
          <w:tcPr>
            <w:tcW w:w="40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540" w:type="dxa"/>
            <w:vAlign w:val="bottom"/>
            <w:gridSpan w:val="2"/>
          </w:tcPr>
          <w:p>
            <w:pPr>
              <w:jc w:val="right"/>
              <w:ind w:right="220"/>
              <w:spacing w:after="0"/>
              <w:rPr>
                <w:sz w:val="20"/>
                <w:szCs w:val="20"/>
                <w:color w:val="auto"/>
              </w:rPr>
            </w:pPr>
            <w:r>
              <w:rPr>
                <w:rFonts w:ascii="Arial" w:cs="Arial" w:eastAsia="Arial" w:hAnsi="Arial"/>
                <w:sz w:val="18"/>
                <w:szCs w:val="18"/>
                <w:color w:val="auto"/>
              </w:rPr>
              <w:t>103,766</w:t>
            </w:r>
          </w:p>
        </w:tc>
        <w:tc>
          <w:tcPr>
            <w:tcW w:w="160" w:type="dxa"/>
            <w:vAlign w:val="bottom"/>
          </w:tcPr>
          <w:p>
            <w:pPr>
              <w:spacing w:after="0"/>
              <w:rPr>
                <w:sz w:val="18"/>
                <w:szCs w:val="18"/>
                <w:color w:val="auto"/>
              </w:rPr>
            </w:pPr>
          </w:p>
        </w:tc>
        <w:tc>
          <w:tcPr>
            <w:tcW w:w="1420" w:type="dxa"/>
            <w:vAlign w:val="bottom"/>
            <w:gridSpan w:val="2"/>
          </w:tcPr>
          <w:p>
            <w:pPr>
              <w:jc w:val="right"/>
              <w:ind w:right="100"/>
              <w:spacing w:after="0"/>
              <w:rPr>
                <w:sz w:val="20"/>
                <w:szCs w:val="20"/>
                <w:color w:val="auto"/>
              </w:rPr>
            </w:pPr>
            <w:r>
              <w:rPr>
                <w:rFonts w:ascii="Arial" w:cs="Arial" w:eastAsia="Arial" w:hAnsi="Arial"/>
                <w:sz w:val="18"/>
                <w:szCs w:val="18"/>
                <w:color w:val="auto"/>
              </w:rPr>
              <w:t>103,244</w:t>
            </w:r>
          </w:p>
        </w:tc>
        <w:tc>
          <w:tcPr>
            <w:tcW w:w="0" w:type="dxa"/>
            <w:vAlign w:val="bottom"/>
          </w:tcPr>
          <w:p>
            <w:pPr>
              <w:spacing w:after="0"/>
              <w:rPr>
                <w:sz w:val="1"/>
                <w:szCs w:val="1"/>
                <w:color w:val="auto"/>
              </w:rPr>
            </w:pPr>
          </w:p>
        </w:tc>
      </w:tr>
      <w:tr>
        <w:trPr>
          <w:trHeight w:val="215"/>
        </w:trPr>
        <w:tc>
          <w:tcPr>
            <w:tcW w:w="20" w:type="dxa"/>
            <w:vAlign w:val="bottom"/>
            <w:vMerge w:val="restart"/>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2300" w:type="dxa"/>
            <w:vAlign w:val="bottom"/>
            <w:shd w:val="clear" w:color="auto" w:fill="CCEEFF"/>
          </w:tcPr>
          <w:p>
            <w:pPr>
              <w:spacing w:after="0"/>
              <w:rPr>
                <w:sz w:val="18"/>
                <w:szCs w:val="18"/>
                <w:color w:val="auto"/>
              </w:rPr>
            </w:pPr>
          </w:p>
        </w:tc>
        <w:tc>
          <w:tcPr>
            <w:tcW w:w="1340" w:type="dxa"/>
            <w:vAlign w:val="bottom"/>
            <w:shd w:val="clear" w:color="auto" w:fill="CCEEFF"/>
          </w:tcPr>
          <w:p>
            <w:pPr>
              <w:spacing w:after="0"/>
              <w:rPr>
                <w:sz w:val="18"/>
                <w:szCs w:val="18"/>
                <w:color w:val="auto"/>
              </w:rPr>
            </w:pPr>
          </w:p>
        </w:tc>
        <w:tc>
          <w:tcPr>
            <w:tcW w:w="40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vMerge w:val="continue"/>
          </w:tcPr>
          <w:p>
            <w:pPr>
              <w:spacing w:after="0"/>
              <w:rPr>
                <w:sz w:val="18"/>
                <w:szCs w:val="18"/>
                <w:color w:val="auto"/>
              </w:rPr>
            </w:pPr>
          </w:p>
        </w:tc>
        <w:tc>
          <w:tcPr>
            <w:tcW w:w="4100" w:type="dxa"/>
            <w:vAlign w:val="bottom"/>
            <w:gridSpan w:val="3"/>
          </w:tcPr>
          <w:p>
            <w:pPr>
              <w:spacing w:after="0"/>
              <w:rPr>
                <w:sz w:val="20"/>
                <w:szCs w:val="20"/>
                <w:color w:val="auto"/>
              </w:rPr>
            </w:pPr>
            <w:r>
              <w:rPr>
                <w:rFonts w:ascii="Arial" w:cs="Arial" w:eastAsia="Arial" w:hAnsi="Arial"/>
                <w:sz w:val="18"/>
                <w:szCs w:val="18"/>
                <w:color w:val="auto"/>
              </w:rPr>
              <w:t>Deferred income taxes</w:t>
            </w:r>
          </w:p>
        </w:tc>
        <w:tc>
          <w:tcPr>
            <w:tcW w:w="40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540" w:type="dxa"/>
            <w:vAlign w:val="bottom"/>
            <w:gridSpan w:val="2"/>
          </w:tcPr>
          <w:p>
            <w:pPr>
              <w:jc w:val="right"/>
              <w:ind w:right="220"/>
              <w:spacing w:after="0"/>
              <w:rPr>
                <w:sz w:val="20"/>
                <w:szCs w:val="20"/>
                <w:color w:val="auto"/>
              </w:rPr>
            </w:pPr>
            <w:r>
              <w:rPr>
                <w:rFonts w:ascii="Arial" w:cs="Arial" w:eastAsia="Arial" w:hAnsi="Arial"/>
                <w:sz w:val="18"/>
                <w:szCs w:val="18"/>
                <w:color w:val="auto"/>
              </w:rPr>
              <w:t>6,183</w:t>
            </w:r>
          </w:p>
        </w:tc>
        <w:tc>
          <w:tcPr>
            <w:tcW w:w="160" w:type="dxa"/>
            <w:vAlign w:val="bottom"/>
          </w:tcPr>
          <w:p>
            <w:pPr>
              <w:spacing w:after="0"/>
              <w:rPr>
                <w:sz w:val="18"/>
                <w:szCs w:val="18"/>
                <w:color w:val="auto"/>
              </w:rPr>
            </w:pPr>
          </w:p>
        </w:tc>
        <w:tc>
          <w:tcPr>
            <w:tcW w:w="1420" w:type="dxa"/>
            <w:vAlign w:val="bottom"/>
            <w:gridSpan w:val="2"/>
          </w:tcPr>
          <w:p>
            <w:pPr>
              <w:jc w:val="right"/>
              <w:ind w:right="100"/>
              <w:spacing w:after="0"/>
              <w:rPr>
                <w:sz w:val="20"/>
                <w:szCs w:val="20"/>
                <w:color w:val="auto"/>
              </w:rPr>
            </w:pPr>
            <w:r>
              <w:rPr>
                <w:rFonts w:ascii="Arial" w:cs="Arial" w:eastAsia="Arial" w:hAnsi="Arial"/>
                <w:sz w:val="18"/>
                <w:szCs w:val="18"/>
                <w:color w:val="auto"/>
              </w:rPr>
              <w:t>8,393</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41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Goodwill and other intangible assets</w:t>
            </w:r>
          </w:p>
        </w:tc>
        <w:tc>
          <w:tcPr>
            <w:tcW w:w="40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28,840</w:t>
            </w:r>
          </w:p>
        </w:tc>
        <w:tc>
          <w:tcPr>
            <w:tcW w:w="16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17,351</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4100" w:type="dxa"/>
            <w:vAlign w:val="bottom"/>
            <w:gridSpan w:val="3"/>
          </w:tcPr>
          <w:p>
            <w:pPr>
              <w:spacing w:after="0"/>
              <w:rPr>
                <w:sz w:val="20"/>
                <w:szCs w:val="20"/>
                <w:color w:val="auto"/>
              </w:rPr>
            </w:pPr>
            <w:r>
              <w:rPr>
                <w:rFonts w:ascii="Arial" w:cs="Arial" w:eastAsia="Arial" w:hAnsi="Arial"/>
                <w:sz w:val="18"/>
                <w:szCs w:val="18"/>
                <w:color w:val="auto"/>
              </w:rPr>
              <w:t>Other</w:t>
            </w:r>
          </w:p>
        </w:tc>
        <w:tc>
          <w:tcPr>
            <w:tcW w:w="400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5,619</w:t>
            </w:r>
          </w:p>
        </w:tc>
        <w:tc>
          <w:tcPr>
            <w:tcW w:w="22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5,378</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4100" w:type="dxa"/>
            <w:vAlign w:val="bottom"/>
            <w:tcBorders>
              <w:bottom w:val="single" w:sz="8" w:color="CCEEFF"/>
            </w:tcBorders>
            <w:gridSpan w:val="3"/>
            <w:shd w:val="clear" w:color="auto" w:fill="CCEEFF"/>
          </w:tcPr>
          <w:p>
            <w:pPr>
              <w:spacing w:after="0"/>
              <w:rPr>
                <w:sz w:val="20"/>
                <w:szCs w:val="20"/>
                <w:color w:val="auto"/>
              </w:rPr>
            </w:pPr>
            <w:r>
              <w:rPr>
                <w:rFonts w:ascii="Arial" w:cs="Arial" w:eastAsia="Arial" w:hAnsi="Arial"/>
                <w:sz w:val="18"/>
                <w:szCs w:val="18"/>
                <w:color w:val="auto"/>
              </w:rPr>
              <w:t>Total long-term assets</w:t>
            </w:r>
          </w:p>
        </w:tc>
        <w:tc>
          <w:tcPr>
            <w:tcW w:w="400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40,642</w:t>
            </w:r>
          </w:p>
        </w:tc>
        <w:tc>
          <w:tcPr>
            <w:tcW w:w="22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31,122</w:t>
            </w:r>
          </w:p>
        </w:tc>
        <w:tc>
          <w:tcPr>
            <w:tcW w:w="10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4120" w:type="dxa"/>
            <w:vAlign w:val="bottom"/>
            <w:gridSpan w:val="4"/>
          </w:tcPr>
          <w:p>
            <w:pPr>
              <w:spacing w:after="0"/>
              <w:rPr>
                <w:sz w:val="20"/>
                <w:szCs w:val="20"/>
                <w:color w:val="auto"/>
              </w:rPr>
            </w:pPr>
            <w:r>
              <w:rPr>
                <w:rFonts w:ascii="Arial" w:cs="Arial" w:eastAsia="Arial" w:hAnsi="Arial"/>
                <w:sz w:val="18"/>
                <w:szCs w:val="18"/>
                <w:b w:val="1"/>
                <w:bCs w:val="1"/>
                <w:color w:val="auto"/>
              </w:rPr>
              <w:t>Total assets</w:t>
            </w:r>
          </w:p>
        </w:tc>
        <w:tc>
          <w:tcPr>
            <w:tcW w:w="4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540" w:type="dxa"/>
            <w:vAlign w:val="bottom"/>
            <w:gridSpan w:val="2"/>
          </w:tcPr>
          <w:p>
            <w:pPr>
              <w:jc w:val="right"/>
              <w:ind w:right="220"/>
              <w:spacing w:after="0"/>
              <w:rPr>
                <w:sz w:val="20"/>
                <w:szCs w:val="20"/>
                <w:color w:val="auto"/>
              </w:rPr>
            </w:pPr>
            <w:r>
              <w:rPr>
                <w:rFonts w:ascii="Arial" w:cs="Arial" w:eastAsia="Arial" w:hAnsi="Arial"/>
                <w:sz w:val="18"/>
                <w:szCs w:val="18"/>
                <w:color w:val="auto"/>
              </w:rPr>
              <w:t>286,665</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420" w:type="dxa"/>
            <w:vAlign w:val="bottom"/>
            <w:gridSpan w:val="2"/>
          </w:tcPr>
          <w:p>
            <w:pPr>
              <w:jc w:val="right"/>
              <w:ind w:right="100"/>
              <w:spacing w:after="0"/>
              <w:rPr>
                <w:sz w:val="20"/>
                <w:szCs w:val="20"/>
                <w:color w:val="auto"/>
              </w:rPr>
            </w:pPr>
            <w:r>
              <w:rPr>
                <w:rFonts w:ascii="Arial" w:cs="Arial" w:eastAsia="Arial" w:hAnsi="Arial"/>
                <w:sz w:val="18"/>
                <w:szCs w:val="18"/>
                <w:color w:val="auto"/>
              </w:rPr>
              <w:t>293,748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30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400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20" w:type="dxa"/>
            <w:vAlign w:val="bottom"/>
            <w:vMerge w:val="restart"/>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2300" w:type="dxa"/>
            <w:vAlign w:val="bottom"/>
            <w:shd w:val="clear" w:color="auto" w:fill="CCEEFF"/>
          </w:tcPr>
          <w:p>
            <w:pPr>
              <w:spacing w:after="0"/>
              <w:rPr>
                <w:sz w:val="17"/>
                <w:szCs w:val="17"/>
                <w:color w:val="auto"/>
              </w:rPr>
            </w:pPr>
          </w:p>
        </w:tc>
        <w:tc>
          <w:tcPr>
            <w:tcW w:w="1340" w:type="dxa"/>
            <w:vAlign w:val="bottom"/>
            <w:shd w:val="clear" w:color="auto" w:fill="CCEEFF"/>
          </w:tcPr>
          <w:p>
            <w:pPr>
              <w:spacing w:after="0"/>
              <w:rPr>
                <w:sz w:val="17"/>
                <w:szCs w:val="17"/>
                <w:color w:val="auto"/>
              </w:rPr>
            </w:pPr>
          </w:p>
        </w:tc>
        <w:tc>
          <w:tcPr>
            <w:tcW w:w="40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3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3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75"/>
        </w:trPr>
        <w:tc>
          <w:tcPr>
            <w:tcW w:w="20" w:type="dxa"/>
            <w:vAlign w:val="bottom"/>
            <w:vMerge w:val="continue"/>
          </w:tcPr>
          <w:p>
            <w:pPr>
              <w:spacing w:after="0"/>
              <w:rPr>
                <w:sz w:val="15"/>
                <w:szCs w:val="15"/>
                <w:color w:val="auto"/>
              </w:rPr>
            </w:pPr>
          </w:p>
        </w:tc>
        <w:tc>
          <w:tcPr>
            <w:tcW w:w="4100" w:type="dxa"/>
            <w:vAlign w:val="bottom"/>
            <w:gridSpan w:val="3"/>
          </w:tcPr>
          <w:p>
            <w:pPr>
              <w:spacing w:after="0" w:line="175" w:lineRule="exact"/>
              <w:rPr>
                <w:sz w:val="20"/>
                <w:szCs w:val="20"/>
                <w:color w:val="auto"/>
              </w:rPr>
            </w:pPr>
            <w:r>
              <w:rPr>
                <w:rFonts w:ascii="Arial" w:cs="Arial" w:eastAsia="Arial" w:hAnsi="Arial"/>
                <w:sz w:val="18"/>
                <w:szCs w:val="18"/>
                <w:b w:val="1"/>
                <w:bCs w:val="1"/>
                <w:color w:val="auto"/>
              </w:rPr>
              <w:t>Liabilities and Stockholders’ Equity</w:t>
            </w:r>
          </w:p>
        </w:tc>
        <w:tc>
          <w:tcPr>
            <w:tcW w:w="40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460" w:type="dxa"/>
            <w:vAlign w:val="bottom"/>
            <w:tcBorders>
              <w:top w:val="single" w:sz="8" w:color="auto"/>
            </w:tcBorders>
          </w:tcPr>
          <w:p>
            <w:pPr>
              <w:spacing w:after="0" w:line="20" w:lineRule="exact"/>
              <w:rPr>
                <w:sz w:val="1"/>
                <w:szCs w:val="1"/>
                <w:color w:val="auto"/>
              </w:rPr>
            </w:pPr>
          </w:p>
        </w:tc>
        <w:tc>
          <w:tcPr>
            <w:tcW w:w="2300" w:type="dxa"/>
            <w:vAlign w:val="bottom"/>
            <w:tcBorders>
              <w:top w:val="single" w:sz="8" w:color="auto"/>
            </w:tcBorders>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40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5"/>
        </w:trPr>
        <w:tc>
          <w:tcPr>
            <w:tcW w:w="20" w:type="dxa"/>
            <w:vAlign w:val="bottom"/>
            <w:vMerge w:val="continue"/>
          </w:tcPr>
          <w:p>
            <w:pPr>
              <w:spacing w:after="0"/>
              <w:rPr>
                <w:sz w:val="18"/>
                <w:szCs w:val="18"/>
                <w:color w:val="auto"/>
              </w:rPr>
            </w:pPr>
          </w:p>
        </w:tc>
        <w:tc>
          <w:tcPr>
            <w:tcW w:w="4100" w:type="dxa"/>
            <w:vAlign w:val="bottom"/>
            <w:gridSpan w:val="3"/>
            <w:shd w:val="clear" w:color="auto" w:fill="CCEEFF"/>
          </w:tcPr>
          <w:p>
            <w:pPr>
              <w:spacing w:after="0"/>
              <w:rPr>
                <w:sz w:val="20"/>
                <w:szCs w:val="20"/>
                <w:color w:val="auto"/>
              </w:rPr>
            </w:pPr>
            <w:r>
              <w:rPr>
                <w:rFonts w:ascii="Arial" w:cs="Arial" w:eastAsia="Arial" w:hAnsi="Arial"/>
                <w:sz w:val="18"/>
                <w:szCs w:val="18"/>
                <w:b w:val="1"/>
                <w:bCs w:val="1"/>
                <w:color w:val="auto"/>
              </w:rPr>
              <w:t>Current liabilities</w:t>
            </w:r>
          </w:p>
        </w:tc>
        <w:tc>
          <w:tcPr>
            <w:tcW w:w="40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4100" w:type="dxa"/>
            <w:vAlign w:val="bottom"/>
            <w:gridSpan w:val="3"/>
          </w:tcPr>
          <w:p>
            <w:pPr>
              <w:ind w:left="140"/>
              <w:spacing w:after="0"/>
              <w:rPr>
                <w:sz w:val="20"/>
                <w:szCs w:val="20"/>
                <w:color w:val="auto"/>
              </w:rPr>
            </w:pPr>
            <w:r>
              <w:rPr>
                <w:rFonts w:ascii="Arial" w:cs="Arial" w:eastAsia="Arial" w:hAnsi="Arial"/>
                <w:sz w:val="18"/>
                <w:szCs w:val="18"/>
                <w:color w:val="auto"/>
              </w:rPr>
              <w:t>Accounts payable</w:t>
            </w:r>
          </w:p>
        </w:tc>
        <w:tc>
          <w:tcPr>
            <w:tcW w:w="4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540" w:type="dxa"/>
            <w:vAlign w:val="bottom"/>
            <w:gridSpan w:val="2"/>
          </w:tcPr>
          <w:p>
            <w:pPr>
              <w:jc w:val="right"/>
              <w:ind w:right="220"/>
              <w:spacing w:after="0"/>
              <w:rPr>
                <w:sz w:val="20"/>
                <w:szCs w:val="20"/>
                <w:color w:val="auto"/>
              </w:rPr>
            </w:pPr>
            <w:r>
              <w:rPr>
                <w:rFonts w:ascii="Arial" w:cs="Arial" w:eastAsia="Arial" w:hAnsi="Arial"/>
                <w:sz w:val="18"/>
                <w:szCs w:val="18"/>
                <w:color w:val="auto"/>
              </w:rPr>
              <w:t>25,551</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420" w:type="dxa"/>
            <w:vAlign w:val="bottom"/>
            <w:gridSpan w:val="2"/>
          </w:tcPr>
          <w:p>
            <w:pPr>
              <w:jc w:val="right"/>
              <w:ind w:right="100"/>
              <w:spacing w:after="0"/>
              <w:rPr>
                <w:sz w:val="20"/>
                <w:szCs w:val="20"/>
                <w:color w:val="auto"/>
              </w:rPr>
            </w:pPr>
            <w:r>
              <w:rPr>
                <w:rFonts w:ascii="Arial" w:cs="Arial" w:eastAsia="Arial" w:hAnsi="Arial"/>
                <w:sz w:val="18"/>
                <w:szCs w:val="18"/>
                <w:color w:val="auto"/>
              </w:rPr>
              <w:t>21,760</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4100" w:type="dxa"/>
            <w:vAlign w:val="bottom"/>
            <w:gridSpan w:val="3"/>
            <w:shd w:val="clear" w:color="auto" w:fill="CCEEFF"/>
          </w:tcPr>
          <w:p>
            <w:pPr>
              <w:ind w:left="140"/>
              <w:spacing w:after="0"/>
              <w:rPr>
                <w:sz w:val="20"/>
                <w:szCs w:val="20"/>
                <w:color w:val="auto"/>
              </w:rPr>
            </w:pPr>
            <w:r>
              <w:rPr>
                <w:rFonts w:ascii="Arial" w:cs="Arial" w:eastAsia="Arial" w:hAnsi="Arial"/>
                <w:sz w:val="18"/>
                <w:szCs w:val="18"/>
                <w:color w:val="auto"/>
              </w:rPr>
              <w:t>Accrued compensation and benefits</w:t>
            </w:r>
          </w:p>
        </w:tc>
        <w:tc>
          <w:tcPr>
            <w:tcW w:w="40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12,553</w:t>
            </w:r>
          </w:p>
        </w:tc>
        <w:tc>
          <w:tcPr>
            <w:tcW w:w="16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14,670</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4100" w:type="dxa"/>
            <w:vAlign w:val="bottom"/>
            <w:gridSpan w:val="3"/>
          </w:tcPr>
          <w:p>
            <w:pPr>
              <w:ind w:left="140"/>
              <w:spacing w:after="0"/>
              <w:rPr>
                <w:sz w:val="20"/>
                <w:szCs w:val="20"/>
                <w:color w:val="auto"/>
              </w:rPr>
            </w:pPr>
            <w:r>
              <w:rPr>
                <w:rFonts w:ascii="Arial" w:cs="Arial" w:eastAsia="Arial" w:hAnsi="Arial"/>
                <w:sz w:val="18"/>
                <w:szCs w:val="18"/>
                <w:color w:val="auto"/>
              </w:rPr>
              <w:t>Customer deposits</w:t>
            </w:r>
          </w:p>
        </w:tc>
        <w:tc>
          <w:tcPr>
            <w:tcW w:w="40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540" w:type="dxa"/>
            <w:vAlign w:val="bottom"/>
            <w:gridSpan w:val="2"/>
          </w:tcPr>
          <w:p>
            <w:pPr>
              <w:jc w:val="right"/>
              <w:ind w:right="220"/>
              <w:spacing w:after="0"/>
              <w:rPr>
                <w:sz w:val="20"/>
                <w:szCs w:val="20"/>
                <w:color w:val="auto"/>
              </w:rPr>
            </w:pPr>
            <w:r>
              <w:rPr>
                <w:rFonts w:ascii="Arial" w:cs="Arial" w:eastAsia="Arial" w:hAnsi="Arial"/>
                <w:sz w:val="18"/>
                <w:szCs w:val="18"/>
                <w:color w:val="auto"/>
              </w:rPr>
              <w:t>26,943</w:t>
            </w:r>
          </w:p>
        </w:tc>
        <w:tc>
          <w:tcPr>
            <w:tcW w:w="160" w:type="dxa"/>
            <w:vAlign w:val="bottom"/>
          </w:tcPr>
          <w:p>
            <w:pPr>
              <w:spacing w:after="0"/>
              <w:rPr>
                <w:sz w:val="18"/>
                <w:szCs w:val="18"/>
                <w:color w:val="auto"/>
              </w:rPr>
            </w:pPr>
          </w:p>
        </w:tc>
        <w:tc>
          <w:tcPr>
            <w:tcW w:w="1420" w:type="dxa"/>
            <w:vAlign w:val="bottom"/>
            <w:gridSpan w:val="2"/>
          </w:tcPr>
          <w:p>
            <w:pPr>
              <w:jc w:val="right"/>
              <w:ind w:right="100"/>
              <w:spacing w:after="0"/>
              <w:rPr>
                <w:sz w:val="20"/>
                <w:szCs w:val="20"/>
                <w:color w:val="auto"/>
              </w:rPr>
            </w:pPr>
            <w:r>
              <w:rPr>
                <w:rFonts w:ascii="Arial" w:cs="Arial" w:eastAsia="Arial" w:hAnsi="Arial"/>
                <w:sz w:val="18"/>
                <w:szCs w:val="18"/>
                <w:color w:val="auto"/>
              </w:rPr>
              <w:t>27,107</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4100" w:type="dxa"/>
            <w:vAlign w:val="bottom"/>
            <w:gridSpan w:val="3"/>
            <w:shd w:val="clear" w:color="auto" w:fill="CCEEFF"/>
          </w:tcPr>
          <w:p>
            <w:pPr>
              <w:ind w:left="140"/>
              <w:spacing w:after="0"/>
              <w:rPr>
                <w:sz w:val="20"/>
                <w:szCs w:val="20"/>
                <w:color w:val="auto"/>
              </w:rPr>
            </w:pPr>
            <w:r>
              <w:rPr>
                <w:rFonts w:ascii="Arial" w:cs="Arial" w:eastAsia="Arial" w:hAnsi="Arial"/>
                <w:sz w:val="18"/>
                <w:szCs w:val="18"/>
                <w:color w:val="auto"/>
              </w:rPr>
              <w:t>Dividends payable</w:t>
            </w:r>
          </w:p>
        </w:tc>
        <w:tc>
          <w:tcPr>
            <w:tcW w:w="40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3,759</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4100" w:type="dxa"/>
            <w:vAlign w:val="bottom"/>
            <w:gridSpan w:val="3"/>
          </w:tcPr>
          <w:p>
            <w:pPr>
              <w:ind w:left="140"/>
              <w:spacing w:after="0"/>
              <w:rPr>
                <w:sz w:val="20"/>
                <w:szCs w:val="20"/>
                <w:color w:val="auto"/>
              </w:rPr>
            </w:pPr>
            <w:r>
              <w:rPr>
                <w:rFonts w:ascii="Arial" w:cs="Arial" w:eastAsia="Arial" w:hAnsi="Arial"/>
                <w:sz w:val="18"/>
                <w:szCs w:val="18"/>
                <w:color w:val="auto"/>
              </w:rPr>
              <w:t>Current portion of long-term debt</w:t>
            </w:r>
          </w:p>
        </w:tc>
        <w:tc>
          <w:tcPr>
            <w:tcW w:w="40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540" w:type="dxa"/>
            <w:vAlign w:val="bottom"/>
            <w:gridSpan w:val="2"/>
          </w:tcPr>
          <w:p>
            <w:pPr>
              <w:jc w:val="right"/>
              <w:ind w:right="220"/>
              <w:spacing w:after="0"/>
              <w:rPr>
                <w:sz w:val="20"/>
                <w:szCs w:val="20"/>
                <w:color w:val="auto"/>
              </w:rPr>
            </w:pPr>
            <w:r>
              <w:rPr>
                <w:rFonts w:ascii="Arial" w:cs="Arial" w:eastAsia="Arial" w:hAnsi="Arial"/>
                <w:sz w:val="18"/>
                <w:szCs w:val="18"/>
                <w:color w:val="auto"/>
              </w:rPr>
              <w:t>425</w:t>
            </w:r>
          </w:p>
        </w:tc>
        <w:tc>
          <w:tcPr>
            <w:tcW w:w="160" w:type="dxa"/>
            <w:vAlign w:val="bottom"/>
          </w:tcPr>
          <w:p>
            <w:pPr>
              <w:spacing w:after="0"/>
              <w:rPr>
                <w:sz w:val="18"/>
                <w:szCs w:val="18"/>
                <w:color w:val="auto"/>
              </w:rPr>
            </w:pPr>
          </w:p>
        </w:tc>
        <w:tc>
          <w:tcPr>
            <w:tcW w:w="1420" w:type="dxa"/>
            <w:vAlign w:val="bottom"/>
            <w:gridSpan w:val="2"/>
          </w:tcPr>
          <w:p>
            <w:pPr>
              <w:jc w:val="right"/>
              <w:ind w:right="100"/>
              <w:spacing w:after="0"/>
              <w:rPr>
                <w:sz w:val="20"/>
                <w:szCs w:val="20"/>
                <w:color w:val="auto"/>
              </w:rPr>
            </w:pPr>
            <w:r>
              <w:rPr>
                <w:rFonts w:ascii="Arial" w:cs="Arial" w:eastAsia="Arial" w:hAnsi="Arial"/>
                <w:sz w:val="18"/>
                <w:szCs w:val="18"/>
                <w:color w:val="auto"/>
              </w:rPr>
              <w:t>3,405</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4100" w:type="dxa"/>
            <w:vAlign w:val="bottom"/>
            <w:tcBorders>
              <w:bottom w:val="single" w:sz="8" w:color="CCEEFF"/>
            </w:tcBorders>
            <w:gridSpan w:val="3"/>
            <w:shd w:val="clear" w:color="auto" w:fill="CCEEFF"/>
          </w:tcPr>
          <w:p>
            <w:pPr>
              <w:ind w:left="140"/>
              <w:spacing w:after="0"/>
              <w:rPr>
                <w:sz w:val="20"/>
                <w:szCs w:val="20"/>
                <w:color w:val="auto"/>
              </w:rPr>
            </w:pPr>
            <w:r>
              <w:rPr>
                <w:rFonts w:ascii="Arial" w:cs="Arial" w:eastAsia="Arial" w:hAnsi="Arial"/>
                <w:sz w:val="18"/>
                <w:szCs w:val="18"/>
                <w:color w:val="auto"/>
              </w:rPr>
              <w:t>Other accrued liabilities</w:t>
            </w:r>
          </w:p>
        </w:tc>
        <w:tc>
          <w:tcPr>
            <w:tcW w:w="400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12,773</w:t>
            </w:r>
          </w:p>
        </w:tc>
        <w:tc>
          <w:tcPr>
            <w:tcW w:w="22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12,655</w:t>
            </w:r>
          </w:p>
        </w:tc>
        <w:tc>
          <w:tcPr>
            <w:tcW w:w="10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4100" w:type="dxa"/>
            <w:vAlign w:val="bottom"/>
            <w:gridSpan w:val="3"/>
          </w:tcPr>
          <w:p>
            <w:pPr>
              <w:spacing w:after="0"/>
              <w:rPr>
                <w:sz w:val="20"/>
                <w:szCs w:val="20"/>
                <w:color w:val="auto"/>
              </w:rPr>
            </w:pPr>
            <w:r>
              <w:rPr>
                <w:rFonts w:ascii="Arial" w:cs="Arial" w:eastAsia="Arial" w:hAnsi="Arial"/>
                <w:sz w:val="18"/>
                <w:szCs w:val="18"/>
                <w:color w:val="auto"/>
              </w:rPr>
              <w:t>Total current liabilities</w:t>
            </w:r>
          </w:p>
        </w:tc>
        <w:tc>
          <w:tcPr>
            <w:tcW w:w="40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540" w:type="dxa"/>
            <w:vAlign w:val="bottom"/>
            <w:gridSpan w:val="2"/>
          </w:tcPr>
          <w:p>
            <w:pPr>
              <w:jc w:val="right"/>
              <w:ind w:right="220"/>
              <w:spacing w:after="0"/>
              <w:rPr>
                <w:sz w:val="20"/>
                <w:szCs w:val="20"/>
                <w:color w:val="auto"/>
              </w:rPr>
            </w:pPr>
            <w:r>
              <w:rPr>
                <w:rFonts w:ascii="Arial" w:cs="Arial" w:eastAsia="Arial" w:hAnsi="Arial"/>
                <w:sz w:val="18"/>
                <w:szCs w:val="18"/>
                <w:color w:val="auto"/>
              </w:rPr>
              <w:t>78,245</w:t>
            </w:r>
          </w:p>
        </w:tc>
        <w:tc>
          <w:tcPr>
            <w:tcW w:w="160" w:type="dxa"/>
            <w:vAlign w:val="bottom"/>
          </w:tcPr>
          <w:p>
            <w:pPr>
              <w:spacing w:after="0"/>
              <w:rPr>
                <w:sz w:val="18"/>
                <w:szCs w:val="18"/>
                <w:color w:val="auto"/>
              </w:rPr>
            </w:pPr>
          </w:p>
        </w:tc>
        <w:tc>
          <w:tcPr>
            <w:tcW w:w="1420" w:type="dxa"/>
            <w:vAlign w:val="bottom"/>
            <w:gridSpan w:val="2"/>
          </w:tcPr>
          <w:p>
            <w:pPr>
              <w:jc w:val="right"/>
              <w:ind w:right="100"/>
              <w:spacing w:after="0"/>
              <w:rPr>
                <w:sz w:val="20"/>
                <w:szCs w:val="20"/>
                <w:color w:val="auto"/>
              </w:rPr>
            </w:pPr>
            <w:r>
              <w:rPr>
                <w:rFonts w:ascii="Arial" w:cs="Arial" w:eastAsia="Arial" w:hAnsi="Arial"/>
                <w:sz w:val="18"/>
                <w:szCs w:val="18"/>
                <w:color w:val="auto"/>
              </w:rPr>
              <w:t>83,356</w:t>
            </w:r>
          </w:p>
        </w:tc>
        <w:tc>
          <w:tcPr>
            <w:tcW w:w="0" w:type="dxa"/>
            <w:vAlign w:val="bottom"/>
          </w:tcPr>
          <w:p>
            <w:pPr>
              <w:spacing w:after="0"/>
              <w:rPr>
                <w:sz w:val="1"/>
                <w:szCs w:val="1"/>
                <w:color w:val="auto"/>
              </w:rPr>
            </w:pPr>
          </w:p>
        </w:tc>
      </w:tr>
      <w:tr>
        <w:trPr>
          <w:trHeight w:val="209"/>
        </w:trPr>
        <w:tc>
          <w:tcPr>
            <w:tcW w:w="20" w:type="dxa"/>
            <w:vAlign w:val="bottom"/>
            <w:vMerge w:val="restart"/>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2300" w:type="dxa"/>
            <w:vAlign w:val="bottom"/>
            <w:shd w:val="clear" w:color="auto" w:fill="CCEEFF"/>
          </w:tcPr>
          <w:p>
            <w:pPr>
              <w:spacing w:after="0"/>
              <w:rPr>
                <w:sz w:val="18"/>
                <w:szCs w:val="18"/>
                <w:color w:val="auto"/>
              </w:rPr>
            </w:pPr>
          </w:p>
        </w:tc>
        <w:tc>
          <w:tcPr>
            <w:tcW w:w="1340" w:type="dxa"/>
            <w:vAlign w:val="bottom"/>
            <w:shd w:val="clear" w:color="auto" w:fill="CCEEFF"/>
          </w:tcPr>
          <w:p>
            <w:pPr>
              <w:spacing w:after="0"/>
              <w:rPr>
                <w:sz w:val="18"/>
                <w:szCs w:val="18"/>
                <w:color w:val="auto"/>
              </w:rPr>
            </w:pPr>
          </w:p>
        </w:tc>
        <w:tc>
          <w:tcPr>
            <w:tcW w:w="4000" w:type="dxa"/>
            <w:vAlign w:val="bottom"/>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132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132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vMerge w:val="continue"/>
          </w:tcPr>
          <w:p>
            <w:pPr>
              <w:spacing w:after="0"/>
              <w:rPr>
                <w:sz w:val="18"/>
                <w:szCs w:val="18"/>
                <w:color w:val="auto"/>
              </w:rPr>
            </w:pPr>
          </w:p>
        </w:tc>
        <w:tc>
          <w:tcPr>
            <w:tcW w:w="4100" w:type="dxa"/>
            <w:vAlign w:val="bottom"/>
            <w:gridSpan w:val="3"/>
          </w:tcPr>
          <w:p>
            <w:pPr>
              <w:spacing w:after="0"/>
              <w:rPr>
                <w:sz w:val="20"/>
                <w:szCs w:val="20"/>
                <w:color w:val="auto"/>
              </w:rPr>
            </w:pPr>
            <w:r>
              <w:rPr>
                <w:rFonts w:ascii="Arial" w:cs="Arial" w:eastAsia="Arial" w:hAnsi="Arial"/>
                <w:sz w:val="18"/>
                <w:szCs w:val="18"/>
                <w:b w:val="1"/>
                <w:bCs w:val="1"/>
                <w:color w:val="auto"/>
              </w:rPr>
              <w:t>Long-term liabilities</w:t>
            </w:r>
          </w:p>
        </w:tc>
        <w:tc>
          <w:tcPr>
            <w:tcW w:w="40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4100" w:type="dxa"/>
            <w:vAlign w:val="bottom"/>
            <w:gridSpan w:val="3"/>
            <w:shd w:val="clear" w:color="auto" w:fill="CCEEFF"/>
          </w:tcPr>
          <w:p>
            <w:pPr>
              <w:ind w:left="140"/>
              <w:spacing w:after="0"/>
              <w:rPr>
                <w:sz w:val="20"/>
                <w:szCs w:val="20"/>
                <w:color w:val="auto"/>
              </w:rPr>
            </w:pPr>
            <w:r>
              <w:rPr>
                <w:rFonts w:ascii="Arial" w:cs="Arial" w:eastAsia="Arial" w:hAnsi="Arial"/>
                <w:sz w:val="18"/>
                <w:szCs w:val="18"/>
                <w:color w:val="auto"/>
              </w:rPr>
              <w:t>Post employment benefit obligations</w:t>
            </w:r>
          </w:p>
        </w:tc>
        <w:tc>
          <w:tcPr>
            <w:tcW w:w="40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13,600</w:t>
            </w:r>
          </w:p>
        </w:tc>
        <w:tc>
          <w:tcPr>
            <w:tcW w:w="16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13,326</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4100" w:type="dxa"/>
            <w:vAlign w:val="bottom"/>
            <w:gridSpan w:val="3"/>
          </w:tcPr>
          <w:p>
            <w:pPr>
              <w:ind w:left="140"/>
              <w:spacing w:after="0"/>
              <w:rPr>
                <w:sz w:val="20"/>
                <w:szCs w:val="20"/>
                <w:color w:val="auto"/>
              </w:rPr>
            </w:pPr>
            <w:r>
              <w:rPr>
                <w:rFonts w:ascii="Arial" w:cs="Arial" w:eastAsia="Arial" w:hAnsi="Arial"/>
                <w:sz w:val="18"/>
                <w:szCs w:val="18"/>
                <w:color w:val="auto"/>
              </w:rPr>
              <w:t>Notes payable</w:t>
            </w:r>
          </w:p>
        </w:tc>
        <w:tc>
          <w:tcPr>
            <w:tcW w:w="40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540" w:type="dxa"/>
            <w:vAlign w:val="bottom"/>
            <w:gridSpan w:val="2"/>
          </w:tcPr>
          <w:p>
            <w:pPr>
              <w:jc w:val="right"/>
              <w:ind w:right="220"/>
              <w:spacing w:after="0"/>
              <w:rPr>
                <w:sz w:val="20"/>
                <w:szCs w:val="20"/>
                <w:color w:val="auto"/>
              </w:rPr>
            </w:pPr>
            <w:r>
              <w:rPr>
                <w:rFonts w:ascii="Arial" w:cs="Arial" w:eastAsia="Arial" w:hAnsi="Arial"/>
                <w:sz w:val="18"/>
                <w:szCs w:val="18"/>
                <w:color w:val="auto"/>
              </w:rPr>
              <w:t>220</w:t>
            </w:r>
          </w:p>
        </w:tc>
        <w:tc>
          <w:tcPr>
            <w:tcW w:w="160" w:type="dxa"/>
            <w:vAlign w:val="bottom"/>
          </w:tcPr>
          <w:p>
            <w:pPr>
              <w:spacing w:after="0"/>
              <w:rPr>
                <w:sz w:val="18"/>
                <w:szCs w:val="18"/>
                <w:color w:val="auto"/>
              </w:rPr>
            </w:pPr>
          </w:p>
        </w:tc>
        <w:tc>
          <w:tcPr>
            <w:tcW w:w="1420" w:type="dxa"/>
            <w:vAlign w:val="bottom"/>
            <w:gridSpan w:val="2"/>
          </w:tcPr>
          <w:p>
            <w:pPr>
              <w:jc w:val="right"/>
              <w:ind w:right="100"/>
              <w:spacing w:after="0"/>
              <w:rPr>
                <w:sz w:val="20"/>
                <w:szCs w:val="20"/>
                <w:color w:val="auto"/>
              </w:rPr>
            </w:pPr>
            <w:r>
              <w:rPr>
                <w:rFonts w:ascii="Arial" w:cs="Arial" w:eastAsia="Arial" w:hAnsi="Arial"/>
                <w:sz w:val="18"/>
                <w:szCs w:val="18"/>
                <w:color w:val="auto"/>
              </w:rPr>
              <w:t>329</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4100" w:type="dxa"/>
            <w:vAlign w:val="bottom"/>
            <w:tcBorders>
              <w:bottom w:val="single" w:sz="8" w:color="CCEEFF"/>
            </w:tcBorders>
            <w:gridSpan w:val="3"/>
            <w:shd w:val="clear" w:color="auto" w:fill="CCEEFF"/>
          </w:tcPr>
          <w:p>
            <w:pPr>
              <w:ind w:left="140"/>
              <w:spacing w:after="0"/>
              <w:rPr>
                <w:sz w:val="20"/>
                <w:szCs w:val="20"/>
                <w:color w:val="auto"/>
              </w:rPr>
            </w:pPr>
            <w:r>
              <w:rPr>
                <w:rFonts w:ascii="Arial" w:cs="Arial" w:eastAsia="Arial" w:hAnsi="Arial"/>
                <w:sz w:val="18"/>
                <w:szCs w:val="18"/>
                <w:color w:val="auto"/>
              </w:rPr>
              <w:t>Other long-term liabilities</w:t>
            </w:r>
          </w:p>
        </w:tc>
        <w:tc>
          <w:tcPr>
            <w:tcW w:w="400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5,534</w:t>
            </w:r>
          </w:p>
        </w:tc>
        <w:tc>
          <w:tcPr>
            <w:tcW w:w="22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5,277</w:t>
            </w:r>
          </w:p>
        </w:tc>
        <w:tc>
          <w:tcPr>
            <w:tcW w:w="10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4100" w:type="dxa"/>
            <w:vAlign w:val="bottom"/>
            <w:gridSpan w:val="3"/>
          </w:tcPr>
          <w:p>
            <w:pPr>
              <w:spacing w:after="0"/>
              <w:rPr>
                <w:sz w:val="20"/>
                <w:szCs w:val="20"/>
                <w:color w:val="auto"/>
              </w:rPr>
            </w:pPr>
            <w:r>
              <w:rPr>
                <w:rFonts w:ascii="Arial" w:cs="Arial" w:eastAsia="Arial" w:hAnsi="Arial"/>
                <w:sz w:val="18"/>
                <w:szCs w:val="18"/>
                <w:color w:val="auto"/>
              </w:rPr>
              <w:t>Total long-term liabilities</w:t>
            </w:r>
          </w:p>
        </w:tc>
        <w:tc>
          <w:tcPr>
            <w:tcW w:w="40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540" w:type="dxa"/>
            <w:vAlign w:val="bottom"/>
            <w:gridSpan w:val="2"/>
          </w:tcPr>
          <w:p>
            <w:pPr>
              <w:jc w:val="right"/>
              <w:ind w:right="220"/>
              <w:spacing w:after="0"/>
              <w:rPr>
                <w:sz w:val="20"/>
                <w:szCs w:val="20"/>
                <w:color w:val="auto"/>
              </w:rPr>
            </w:pPr>
            <w:r>
              <w:rPr>
                <w:rFonts w:ascii="Arial" w:cs="Arial" w:eastAsia="Arial" w:hAnsi="Arial"/>
                <w:sz w:val="18"/>
                <w:szCs w:val="18"/>
                <w:color w:val="auto"/>
              </w:rPr>
              <w:t>19,354</w:t>
            </w:r>
          </w:p>
        </w:tc>
        <w:tc>
          <w:tcPr>
            <w:tcW w:w="160" w:type="dxa"/>
            <w:vAlign w:val="bottom"/>
          </w:tcPr>
          <w:p>
            <w:pPr>
              <w:spacing w:after="0"/>
              <w:rPr>
                <w:sz w:val="18"/>
                <w:szCs w:val="18"/>
                <w:color w:val="auto"/>
              </w:rPr>
            </w:pPr>
          </w:p>
        </w:tc>
        <w:tc>
          <w:tcPr>
            <w:tcW w:w="1420" w:type="dxa"/>
            <w:vAlign w:val="bottom"/>
            <w:gridSpan w:val="2"/>
          </w:tcPr>
          <w:p>
            <w:pPr>
              <w:jc w:val="right"/>
              <w:ind w:right="100"/>
              <w:spacing w:after="0"/>
              <w:rPr>
                <w:sz w:val="20"/>
                <w:szCs w:val="20"/>
                <w:color w:val="auto"/>
              </w:rPr>
            </w:pPr>
            <w:r>
              <w:rPr>
                <w:rFonts w:ascii="Arial" w:cs="Arial" w:eastAsia="Arial" w:hAnsi="Arial"/>
                <w:sz w:val="18"/>
                <w:szCs w:val="18"/>
                <w:color w:val="auto"/>
              </w:rPr>
              <w:t>18,932</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2300" w:type="dxa"/>
            <w:vAlign w:val="bottom"/>
            <w:shd w:val="clear" w:color="auto" w:fill="CCEEFF"/>
          </w:tcPr>
          <w:p>
            <w:pPr>
              <w:spacing w:after="0"/>
              <w:rPr>
                <w:sz w:val="18"/>
                <w:szCs w:val="18"/>
                <w:color w:val="auto"/>
              </w:rPr>
            </w:pPr>
          </w:p>
        </w:tc>
        <w:tc>
          <w:tcPr>
            <w:tcW w:w="1340" w:type="dxa"/>
            <w:vAlign w:val="bottom"/>
            <w:shd w:val="clear" w:color="auto" w:fill="CCEEFF"/>
          </w:tcPr>
          <w:p>
            <w:pPr>
              <w:spacing w:after="0"/>
              <w:rPr>
                <w:sz w:val="18"/>
                <w:szCs w:val="18"/>
                <w:color w:val="auto"/>
              </w:rPr>
            </w:pPr>
          </w:p>
        </w:tc>
        <w:tc>
          <w:tcPr>
            <w:tcW w:w="4000" w:type="dxa"/>
            <w:vAlign w:val="bottom"/>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132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132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vMerge w:val="restart"/>
          </w:tcPr>
          <w:p>
            <w:pPr>
              <w:spacing w:after="0"/>
              <w:rPr>
                <w:sz w:val="18"/>
                <w:szCs w:val="18"/>
                <w:color w:val="auto"/>
              </w:rPr>
            </w:pPr>
          </w:p>
        </w:tc>
        <w:tc>
          <w:tcPr>
            <w:tcW w:w="460" w:type="dxa"/>
            <w:vAlign w:val="bottom"/>
          </w:tcPr>
          <w:p>
            <w:pPr>
              <w:spacing w:after="0"/>
              <w:rPr>
                <w:sz w:val="18"/>
                <w:szCs w:val="18"/>
                <w:color w:val="auto"/>
              </w:rPr>
            </w:pPr>
          </w:p>
        </w:tc>
        <w:tc>
          <w:tcPr>
            <w:tcW w:w="230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40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vMerge w:val="continue"/>
          </w:tcPr>
          <w:p>
            <w:pPr>
              <w:spacing w:after="0"/>
              <w:rPr>
                <w:sz w:val="18"/>
                <w:szCs w:val="18"/>
                <w:color w:val="auto"/>
              </w:rPr>
            </w:pPr>
          </w:p>
        </w:tc>
        <w:tc>
          <w:tcPr>
            <w:tcW w:w="4100" w:type="dxa"/>
            <w:vAlign w:val="bottom"/>
            <w:gridSpan w:val="3"/>
            <w:shd w:val="clear" w:color="auto" w:fill="CCEEFF"/>
          </w:tcPr>
          <w:p>
            <w:pPr>
              <w:spacing w:after="0"/>
              <w:rPr>
                <w:sz w:val="20"/>
                <w:szCs w:val="20"/>
                <w:color w:val="auto"/>
              </w:rPr>
            </w:pPr>
            <w:r>
              <w:rPr>
                <w:rFonts w:ascii="Arial" w:cs="Arial" w:eastAsia="Arial" w:hAnsi="Arial"/>
                <w:sz w:val="18"/>
                <w:szCs w:val="18"/>
                <w:b w:val="1"/>
                <w:bCs w:val="1"/>
                <w:color w:val="auto"/>
              </w:rPr>
              <w:t>Stockholders’ equity</w:t>
            </w:r>
          </w:p>
        </w:tc>
        <w:tc>
          <w:tcPr>
            <w:tcW w:w="40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4100" w:type="dxa"/>
            <w:vAlign w:val="bottom"/>
            <w:gridSpan w:val="3"/>
          </w:tcPr>
          <w:p>
            <w:pPr>
              <w:ind w:left="140"/>
              <w:spacing w:after="0"/>
              <w:rPr>
                <w:sz w:val="20"/>
                <w:szCs w:val="20"/>
                <w:color w:val="auto"/>
              </w:rPr>
            </w:pPr>
            <w:r>
              <w:rPr>
                <w:rFonts w:ascii="Arial" w:cs="Arial" w:eastAsia="Arial" w:hAnsi="Arial"/>
                <w:sz w:val="18"/>
                <w:szCs w:val="18"/>
                <w:color w:val="auto"/>
              </w:rPr>
              <w:t>Common stock</w:t>
            </w:r>
          </w:p>
        </w:tc>
        <w:tc>
          <w:tcPr>
            <w:tcW w:w="40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540" w:type="dxa"/>
            <w:vAlign w:val="bottom"/>
            <w:gridSpan w:val="2"/>
          </w:tcPr>
          <w:p>
            <w:pPr>
              <w:jc w:val="right"/>
              <w:ind w:right="220"/>
              <w:spacing w:after="0"/>
              <w:rPr>
                <w:sz w:val="20"/>
                <w:szCs w:val="20"/>
                <w:color w:val="auto"/>
              </w:rPr>
            </w:pPr>
            <w:r>
              <w:rPr>
                <w:rFonts w:ascii="Arial" w:cs="Arial" w:eastAsia="Arial" w:hAnsi="Arial"/>
                <w:sz w:val="18"/>
                <w:szCs w:val="18"/>
                <w:color w:val="auto"/>
              </w:rPr>
              <w:t>53,776</w:t>
            </w:r>
          </w:p>
        </w:tc>
        <w:tc>
          <w:tcPr>
            <w:tcW w:w="160" w:type="dxa"/>
            <w:vAlign w:val="bottom"/>
          </w:tcPr>
          <w:p>
            <w:pPr>
              <w:spacing w:after="0"/>
              <w:rPr>
                <w:sz w:val="18"/>
                <w:szCs w:val="18"/>
                <w:color w:val="auto"/>
              </w:rPr>
            </w:pPr>
          </w:p>
        </w:tc>
        <w:tc>
          <w:tcPr>
            <w:tcW w:w="1420" w:type="dxa"/>
            <w:vAlign w:val="bottom"/>
            <w:gridSpan w:val="2"/>
          </w:tcPr>
          <w:p>
            <w:pPr>
              <w:jc w:val="right"/>
              <w:ind w:right="100"/>
              <w:spacing w:after="0"/>
              <w:rPr>
                <w:sz w:val="20"/>
                <w:szCs w:val="20"/>
                <w:color w:val="auto"/>
              </w:rPr>
            </w:pPr>
            <w:r>
              <w:rPr>
                <w:rFonts w:ascii="Arial" w:cs="Arial" w:eastAsia="Arial" w:hAnsi="Arial"/>
                <w:sz w:val="18"/>
                <w:szCs w:val="18"/>
                <w:color w:val="auto"/>
              </w:rPr>
              <w:t>53,690</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4100" w:type="dxa"/>
            <w:vAlign w:val="bottom"/>
            <w:gridSpan w:val="3"/>
            <w:shd w:val="clear" w:color="auto" w:fill="CCEEFF"/>
          </w:tcPr>
          <w:p>
            <w:pPr>
              <w:ind w:left="140"/>
              <w:spacing w:after="0"/>
              <w:rPr>
                <w:sz w:val="20"/>
                <w:szCs w:val="20"/>
                <w:color w:val="auto"/>
              </w:rPr>
            </w:pPr>
            <w:r>
              <w:rPr>
                <w:rFonts w:ascii="Arial" w:cs="Arial" w:eastAsia="Arial" w:hAnsi="Arial"/>
                <w:sz w:val="18"/>
                <w:szCs w:val="18"/>
                <w:color w:val="auto"/>
              </w:rPr>
              <w:t>Retained earnings</w:t>
            </w:r>
          </w:p>
        </w:tc>
        <w:tc>
          <w:tcPr>
            <w:tcW w:w="40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137,827</w:t>
            </w:r>
          </w:p>
        </w:tc>
        <w:tc>
          <w:tcPr>
            <w:tcW w:w="16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139,378</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4100" w:type="dxa"/>
            <w:vAlign w:val="bottom"/>
            <w:gridSpan w:val="3"/>
          </w:tcPr>
          <w:p>
            <w:pPr>
              <w:ind w:left="140"/>
              <w:spacing w:after="0"/>
              <w:rPr>
                <w:sz w:val="20"/>
                <w:szCs w:val="20"/>
                <w:color w:val="auto"/>
              </w:rPr>
            </w:pPr>
            <w:r>
              <w:rPr>
                <w:rFonts w:ascii="Arial" w:cs="Arial" w:eastAsia="Arial" w:hAnsi="Arial"/>
                <w:sz w:val="18"/>
                <w:szCs w:val="18"/>
                <w:color w:val="auto"/>
              </w:rPr>
              <w:t>Additional paid-in capital</w:t>
            </w:r>
          </w:p>
        </w:tc>
        <w:tc>
          <w:tcPr>
            <w:tcW w:w="40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540" w:type="dxa"/>
            <w:vAlign w:val="bottom"/>
            <w:gridSpan w:val="2"/>
          </w:tcPr>
          <w:p>
            <w:pPr>
              <w:jc w:val="right"/>
              <w:ind w:right="220"/>
              <w:spacing w:after="0"/>
              <w:rPr>
                <w:sz w:val="20"/>
                <w:szCs w:val="20"/>
                <w:color w:val="auto"/>
              </w:rPr>
            </w:pPr>
            <w:r>
              <w:rPr>
                <w:rFonts w:ascii="Arial" w:cs="Arial" w:eastAsia="Arial" w:hAnsi="Arial"/>
                <w:sz w:val="18"/>
                <w:szCs w:val="18"/>
                <w:color w:val="auto"/>
              </w:rPr>
              <w:t>499</w:t>
            </w:r>
          </w:p>
        </w:tc>
        <w:tc>
          <w:tcPr>
            <w:tcW w:w="160" w:type="dxa"/>
            <w:vAlign w:val="bottom"/>
          </w:tcPr>
          <w:p>
            <w:pPr>
              <w:spacing w:after="0"/>
              <w:rPr>
                <w:sz w:val="18"/>
                <w:szCs w:val="18"/>
                <w:color w:val="auto"/>
              </w:rPr>
            </w:pPr>
          </w:p>
        </w:tc>
        <w:tc>
          <w:tcPr>
            <w:tcW w:w="1420" w:type="dxa"/>
            <w:vAlign w:val="bottom"/>
            <w:gridSpan w:val="2"/>
          </w:tcPr>
          <w:p>
            <w:pPr>
              <w:jc w:val="right"/>
              <w:ind w:right="100"/>
              <w:spacing w:after="0"/>
              <w:rPr>
                <w:sz w:val="20"/>
                <w:szCs w:val="20"/>
                <w:color w:val="auto"/>
              </w:rPr>
            </w:pPr>
            <w:r>
              <w:rPr>
                <w:rFonts w:ascii="Arial" w:cs="Arial" w:eastAsia="Arial" w:hAnsi="Arial"/>
                <w:sz w:val="18"/>
                <w:szCs w:val="18"/>
                <w:color w:val="auto"/>
              </w:rPr>
              <w:t>962</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4100" w:type="dxa"/>
            <w:vAlign w:val="bottom"/>
            <w:gridSpan w:val="3"/>
            <w:shd w:val="clear" w:color="auto" w:fill="CCEEFF"/>
          </w:tcPr>
          <w:p>
            <w:pPr>
              <w:ind w:left="140"/>
              <w:spacing w:after="0"/>
              <w:rPr>
                <w:sz w:val="20"/>
                <w:szCs w:val="20"/>
                <w:color w:val="auto"/>
              </w:rPr>
            </w:pPr>
            <w:r>
              <w:rPr>
                <w:rFonts w:ascii="Arial" w:cs="Arial" w:eastAsia="Arial" w:hAnsi="Arial"/>
                <w:sz w:val="18"/>
                <w:szCs w:val="18"/>
                <w:color w:val="auto"/>
              </w:rPr>
              <w:t>Accumulated other comprehensive loss</w:t>
            </w:r>
          </w:p>
        </w:tc>
        <w:tc>
          <w:tcPr>
            <w:tcW w:w="40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(3,036)</w:t>
            </w:r>
          </w:p>
        </w:tc>
        <w:tc>
          <w:tcPr>
            <w:tcW w:w="16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(2,570)</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4100" w:type="dxa"/>
            <w:vAlign w:val="bottom"/>
            <w:tcBorders>
              <w:top w:val="single" w:sz="8" w:color="CCEEFF"/>
            </w:tcBorders>
            <w:gridSpan w:val="3"/>
          </w:tcPr>
          <w:p>
            <w:pPr>
              <w:spacing w:after="0"/>
              <w:rPr>
                <w:sz w:val="20"/>
                <w:szCs w:val="20"/>
                <w:color w:val="auto"/>
              </w:rPr>
            </w:pPr>
            <w:r>
              <w:rPr>
                <w:rFonts w:ascii="Arial" w:cs="Arial" w:eastAsia="Arial" w:hAnsi="Arial"/>
                <w:sz w:val="18"/>
                <w:szCs w:val="18"/>
                <w:color w:val="auto"/>
              </w:rPr>
              <w:t>Total stockholders' equity</w:t>
            </w:r>
          </w:p>
        </w:tc>
        <w:tc>
          <w:tcPr>
            <w:tcW w:w="4000" w:type="dxa"/>
            <w:vAlign w:val="bottom"/>
            <w:tcBorders>
              <w:top w:val="single" w:sz="8" w:color="CCEEFF"/>
            </w:tcBorders>
          </w:tcPr>
          <w:p>
            <w:pPr>
              <w:spacing w:after="0"/>
              <w:rPr>
                <w:sz w:val="18"/>
                <w:szCs w:val="18"/>
                <w:color w:val="auto"/>
              </w:rPr>
            </w:pPr>
          </w:p>
        </w:tc>
        <w:tc>
          <w:tcPr>
            <w:tcW w:w="180" w:type="dxa"/>
            <w:vAlign w:val="bottom"/>
            <w:tcBorders>
              <w:top w:val="single" w:sz="8" w:color="auto"/>
              <w:bottom w:val="single" w:sz="8" w:color="auto"/>
            </w:tcBorders>
          </w:tcPr>
          <w:p>
            <w:pPr>
              <w:spacing w:after="0"/>
              <w:rPr>
                <w:sz w:val="18"/>
                <w:szCs w:val="18"/>
                <w:color w:val="auto"/>
              </w:rPr>
            </w:pPr>
          </w:p>
        </w:tc>
        <w:tc>
          <w:tcPr>
            <w:tcW w:w="13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189,066</w:t>
            </w:r>
          </w:p>
        </w:tc>
        <w:tc>
          <w:tcPr>
            <w:tcW w:w="220" w:type="dxa"/>
            <w:vAlign w:val="bottom"/>
            <w:tcBorders>
              <w:top w:val="single" w:sz="8" w:color="CCEEFF"/>
            </w:tcBorders>
          </w:tcPr>
          <w:p>
            <w:pPr>
              <w:spacing w:after="0"/>
              <w:rPr>
                <w:sz w:val="18"/>
                <w:szCs w:val="18"/>
                <w:color w:val="auto"/>
              </w:rPr>
            </w:pPr>
          </w:p>
        </w:tc>
        <w:tc>
          <w:tcPr>
            <w:tcW w:w="160" w:type="dxa"/>
            <w:vAlign w:val="bottom"/>
            <w:tcBorders>
              <w:top w:val="single" w:sz="8" w:color="auto"/>
              <w:bottom w:val="single" w:sz="8" w:color="auto"/>
            </w:tcBorders>
          </w:tcPr>
          <w:p>
            <w:pPr>
              <w:spacing w:after="0"/>
              <w:rPr>
                <w:sz w:val="18"/>
                <w:szCs w:val="18"/>
                <w:color w:val="auto"/>
              </w:rPr>
            </w:pPr>
          </w:p>
        </w:tc>
        <w:tc>
          <w:tcPr>
            <w:tcW w:w="13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191,460</w:t>
            </w: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20" w:type="dxa"/>
            <w:vAlign w:val="bottom"/>
          </w:tcPr>
          <w:p>
            <w:pPr>
              <w:spacing w:after="0"/>
              <w:rPr>
                <w:sz w:val="21"/>
                <w:szCs w:val="21"/>
                <w:color w:val="auto"/>
              </w:rPr>
            </w:pPr>
          </w:p>
        </w:tc>
        <w:tc>
          <w:tcPr>
            <w:tcW w:w="4100" w:type="dxa"/>
            <w:vAlign w:val="bottom"/>
            <w:tcBorders>
              <w:bottom w:val="single" w:sz="8" w:color="CCEEFF"/>
            </w:tcBorders>
            <w:gridSpan w:val="3"/>
            <w:shd w:val="clear" w:color="auto" w:fill="CCEEFF"/>
          </w:tcPr>
          <w:p>
            <w:pPr>
              <w:spacing w:after="0"/>
              <w:rPr>
                <w:sz w:val="20"/>
                <w:szCs w:val="20"/>
                <w:color w:val="auto"/>
              </w:rPr>
            </w:pPr>
            <w:r>
              <w:rPr>
                <w:rFonts w:ascii="Arial" w:cs="Arial" w:eastAsia="Arial" w:hAnsi="Arial"/>
                <w:sz w:val="18"/>
                <w:szCs w:val="18"/>
                <w:b w:val="1"/>
                <w:bCs w:val="1"/>
                <w:color w:val="auto"/>
              </w:rPr>
              <w:t>Total liabilities and stockholders’ equity</w:t>
            </w:r>
          </w:p>
        </w:tc>
        <w:tc>
          <w:tcPr>
            <w:tcW w:w="40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286,665</w:t>
            </w:r>
          </w:p>
        </w:tc>
        <w:tc>
          <w:tcPr>
            <w:tcW w:w="2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293,748</w:t>
            </w:r>
          </w:p>
        </w:tc>
        <w:tc>
          <w:tcPr>
            <w:tcW w:w="1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bl>
    <w:p>
      <w:pPr>
        <w:spacing w:after="0" w:line="201" w:lineRule="exact"/>
        <w:rPr>
          <w:sz w:val="20"/>
          <w:szCs w:val="20"/>
          <w:color w:val="auto"/>
        </w:rPr>
      </w:pPr>
    </w:p>
    <w:p>
      <w:pPr>
        <w:jc w:val="center"/>
        <w:ind w:right="20"/>
        <w:spacing w:after="0"/>
        <w:rPr>
          <w:sz w:val="20"/>
          <w:szCs w:val="20"/>
          <w:color w:val="auto"/>
        </w:rPr>
      </w:pPr>
      <w:r>
        <w:rPr>
          <w:rFonts w:ascii="Arial" w:cs="Arial" w:eastAsia="Arial" w:hAnsi="Arial"/>
          <w:sz w:val="17"/>
          <w:szCs w:val="17"/>
          <w:color w:val="auto"/>
        </w:rPr>
        <w:t>The accompanying notes to condensed consolidated financial statements are an integral part of the condensed consolidated financial statements.</w:t>
      </w: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82550</wp:posOffset>
            </wp:positionV>
            <wp:extent cx="7247255"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7255" cy="17145"/>
                    </a:xfrm>
                    <a:prstGeom prst="rect">
                      <a:avLst/>
                    </a:prstGeom>
                    <a:noFill/>
                  </pic:spPr>
                </pic:pic>
              </a:graphicData>
            </a:graphic>
          </wp:anchor>
        </w:drawing>
      </w:r>
    </w:p>
    <w:p>
      <w:pPr>
        <w:sectPr>
          <w:pgSz w:w="11900" w:h="16838" w:orient="portrait"/>
          <w:cols w:equalWidth="0" w:num="1">
            <w:col w:w="11420"/>
          </w:cols>
          <w:pgMar w:left="240" w:top="825" w:right="239" w:bottom="1440" w:gutter="0" w:footer="0" w:header="0"/>
        </w:sectPr>
      </w:pPr>
    </w:p>
    <w:bookmarkStart w:id="5" w:name="page6"/>
    <w:bookmarkEnd w:id="5"/>
    <w:p>
      <w:pPr>
        <w:ind w:left="3640"/>
        <w:spacing w:after="0"/>
        <w:rPr>
          <w:sz w:val="20"/>
          <w:szCs w:val="20"/>
          <w:color w:val="auto"/>
        </w:rPr>
      </w:pPr>
      <w:r>
        <w:rPr>
          <w:rFonts w:ascii="Arial" w:cs="Arial" w:eastAsia="Arial" w:hAnsi="Arial"/>
          <w:sz w:val="18"/>
          <w:szCs w:val="18"/>
          <w:u w:val="single" w:color="auto"/>
          <w:color w:val="auto"/>
        </w:rPr>
        <w:t>PART I – FINANCIAL INFORMATION – CONTINUED</w:t>
      </w:r>
    </w:p>
    <w:p>
      <w:pPr>
        <w:spacing w:after="0" w:line="23" w:lineRule="exact"/>
        <w:rPr>
          <w:sz w:val="20"/>
          <w:szCs w:val="20"/>
          <w:color w:val="auto"/>
        </w:rPr>
      </w:pPr>
    </w:p>
    <w:p>
      <w:pPr>
        <w:ind w:left="4360"/>
        <w:spacing w:after="0"/>
        <w:rPr>
          <w:sz w:val="20"/>
          <w:szCs w:val="20"/>
          <w:color w:val="auto"/>
        </w:rPr>
      </w:pPr>
      <w:r>
        <w:rPr>
          <w:rFonts w:ascii="Arial" w:cs="Arial" w:eastAsia="Arial" w:hAnsi="Arial"/>
          <w:sz w:val="18"/>
          <w:szCs w:val="18"/>
          <w:u w:val="single" w:color="auto"/>
          <w:color w:val="auto"/>
        </w:rPr>
        <w:t>ITEM 1. FINANCIAL STATEMENTS</w:t>
      </w:r>
    </w:p>
    <w:p>
      <w:pPr>
        <w:spacing w:after="0" w:line="8" w:lineRule="exact"/>
        <w:rPr>
          <w:sz w:val="20"/>
          <w:szCs w:val="20"/>
          <w:color w:val="auto"/>
        </w:rPr>
      </w:pPr>
    </w:p>
    <w:p>
      <w:pPr>
        <w:ind w:left="2700"/>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8" w:lineRule="exact"/>
        <w:rPr>
          <w:sz w:val="20"/>
          <w:szCs w:val="20"/>
          <w:color w:val="auto"/>
        </w:rPr>
      </w:pPr>
    </w:p>
    <w:p>
      <w:pPr>
        <w:ind w:left="3180"/>
        <w:spacing w:after="0"/>
        <w:rPr>
          <w:sz w:val="20"/>
          <w:szCs w:val="20"/>
          <w:color w:val="auto"/>
        </w:rPr>
      </w:pPr>
      <w:r>
        <w:rPr>
          <w:rFonts w:ascii="Arial" w:cs="Arial" w:eastAsia="Arial" w:hAnsi="Arial"/>
          <w:sz w:val="18"/>
          <w:szCs w:val="18"/>
          <w:u w:val="single" w:color="auto"/>
          <w:color w:val="auto"/>
        </w:rPr>
        <w:t>CONDENSED CONSOLIDATED STATEMENTS OF CASH FLOWS</w:t>
      </w:r>
    </w:p>
    <w:p>
      <w:pPr>
        <w:spacing w:after="0" w:line="8" w:lineRule="exact"/>
        <w:rPr>
          <w:sz w:val="20"/>
          <w:szCs w:val="20"/>
          <w:color w:val="auto"/>
        </w:rPr>
      </w:pPr>
    </w:p>
    <w:p>
      <w:pPr>
        <w:ind w:left="2360"/>
        <w:spacing w:after="0"/>
        <w:rPr>
          <w:sz w:val="20"/>
          <w:szCs w:val="20"/>
          <w:color w:val="auto"/>
        </w:rPr>
      </w:pPr>
      <w:r>
        <w:rPr>
          <w:rFonts w:ascii="Arial" w:cs="Arial" w:eastAsia="Arial" w:hAnsi="Arial"/>
          <w:sz w:val="18"/>
          <w:szCs w:val="18"/>
          <w:u w:val="single" w:color="auto"/>
          <w:color w:val="auto"/>
        </w:rPr>
        <w:t>FOR THE PERIODS ENDED FEBRUARY 24, 2018 AND FEBRUARY 25, 2017 – UNAUDITED</w:t>
      </w:r>
    </w:p>
    <w:p>
      <w:pPr>
        <w:spacing w:after="0" w:line="8" w:lineRule="exact"/>
        <w:rPr>
          <w:sz w:val="20"/>
          <w:szCs w:val="20"/>
          <w:color w:val="auto"/>
        </w:rPr>
      </w:pPr>
    </w:p>
    <w:p>
      <w:pPr>
        <w:ind w:left="5440"/>
        <w:spacing w:after="0"/>
        <w:rPr>
          <w:sz w:val="20"/>
          <w:szCs w:val="20"/>
          <w:color w:val="auto"/>
        </w:rPr>
      </w:pPr>
      <w:r>
        <w:rPr>
          <w:rFonts w:ascii="Arial" w:cs="Arial" w:eastAsia="Arial" w:hAnsi="Arial"/>
          <w:sz w:val="18"/>
          <w:szCs w:val="18"/>
          <w:color w:val="auto"/>
        </w:rPr>
        <w:t>(In thousands)</w:t>
      </w:r>
    </w:p>
    <w:p>
      <w:pPr>
        <w:spacing w:after="0" w:line="20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752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20" w:type="dxa"/>
            <w:vAlign w:val="bottom"/>
            <w:tcBorders>
              <w:bottom w:val="single" w:sz="8" w:color="auto"/>
            </w:tcBorders>
          </w:tcPr>
          <w:p>
            <w:pPr>
              <w:spacing w:after="0"/>
              <w:rPr>
                <w:sz w:val="20"/>
                <w:szCs w:val="20"/>
                <w:color w:val="auto"/>
              </w:rPr>
            </w:pPr>
          </w:p>
        </w:tc>
        <w:tc>
          <w:tcPr>
            <w:tcW w:w="1900" w:type="dxa"/>
            <w:vAlign w:val="bottom"/>
            <w:tcBorders>
              <w:bottom w:val="single" w:sz="8" w:color="auto"/>
            </w:tcBorders>
            <w:gridSpan w:val="3"/>
          </w:tcPr>
          <w:p>
            <w:pPr>
              <w:jc w:val="right"/>
              <w:ind w:right="150"/>
              <w:spacing w:after="0"/>
              <w:rPr>
                <w:sz w:val="20"/>
                <w:szCs w:val="20"/>
                <w:color w:val="auto"/>
              </w:rPr>
            </w:pPr>
            <w:r>
              <w:rPr>
                <w:rFonts w:ascii="Arial" w:cs="Arial" w:eastAsia="Arial" w:hAnsi="Arial"/>
                <w:sz w:val="18"/>
                <w:szCs w:val="18"/>
                <w:b w:val="1"/>
                <w:bCs w:val="1"/>
                <w:color w:val="auto"/>
              </w:rPr>
              <w:t>Quarter Ended</w:t>
            </w:r>
          </w:p>
        </w:tc>
        <w:tc>
          <w:tcPr>
            <w:tcW w:w="78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75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720" w:type="dxa"/>
            <w:vAlign w:val="bottom"/>
            <w:gridSpan w:val="3"/>
          </w:tcPr>
          <w:p>
            <w:pPr>
              <w:jc w:val="right"/>
              <w:ind w:right="260"/>
              <w:spacing w:after="0"/>
              <w:rPr>
                <w:sz w:val="20"/>
                <w:szCs w:val="20"/>
                <w:color w:val="auto"/>
              </w:rPr>
            </w:pPr>
            <w:r>
              <w:rPr>
                <w:rFonts w:ascii="Arial" w:cs="Arial" w:eastAsia="Arial" w:hAnsi="Arial"/>
                <w:sz w:val="18"/>
                <w:szCs w:val="18"/>
                <w:b w:val="1"/>
                <w:bCs w:val="1"/>
                <w:color w:val="auto"/>
                <w:w w:val="94"/>
              </w:rPr>
              <w:t>February 24, 2018</w:t>
            </w:r>
          </w:p>
        </w:tc>
        <w:tc>
          <w:tcPr>
            <w:tcW w:w="1480" w:type="dxa"/>
            <w:vAlign w:val="bottom"/>
            <w:gridSpan w:val="2"/>
          </w:tcPr>
          <w:p>
            <w:pPr>
              <w:jc w:val="right"/>
              <w:spacing w:after="0"/>
              <w:rPr>
                <w:sz w:val="20"/>
                <w:szCs w:val="20"/>
                <w:color w:val="auto"/>
              </w:rPr>
            </w:pPr>
            <w:r>
              <w:rPr>
                <w:rFonts w:ascii="Arial" w:cs="Arial" w:eastAsia="Arial" w:hAnsi="Arial"/>
                <w:sz w:val="18"/>
                <w:szCs w:val="18"/>
                <w:b w:val="1"/>
                <w:bCs w:val="1"/>
                <w:color w:val="auto"/>
                <w:w w:val="93"/>
              </w:rPr>
              <w:t>February 25, 2017</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75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Operating activities:</w:t>
            </w:r>
          </w:p>
        </w:tc>
        <w:tc>
          <w:tcPr>
            <w:tcW w:w="580" w:type="dxa"/>
            <w:vAlign w:val="bottom"/>
            <w:shd w:val="clear" w:color="auto" w:fill="CCEEFF"/>
          </w:tcPr>
          <w:p>
            <w:pPr>
              <w:spacing w:after="0"/>
              <w:rPr>
                <w:sz w:val="18"/>
                <w:szCs w:val="18"/>
                <w:color w:val="auto"/>
              </w:rPr>
            </w:pPr>
          </w:p>
        </w:tc>
        <w:tc>
          <w:tcPr>
            <w:tcW w:w="520" w:type="dxa"/>
            <w:vAlign w:val="bottom"/>
            <w:tcBorders>
              <w:top w:val="single" w:sz="8" w:color="auto"/>
            </w:tcBorders>
            <w:shd w:val="clear" w:color="auto" w:fill="CCEEFF"/>
          </w:tcPr>
          <w:p>
            <w:pPr>
              <w:spacing w:after="0"/>
              <w:rPr>
                <w:sz w:val="18"/>
                <w:szCs w:val="18"/>
                <w:color w:val="auto"/>
              </w:rPr>
            </w:pPr>
          </w:p>
        </w:tc>
        <w:tc>
          <w:tcPr>
            <w:tcW w:w="98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7520" w:type="dxa"/>
            <w:vAlign w:val="bottom"/>
          </w:tcPr>
          <w:p>
            <w:pPr>
              <w:spacing w:after="0"/>
              <w:rPr>
                <w:sz w:val="20"/>
                <w:szCs w:val="20"/>
                <w:color w:val="auto"/>
              </w:rPr>
            </w:pPr>
            <w:r>
              <w:rPr>
                <w:rFonts w:ascii="Arial" w:cs="Arial" w:eastAsia="Arial" w:hAnsi="Arial"/>
                <w:sz w:val="18"/>
                <w:szCs w:val="18"/>
                <w:color w:val="auto"/>
              </w:rPr>
              <w:t>Net income (loss)</w:t>
            </w:r>
          </w:p>
        </w:tc>
        <w:tc>
          <w:tcPr>
            <w:tcW w:w="1100" w:type="dxa"/>
            <w:vAlign w:val="bottom"/>
            <w:gridSpan w:val="2"/>
          </w:tcPr>
          <w:p>
            <w:pPr>
              <w:jc w:val="right"/>
              <w:ind w:right="330"/>
              <w:spacing w:after="0"/>
              <w:rPr>
                <w:sz w:val="20"/>
                <w:szCs w:val="20"/>
                <w:color w:val="auto"/>
              </w:rPr>
            </w:pPr>
            <w:r>
              <w:rPr>
                <w:rFonts w:ascii="Arial" w:cs="Arial" w:eastAsia="Arial" w:hAnsi="Arial"/>
                <w:sz w:val="18"/>
                <w:szCs w:val="18"/>
                <w:color w:val="auto"/>
              </w:rPr>
              <w:t>$</w:t>
            </w:r>
          </w:p>
        </w:tc>
        <w:tc>
          <w:tcPr>
            <w:tcW w:w="1200" w:type="dxa"/>
            <w:vAlign w:val="bottom"/>
            <w:gridSpan w:val="2"/>
          </w:tcPr>
          <w:p>
            <w:pPr>
              <w:jc w:val="right"/>
              <w:ind w:right="160"/>
              <w:spacing w:after="0"/>
              <w:rPr>
                <w:sz w:val="20"/>
                <w:szCs w:val="20"/>
                <w:color w:val="auto"/>
              </w:rPr>
            </w:pPr>
            <w:r>
              <w:rPr>
                <w:rFonts w:ascii="Arial" w:cs="Arial" w:eastAsia="Arial" w:hAnsi="Arial"/>
                <w:sz w:val="18"/>
                <w:szCs w:val="18"/>
                <w:color w:val="auto"/>
              </w:rPr>
              <w:t>(913)</w:t>
            </w:r>
          </w:p>
        </w:tc>
        <w:tc>
          <w:tcPr>
            <w:tcW w:w="700" w:type="dxa"/>
            <w:vAlign w:val="bottom"/>
          </w:tcPr>
          <w:p>
            <w:pPr>
              <w:jc w:val="right"/>
              <w:ind w:right="510"/>
              <w:spacing w:after="0"/>
              <w:rPr>
                <w:sz w:val="20"/>
                <w:szCs w:val="20"/>
                <w:color w:val="auto"/>
              </w:rPr>
            </w:pPr>
            <w:r>
              <w:rPr>
                <w:rFonts w:ascii="Arial" w:cs="Arial" w:eastAsia="Arial" w:hAnsi="Arial"/>
                <w:sz w:val="18"/>
                <w:szCs w:val="18"/>
                <w:color w:val="auto"/>
                <w:w w:val="79"/>
              </w:rPr>
              <w:t>$</w:t>
            </w: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2,861</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7520" w:type="dxa"/>
            <w:vAlign w:val="bottom"/>
            <w:shd w:val="clear" w:color="auto" w:fill="CCEEFF"/>
          </w:tcPr>
          <w:p>
            <w:pPr>
              <w:spacing w:after="0"/>
              <w:rPr>
                <w:sz w:val="20"/>
                <w:szCs w:val="20"/>
                <w:color w:val="auto"/>
              </w:rPr>
            </w:pPr>
            <w:r>
              <w:rPr>
                <w:rFonts w:ascii="Arial" w:cs="Arial" w:eastAsia="Arial" w:hAnsi="Arial"/>
                <w:sz w:val="18"/>
                <w:szCs w:val="18"/>
                <w:color w:val="auto"/>
                <w:w w:val="98"/>
              </w:rPr>
              <w:t>Adjustments to reconcile net income (loss) to net cash provided by (used in) operating activities:</w:t>
            </w:r>
          </w:p>
        </w:tc>
        <w:tc>
          <w:tcPr>
            <w:tcW w:w="58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7520" w:type="dxa"/>
            <w:vAlign w:val="bottom"/>
          </w:tcPr>
          <w:p>
            <w:pPr>
              <w:ind w:left="320"/>
              <w:spacing w:after="0"/>
              <w:rPr>
                <w:sz w:val="20"/>
                <w:szCs w:val="20"/>
                <w:color w:val="auto"/>
              </w:rPr>
            </w:pPr>
            <w:r>
              <w:rPr>
                <w:rFonts w:ascii="Arial" w:cs="Arial" w:eastAsia="Arial" w:hAnsi="Arial"/>
                <w:sz w:val="18"/>
                <w:szCs w:val="18"/>
                <w:color w:val="auto"/>
              </w:rPr>
              <w:t>Depreciation and amortization</w:t>
            </w:r>
          </w:p>
        </w:tc>
        <w:tc>
          <w:tcPr>
            <w:tcW w:w="5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3,304</w:t>
            </w:r>
          </w:p>
        </w:tc>
        <w:tc>
          <w:tcPr>
            <w:tcW w:w="700" w:type="dxa"/>
            <w:vAlign w:val="bottom"/>
          </w:tcPr>
          <w:p>
            <w:pPr>
              <w:spacing w:after="0"/>
              <w:rPr>
                <w:sz w:val="18"/>
                <w:szCs w:val="18"/>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3,351</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7520" w:type="dxa"/>
            <w:vAlign w:val="bottom"/>
            <w:shd w:val="clear" w:color="auto" w:fill="CCEEFF"/>
          </w:tcPr>
          <w:p>
            <w:pPr>
              <w:ind w:left="320"/>
              <w:spacing w:after="0"/>
              <w:rPr>
                <w:sz w:val="20"/>
                <w:szCs w:val="20"/>
                <w:color w:val="auto"/>
              </w:rPr>
            </w:pPr>
            <w:r>
              <w:rPr>
                <w:rFonts w:ascii="Arial" w:cs="Arial" w:eastAsia="Arial" w:hAnsi="Arial"/>
                <w:sz w:val="18"/>
                <w:szCs w:val="18"/>
                <w:color w:val="auto"/>
              </w:rPr>
              <w:t>Loss on sale of property and equipment</w:t>
            </w:r>
          </w:p>
        </w:tc>
        <w:tc>
          <w:tcPr>
            <w:tcW w:w="58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36</w:t>
            </w:r>
          </w:p>
        </w:tc>
        <w:tc>
          <w:tcPr>
            <w:tcW w:w="7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7520" w:type="dxa"/>
            <w:vAlign w:val="bottom"/>
          </w:tcPr>
          <w:p>
            <w:pPr>
              <w:ind w:left="320"/>
              <w:spacing w:after="0"/>
              <w:rPr>
                <w:sz w:val="20"/>
                <w:szCs w:val="20"/>
                <w:color w:val="auto"/>
              </w:rPr>
            </w:pPr>
            <w:r>
              <w:rPr>
                <w:rFonts w:ascii="Arial" w:cs="Arial" w:eastAsia="Arial" w:hAnsi="Arial"/>
                <w:sz w:val="18"/>
                <w:szCs w:val="18"/>
                <w:color w:val="auto"/>
              </w:rPr>
              <w:t>Tenant improvement allowance received from lessors</w:t>
            </w:r>
          </w:p>
        </w:tc>
        <w:tc>
          <w:tcPr>
            <w:tcW w:w="5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500</w:t>
            </w:r>
          </w:p>
        </w:tc>
        <w:tc>
          <w:tcPr>
            <w:tcW w:w="7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7520" w:type="dxa"/>
            <w:vAlign w:val="bottom"/>
            <w:shd w:val="clear" w:color="auto" w:fill="CCEEFF"/>
          </w:tcPr>
          <w:p>
            <w:pPr>
              <w:ind w:left="320"/>
              <w:spacing w:after="0"/>
              <w:rPr>
                <w:sz w:val="20"/>
                <w:szCs w:val="20"/>
                <w:color w:val="auto"/>
              </w:rPr>
            </w:pPr>
            <w:r>
              <w:rPr>
                <w:rFonts w:ascii="Arial" w:cs="Arial" w:eastAsia="Arial" w:hAnsi="Arial"/>
                <w:sz w:val="18"/>
                <w:szCs w:val="18"/>
                <w:color w:val="auto"/>
              </w:rPr>
              <w:t>Deferred income taxes</w:t>
            </w:r>
          </w:p>
        </w:tc>
        <w:tc>
          <w:tcPr>
            <w:tcW w:w="58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2,210</w:t>
            </w:r>
          </w:p>
        </w:tc>
        <w:tc>
          <w:tcPr>
            <w:tcW w:w="7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103</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7520" w:type="dxa"/>
            <w:vAlign w:val="bottom"/>
          </w:tcPr>
          <w:p>
            <w:pPr>
              <w:ind w:left="320"/>
              <w:spacing w:after="0"/>
              <w:rPr>
                <w:sz w:val="20"/>
                <w:szCs w:val="20"/>
                <w:color w:val="auto"/>
              </w:rPr>
            </w:pPr>
            <w:r>
              <w:rPr>
                <w:rFonts w:ascii="Arial" w:cs="Arial" w:eastAsia="Arial" w:hAnsi="Arial"/>
                <w:sz w:val="18"/>
                <w:szCs w:val="18"/>
                <w:color w:val="auto"/>
              </w:rPr>
              <w:t>Other, net</w:t>
            </w:r>
          </w:p>
        </w:tc>
        <w:tc>
          <w:tcPr>
            <w:tcW w:w="5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488</w:t>
            </w:r>
          </w:p>
        </w:tc>
        <w:tc>
          <w:tcPr>
            <w:tcW w:w="700" w:type="dxa"/>
            <w:vAlign w:val="bottom"/>
          </w:tcPr>
          <w:p>
            <w:pPr>
              <w:spacing w:after="0"/>
              <w:rPr>
                <w:sz w:val="18"/>
                <w:szCs w:val="18"/>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413</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7520" w:type="dxa"/>
            <w:vAlign w:val="bottom"/>
            <w:shd w:val="clear" w:color="auto" w:fill="CCEEFF"/>
          </w:tcPr>
          <w:p>
            <w:pPr>
              <w:ind w:left="320"/>
              <w:spacing w:after="0"/>
              <w:rPr>
                <w:sz w:val="20"/>
                <w:szCs w:val="20"/>
                <w:color w:val="auto"/>
              </w:rPr>
            </w:pPr>
            <w:r>
              <w:rPr>
                <w:rFonts w:ascii="Arial" w:cs="Arial" w:eastAsia="Arial" w:hAnsi="Arial"/>
                <w:sz w:val="18"/>
                <w:szCs w:val="18"/>
                <w:color w:val="auto"/>
              </w:rPr>
              <w:t>Changes in operating assets and liabilities:</w:t>
            </w:r>
          </w:p>
        </w:tc>
        <w:tc>
          <w:tcPr>
            <w:tcW w:w="58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7520" w:type="dxa"/>
            <w:vAlign w:val="bottom"/>
          </w:tcPr>
          <w:p>
            <w:pPr>
              <w:ind w:left="480"/>
              <w:spacing w:after="0"/>
              <w:rPr>
                <w:sz w:val="20"/>
                <w:szCs w:val="20"/>
                <w:color w:val="auto"/>
              </w:rPr>
            </w:pPr>
            <w:r>
              <w:rPr>
                <w:rFonts w:ascii="Arial" w:cs="Arial" w:eastAsia="Arial" w:hAnsi="Arial"/>
                <w:sz w:val="18"/>
                <w:szCs w:val="18"/>
                <w:color w:val="auto"/>
              </w:rPr>
              <w:t>Accounts receivable</w:t>
            </w:r>
          </w:p>
        </w:tc>
        <w:tc>
          <w:tcPr>
            <w:tcW w:w="5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200" w:type="dxa"/>
            <w:vAlign w:val="bottom"/>
            <w:gridSpan w:val="2"/>
          </w:tcPr>
          <w:p>
            <w:pPr>
              <w:jc w:val="right"/>
              <w:ind w:right="160"/>
              <w:spacing w:after="0"/>
              <w:rPr>
                <w:sz w:val="20"/>
                <w:szCs w:val="20"/>
                <w:color w:val="auto"/>
              </w:rPr>
            </w:pPr>
            <w:r>
              <w:rPr>
                <w:rFonts w:ascii="Arial" w:cs="Arial" w:eastAsia="Arial" w:hAnsi="Arial"/>
                <w:sz w:val="18"/>
                <w:szCs w:val="18"/>
                <w:color w:val="auto"/>
              </w:rPr>
              <w:t>(626)</w:t>
            </w:r>
          </w:p>
        </w:tc>
        <w:tc>
          <w:tcPr>
            <w:tcW w:w="700" w:type="dxa"/>
            <w:vAlign w:val="bottom"/>
          </w:tcPr>
          <w:p>
            <w:pPr>
              <w:spacing w:after="0"/>
              <w:rPr>
                <w:sz w:val="18"/>
                <w:szCs w:val="18"/>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110</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7520" w:type="dxa"/>
            <w:vAlign w:val="bottom"/>
            <w:shd w:val="clear" w:color="auto" w:fill="CCEEFF"/>
          </w:tcPr>
          <w:p>
            <w:pPr>
              <w:ind w:left="480"/>
              <w:spacing w:after="0"/>
              <w:rPr>
                <w:sz w:val="20"/>
                <w:szCs w:val="20"/>
                <w:color w:val="auto"/>
              </w:rPr>
            </w:pPr>
            <w:r>
              <w:rPr>
                <w:rFonts w:ascii="Arial" w:cs="Arial" w:eastAsia="Arial" w:hAnsi="Arial"/>
                <w:sz w:val="18"/>
                <w:szCs w:val="18"/>
                <w:color w:val="auto"/>
              </w:rPr>
              <w:t>Inventories</w:t>
            </w:r>
          </w:p>
        </w:tc>
        <w:tc>
          <w:tcPr>
            <w:tcW w:w="58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(5,440)</w:t>
            </w:r>
          </w:p>
        </w:tc>
        <w:tc>
          <w:tcPr>
            <w:tcW w:w="7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(1,915)</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7520" w:type="dxa"/>
            <w:vAlign w:val="bottom"/>
          </w:tcPr>
          <w:p>
            <w:pPr>
              <w:ind w:left="480"/>
              <w:spacing w:after="0"/>
              <w:rPr>
                <w:sz w:val="20"/>
                <w:szCs w:val="20"/>
                <w:color w:val="auto"/>
              </w:rPr>
            </w:pPr>
            <w:r>
              <w:rPr>
                <w:rFonts w:ascii="Arial" w:cs="Arial" w:eastAsia="Arial" w:hAnsi="Arial"/>
                <w:sz w:val="18"/>
                <w:szCs w:val="18"/>
                <w:color w:val="auto"/>
              </w:rPr>
              <w:t>Other current assets</w:t>
            </w:r>
          </w:p>
        </w:tc>
        <w:tc>
          <w:tcPr>
            <w:tcW w:w="5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200" w:type="dxa"/>
            <w:vAlign w:val="bottom"/>
            <w:gridSpan w:val="2"/>
          </w:tcPr>
          <w:p>
            <w:pPr>
              <w:jc w:val="right"/>
              <w:ind w:right="160"/>
              <w:spacing w:after="0"/>
              <w:rPr>
                <w:sz w:val="20"/>
                <w:szCs w:val="20"/>
                <w:color w:val="auto"/>
              </w:rPr>
            </w:pPr>
            <w:r>
              <w:rPr>
                <w:rFonts w:ascii="Arial" w:cs="Arial" w:eastAsia="Arial" w:hAnsi="Arial"/>
                <w:sz w:val="18"/>
                <w:szCs w:val="18"/>
                <w:color w:val="auto"/>
              </w:rPr>
              <w:t>(1,382)</w:t>
            </w:r>
          </w:p>
        </w:tc>
        <w:tc>
          <w:tcPr>
            <w:tcW w:w="700" w:type="dxa"/>
            <w:vAlign w:val="bottom"/>
          </w:tcPr>
          <w:p>
            <w:pPr>
              <w:spacing w:after="0"/>
              <w:rPr>
                <w:sz w:val="18"/>
                <w:szCs w:val="18"/>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1,155</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7520" w:type="dxa"/>
            <w:vAlign w:val="bottom"/>
            <w:shd w:val="clear" w:color="auto" w:fill="CCEEFF"/>
          </w:tcPr>
          <w:p>
            <w:pPr>
              <w:ind w:left="480"/>
              <w:spacing w:after="0"/>
              <w:rPr>
                <w:sz w:val="20"/>
                <w:szCs w:val="20"/>
                <w:color w:val="auto"/>
              </w:rPr>
            </w:pPr>
            <w:r>
              <w:rPr>
                <w:rFonts w:ascii="Arial" w:cs="Arial" w:eastAsia="Arial" w:hAnsi="Arial"/>
                <w:sz w:val="18"/>
                <w:szCs w:val="18"/>
                <w:color w:val="auto"/>
              </w:rPr>
              <w:t>Customer deposits</w:t>
            </w:r>
          </w:p>
        </w:tc>
        <w:tc>
          <w:tcPr>
            <w:tcW w:w="58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(164)</w:t>
            </w:r>
          </w:p>
        </w:tc>
        <w:tc>
          <w:tcPr>
            <w:tcW w:w="7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977</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7520" w:type="dxa"/>
            <w:vAlign w:val="bottom"/>
          </w:tcPr>
          <w:p>
            <w:pPr>
              <w:ind w:left="480"/>
              <w:spacing w:after="0"/>
              <w:rPr>
                <w:sz w:val="20"/>
                <w:szCs w:val="20"/>
                <w:color w:val="auto"/>
              </w:rPr>
            </w:pPr>
            <w:r>
              <w:rPr>
                <w:rFonts w:ascii="Arial" w:cs="Arial" w:eastAsia="Arial" w:hAnsi="Arial"/>
                <w:sz w:val="18"/>
                <w:szCs w:val="18"/>
                <w:color w:val="auto"/>
              </w:rPr>
              <w:t>Accounts payable and accrued liabilities</w:t>
            </w:r>
          </w:p>
        </w:tc>
        <w:tc>
          <w:tcPr>
            <w:tcW w:w="5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588</w:t>
            </w:r>
          </w:p>
        </w:tc>
        <w:tc>
          <w:tcPr>
            <w:tcW w:w="2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880" w:type="dxa"/>
            <w:vAlign w:val="bottom"/>
            <w:gridSpan w:val="2"/>
          </w:tcPr>
          <w:p>
            <w:pPr>
              <w:jc w:val="right"/>
              <w:ind w:right="40"/>
              <w:spacing w:after="0"/>
              <w:rPr>
                <w:sz w:val="20"/>
                <w:szCs w:val="20"/>
                <w:color w:val="auto"/>
              </w:rPr>
            </w:pPr>
            <w:r>
              <w:rPr>
                <w:rFonts w:ascii="Arial" w:cs="Arial" w:eastAsia="Arial" w:hAnsi="Arial"/>
                <w:sz w:val="18"/>
                <w:szCs w:val="18"/>
                <w:color w:val="auto"/>
              </w:rPr>
              <w:t>(4,978)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52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20" w:type="dxa"/>
            <w:vAlign w:val="bottom"/>
          </w:tcPr>
          <w:p>
            <w:pPr>
              <w:spacing w:after="0"/>
              <w:rPr>
                <w:sz w:val="18"/>
                <w:szCs w:val="18"/>
                <w:color w:val="auto"/>
              </w:rPr>
            </w:pPr>
          </w:p>
        </w:tc>
        <w:tc>
          <w:tcPr>
            <w:tcW w:w="7520" w:type="dxa"/>
            <w:vAlign w:val="bottom"/>
            <w:shd w:val="clear" w:color="auto" w:fill="CCEEFF"/>
          </w:tcPr>
          <w:p>
            <w:pPr>
              <w:ind w:left="320"/>
              <w:spacing w:after="0"/>
              <w:rPr>
                <w:sz w:val="20"/>
                <w:szCs w:val="20"/>
                <w:color w:val="auto"/>
              </w:rPr>
            </w:pPr>
            <w:r>
              <w:rPr>
                <w:rFonts w:ascii="Arial" w:cs="Arial" w:eastAsia="Arial" w:hAnsi="Arial"/>
                <w:sz w:val="18"/>
                <w:szCs w:val="18"/>
                <w:b w:val="1"/>
                <w:bCs w:val="1"/>
                <w:color w:val="auto"/>
              </w:rPr>
              <w:t>Net cash provided by (used in) operating activities</w:t>
            </w:r>
          </w:p>
        </w:tc>
        <w:tc>
          <w:tcPr>
            <w:tcW w:w="58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(1,399)</w:t>
            </w:r>
          </w:p>
        </w:tc>
        <w:tc>
          <w:tcPr>
            <w:tcW w:w="7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2,077</w:t>
            </w:r>
          </w:p>
        </w:tc>
        <w:tc>
          <w:tcPr>
            <w:tcW w:w="0" w:type="dxa"/>
            <w:vAlign w:val="bottom"/>
          </w:tcPr>
          <w:p>
            <w:pPr>
              <w:spacing w:after="0"/>
              <w:rPr>
                <w:sz w:val="1"/>
                <w:szCs w:val="1"/>
                <w:color w:val="auto"/>
              </w:rPr>
            </w:pPr>
          </w:p>
        </w:tc>
      </w:tr>
      <w:tr>
        <w:trPr>
          <w:trHeight w:val="209"/>
        </w:trPr>
        <w:tc>
          <w:tcPr>
            <w:tcW w:w="20" w:type="dxa"/>
            <w:vAlign w:val="bottom"/>
            <w:vMerge w:val="restart"/>
          </w:tcPr>
          <w:p>
            <w:pPr>
              <w:spacing w:after="0"/>
              <w:rPr>
                <w:sz w:val="18"/>
                <w:szCs w:val="18"/>
                <w:color w:val="auto"/>
              </w:rPr>
            </w:pPr>
          </w:p>
        </w:tc>
        <w:tc>
          <w:tcPr>
            <w:tcW w:w="7520" w:type="dxa"/>
            <w:vAlign w:val="bottom"/>
            <w:tcBorders>
              <w:top w:val="single" w:sz="8" w:color="CCEEFF"/>
            </w:tcBorders>
          </w:tcPr>
          <w:p>
            <w:pPr>
              <w:spacing w:after="0"/>
              <w:rPr>
                <w:sz w:val="18"/>
                <w:szCs w:val="18"/>
                <w:color w:val="auto"/>
              </w:rPr>
            </w:pPr>
          </w:p>
        </w:tc>
        <w:tc>
          <w:tcPr>
            <w:tcW w:w="580" w:type="dxa"/>
            <w:vAlign w:val="bottom"/>
            <w:tcBorders>
              <w:top w:val="single" w:sz="8" w:color="CCEEFF"/>
            </w:tcBorders>
          </w:tcPr>
          <w:p>
            <w:pPr>
              <w:spacing w:after="0"/>
              <w:rPr>
                <w:sz w:val="18"/>
                <w:szCs w:val="18"/>
                <w:color w:val="auto"/>
              </w:rPr>
            </w:pPr>
          </w:p>
        </w:tc>
        <w:tc>
          <w:tcPr>
            <w:tcW w:w="52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220" w:type="dxa"/>
            <w:vAlign w:val="bottom"/>
            <w:tcBorders>
              <w:top w:val="single" w:sz="8" w:color="CCEEFF"/>
            </w:tcBorders>
          </w:tcPr>
          <w:p>
            <w:pPr>
              <w:spacing w:after="0"/>
              <w:rPr>
                <w:sz w:val="18"/>
                <w:szCs w:val="18"/>
                <w:color w:val="auto"/>
              </w:rPr>
            </w:pPr>
          </w:p>
        </w:tc>
        <w:tc>
          <w:tcPr>
            <w:tcW w:w="70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vMerge w:val="continue"/>
          </w:tcPr>
          <w:p>
            <w:pPr>
              <w:spacing w:after="0"/>
              <w:rPr>
                <w:sz w:val="18"/>
                <w:szCs w:val="18"/>
                <w:color w:val="auto"/>
              </w:rPr>
            </w:pPr>
          </w:p>
        </w:tc>
        <w:tc>
          <w:tcPr>
            <w:tcW w:w="75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Investing activities:</w:t>
            </w:r>
          </w:p>
        </w:tc>
        <w:tc>
          <w:tcPr>
            <w:tcW w:w="58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7520" w:type="dxa"/>
            <w:vAlign w:val="bottom"/>
          </w:tcPr>
          <w:p>
            <w:pPr>
              <w:spacing w:after="0"/>
              <w:rPr>
                <w:sz w:val="20"/>
                <w:szCs w:val="20"/>
                <w:color w:val="auto"/>
              </w:rPr>
            </w:pPr>
            <w:r>
              <w:rPr>
                <w:rFonts w:ascii="Arial" w:cs="Arial" w:eastAsia="Arial" w:hAnsi="Arial"/>
                <w:sz w:val="18"/>
                <w:szCs w:val="18"/>
                <w:color w:val="auto"/>
              </w:rPr>
              <w:t>Purchases of property and equipment</w:t>
            </w:r>
          </w:p>
        </w:tc>
        <w:tc>
          <w:tcPr>
            <w:tcW w:w="5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200" w:type="dxa"/>
            <w:vAlign w:val="bottom"/>
            <w:gridSpan w:val="2"/>
          </w:tcPr>
          <w:p>
            <w:pPr>
              <w:jc w:val="right"/>
              <w:ind w:right="160"/>
              <w:spacing w:after="0"/>
              <w:rPr>
                <w:sz w:val="20"/>
                <w:szCs w:val="20"/>
                <w:color w:val="auto"/>
              </w:rPr>
            </w:pPr>
            <w:r>
              <w:rPr>
                <w:rFonts w:ascii="Arial" w:cs="Arial" w:eastAsia="Arial" w:hAnsi="Arial"/>
                <w:sz w:val="18"/>
                <w:szCs w:val="18"/>
                <w:color w:val="auto"/>
              </w:rPr>
              <w:t>(3,958)</w:t>
            </w:r>
          </w:p>
        </w:tc>
        <w:tc>
          <w:tcPr>
            <w:tcW w:w="700" w:type="dxa"/>
            <w:vAlign w:val="bottom"/>
          </w:tcPr>
          <w:p>
            <w:pPr>
              <w:spacing w:after="0"/>
              <w:rPr>
                <w:sz w:val="18"/>
                <w:szCs w:val="18"/>
                <w:color w:val="auto"/>
              </w:rPr>
            </w:pPr>
          </w:p>
        </w:tc>
        <w:tc>
          <w:tcPr>
            <w:tcW w:w="880" w:type="dxa"/>
            <w:vAlign w:val="bottom"/>
            <w:gridSpan w:val="2"/>
          </w:tcPr>
          <w:p>
            <w:pPr>
              <w:jc w:val="right"/>
              <w:ind w:right="40"/>
              <w:spacing w:after="0"/>
              <w:rPr>
                <w:sz w:val="20"/>
                <w:szCs w:val="20"/>
                <w:color w:val="auto"/>
              </w:rPr>
            </w:pPr>
            <w:r>
              <w:rPr>
                <w:rFonts w:ascii="Arial" w:cs="Arial" w:eastAsia="Arial" w:hAnsi="Arial"/>
                <w:sz w:val="18"/>
                <w:szCs w:val="18"/>
                <w:color w:val="auto"/>
              </w:rPr>
              <w:t>(5,610)</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7520" w:type="dxa"/>
            <w:vAlign w:val="bottom"/>
            <w:shd w:val="clear" w:color="auto" w:fill="CCEEFF"/>
          </w:tcPr>
          <w:p>
            <w:pPr>
              <w:spacing w:after="0"/>
              <w:rPr>
                <w:sz w:val="20"/>
                <w:szCs w:val="20"/>
                <w:color w:val="auto"/>
              </w:rPr>
            </w:pPr>
            <w:r>
              <w:rPr>
                <w:rFonts w:ascii="Arial" w:cs="Arial" w:eastAsia="Arial" w:hAnsi="Arial"/>
                <w:sz w:val="18"/>
                <w:szCs w:val="18"/>
                <w:color w:val="auto"/>
              </w:rPr>
              <w:t>Proceeds from sales of property and equipment</w:t>
            </w:r>
          </w:p>
        </w:tc>
        <w:tc>
          <w:tcPr>
            <w:tcW w:w="58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7520" w:type="dxa"/>
            <w:vAlign w:val="bottom"/>
          </w:tcPr>
          <w:p>
            <w:pPr>
              <w:spacing w:after="0"/>
              <w:rPr>
                <w:sz w:val="20"/>
                <w:szCs w:val="20"/>
                <w:color w:val="auto"/>
              </w:rPr>
            </w:pPr>
            <w:r>
              <w:rPr>
                <w:rFonts w:ascii="Arial" w:cs="Arial" w:eastAsia="Arial" w:hAnsi="Arial"/>
                <w:sz w:val="18"/>
                <w:szCs w:val="18"/>
                <w:color w:val="auto"/>
              </w:rPr>
              <w:t>Cash paid for business acquisition</w:t>
            </w:r>
          </w:p>
        </w:tc>
        <w:tc>
          <w:tcPr>
            <w:tcW w:w="5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200" w:type="dxa"/>
            <w:vAlign w:val="bottom"/>
            <w:gridSpan w:val="2"/>
          </w:tcPr>
          <w:p>
            <w:pPr>
              <w:jc w:val="right"/>
              <w:ind w:right="160"/>
              <w:spacing w:after="0"/>
              <w:rPr>
                <w:sz w:val="20"/>
                <w:szCs w:val="20"/>
                <w:color w:val="auto"/>
              </w:rPr>
            </w:pPr>
            <w:r>
              <w:rPr>
                <w:rFonts w:ascii="Arial" w:cs="Arial" w:eastAsia="Arial" w:hAnsi="Arial"/>
                <w:sz w:val="18"/>
                <w:szCs w:val="18"/>
                <w:color w:val="auto"/>
              </w:rPr>
              <w:t>(15,556)</w:t>
            </w:r>
          </w:p>
        </w:tc>
        <w:tc>
          <w:tcPr>
            <w:tcW w:w="7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7520" w:type="dxa"/>
            <w:vAlign w:val="bottom"/>
            <w:shd w:val="clear" w:color="auto" w:fill="CCEEFF"/>
          </w:tcPr>
          <w:p>
            <w:pPr>
              <w:spacing w:after="0"/>
              <w:rPr>
                <w:sz w:val="20"/>
                <w:szCs w:val="20"/>
                <w:color w:val="auto"/>
              </w:rPr>
            </w:pPr>
            <w:r>
              <w:rPr>
                <w:rFonts w:ascii="Arial" w:cs="Arial" w:eastAsia="Arial" w:hAnsi="Arial"/>
                <w:sz w:val="18"/>
                <w:szCs w:val="18"/>
                <w:color w:val="auto"/>
              </w:rPr>
              <w:t>Acquisition of retail licensee store</w:t>
            </w:r>
          </w:p>
        </w:tc>
        <w:tc>
          <w:tcPr>
            <w:tcW w:w="58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(655)</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7520" w:type="dxa"/>
            <w:vAlign w:val="bottom"/>
          </w:tcPr>
          <w:p>
            <w:pPr>
              <w:spacing w:after="0"/>
              <w:rPr>
                <w:sz w:val="20"/>
                <w:szCs w:val="20"/>
                <w:color w:val="auto"/>
              </w:rPr>
            </w:pPr>
            <w:r>
              <w:rPr>
                <w:rFonts w:ascii="Arial" w:cs="Arial" w:eastAsia="Arial" w:hAnsi="Arial"/>
                <w:sz w:val="18"/>
                <w:szCs w:val="18"/>
                <w:color w:val="auto"/>
              </w:rPr>
              <w:t>Other</w:t>
            </w:r>
          </w:p>
        </w:tc>
        <w:tc>
          <w:tcPr>
            <w:tcW w:w="580" w:type="dxa"/>
            <w:vAlign w:val="bottom"/>
          </w:tcPr>
          <w:p>
            <w:pPr>
              <w:spacing w:after="0"/>
              <w:rPr>
                <w:sz w:val="18"/>
                <w:szCs w:val="18"/>
                <w:color w:val="auto"/>
              </w:rPr>
            </w:pPr>
          </w:p>
        </w:tc>
        <w:tc>
          <w:tcPr>
            <w:tcW w:w="52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70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223</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7520" w:type="dxa"/>
            <w:vAlign w:val="bottom"/>
            <w:shd w:val="clear" w:color="auto" w:fill="CCEEFF"/>
          </w:tcPr>
          <w:p>
            <w:pPr>
              <w:ind w:left="320"/>
              <w:spacing w:after="0"/>
              <w:rPr>
                <w:sz w:val="20"/>
                <w:szCs w:val="20"/>
                <w:color w:val="auto"/>
              </w:rPr>
            </w:pPr>
            <w:r>
              <w:rPr>
                <w:rFonts w:ascii="Arial" w:cs="Arial" w:eastAsia="Arial" w:hAnsi="Arial"/>
                <w:sz w:val="18"/>
                <w:szCs w:val="18"/>
                <w:b w:val="1"/>
                <w:bCs w:val="1"/>
                <w:color w:val="auto"/>
              </w:rPr>
              <w:t>Net cash used in investing activities</w:t>
            </w:r>
          </w:p>
        </w:tc>
        <w:tc>
          <w:tcPr>
            <w:tcW w:w="58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(19,514)</w:t>
            </w:r>
          </w:p>
        </w:tc>
        <w:tc>
          <w:tcPr>
            <w:tcW w:w="7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(6,039)</w:t>
            </w:r>
          </w:p>
        </w:tc>
        <w:tc>
          <w:tcPr>
            <w:tcW w:w="0" w:type="dxa"/>
            <w:vAlign w:val="bottom"/>
          </w:tcPr>
          <w:p>
            <w:pPr>
              <w:spacing w:after="0"/>
              <w:rPr>
                <w:sz w:val="1"/>
                <w:szCs w:val="1"/>
                <w:color w:val="auto"/>
              </w:rPr>
            </w:pPr>
          </w:p>
        </w:tc>
      </w:tr>
      <w:tr>
        <w:trPr>
          <w:trHeight w:val="209"/>
        </w:trPr>
        <w:tc>
          <w:tcPr>
            <w:tcW w:w="20" w:type="dxa"/>
            <w:vAlign w:val="bottom"/>
            <w:vMerge w:val="restart"/>
          </w:tcPr>
          <w:p>
            <w:pPr>
              <w:spacing w:after="0"/>
              <w:rPr>
                <w:sz w:val="18"/>
                <w:szCs w:val="18"/>
                <w:color w:val="auto"/>
              </w:rPr>
            </w:pPr>
          </w:p>
        </w:tc>
        <w:tc>
          <w:tcPr>
            <w:tcW w:w="7520" w:type="dxa"/>
            <w:vAlign w:val="bottom"/>
            <w:tcBorders>
              <w:top w:val="single" w:sz="8" w:color="CCEEFF"/>
            </w:tcBorders>
          </w:tcPr>
          <w:p>
            <w:pPr>
              <w:spacing w:after="0"/>
              <w:rPr>
                <w:sz w:val="18"/>
                <w:szCs w:val="18"/>
                <w:color w:val="auto"/>
              </w:rPr>
            </w:pPr>
          </w:p>
        </w:tc>
        <w:tc>
          <w:tcPr>
            <w:tcW w:w="580" w:type="dxa"/>
            <w:vAlign w:val="bottom"/>
            <w:tcBorders>
              <w:top w:val="single" w:sz="8" w:color="CCEEFF"/>
            </w:tcBorders>
          </w:tcPr>
          <w:p>
            <w:pPr>
              <w:spacing w:after="0"/>
              <w:rPr>
                <w:sz w:val="18"/>
                <w:szCs w:val="18"/>
                <w:color w:val="auto"/>
              </w:rPr>
            </w:pPr>
          </w:p>
        </w:tc>
        <w:tc>
          <w:tcPr>
            <w:tcW w:w="52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220" w:type="dxa"/>
            <w:vAlign w:val="bottom"/>
            <w:tcBorders>
              <w:top w:val="single" w:sz="8" w:color="CCEEFF"/>
            </w:tcBorders>
          </w:tcPr>
          <w:p>
            <w:pPr>
              <w:spacing w:after="0"/>
              <w:rPr>
                <w:sz w:val="18"/>
                <w:szCs w:val="18"/>
                <w:color w:val="auto"/>
              </w:rPr>
            </w:pPr>
          </w:p>
        </w:tc>
        <w:tc>
          <w:tcPr>
            <w:tcW w:w="70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vMerge w:val="continue"/>
          </w:tcPr>
          <w:p>
            <w:pPr>
              <w:spacing w:after="0"/>
              <w:rPr>
                <w:sz w:val="18"/>
                <w:szCs w:val="18"/>
                <w:color w:val="auto"/>
              </w:rPr>
            </w:pPr>
          </w:p>
        </w:tc>
        <w:tc>
          <w:tcPr>
            <w:tcW w:w="75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Financing activities:</w:t>
            </w:r>
          </w:p>
        </w:tc>
        <w:tc>
          <w:tcPr>
            <w:tcW w:w="58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7520" w:type="dxa"/>
            <w:vAlign w:val="bottom"/>
          </w:tcPr>
          <w:p>
            <w:pPr>
              <w:spacing w:after="0"/>
              <w:rPr>
                <w:sz w:val="20"/>
                <w:szCs w:val="20"/>
                <w:color w:val="auto"/>
              </w:rPr>
            </w:pPr>
            <w:r>
              <w:rPr>
                <w:rFonts w:ascii="Arial" w:cs="Arial" w:eastAsia="Arial" w:hAnsi="Arial"/>
                <w:sz w:val="18"/>
                <w:szCs w:val="18"/>
                <w:color w:val="auto"/>
              </w:rPr>
              <w:t>Cash dividends</w:t>
            </w:r>
          </w:p>
        </w:tc>
        <w:tc>
          <w:tcPr>
            <w:tcW w:w="5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200" w:type="dxa"/>
            <w:vAlign w:val="bottom"/>
            <w:gridSpan w:val="2"/>
          </w:tcPr>
          <w:p>
            <w:pPr>
              <w:jc w:val="right"/>
              <w:ind w:right="160"/>
              <w:spacing w:after="0"/>
              <w:rPr>
                <w:sz w:val="20"/>
                <w:szCs w:val="20"/>
                <w:color w:val="auto"/>
              </w:rPr>
            </w:pPr>
            <w:r>
              <w:rPr>
                <w:rFonts w:ascii="Arial" w:cs="Arial" w:eastAsia="Arial" w:hAnsi="Arial"/>
                <w:sz w:val="18"/>
                <w:szCs w:val="18"/>
                <w:color w:val="auto"/>
              </w:rPr>
              <w:t>(4,942)</w:t>
            </w:r>
          </w:p>
        </w:tc>
        <w:tc>
          <w:tcPr>
            <w:tcW w:w="700" w:type="dxa"/>
            <w:vAlign w:val="bottom"/>
          </w:tcPr>
          <w:p>
            <w:pPr>
              <w:spacing w:after="0"/>
              <w:rPr>
                <w:sz w:val="18"/>
                <w:szCs w:val="18"/>
                <w:color w:val="auto"/>
              </w:rPr>
            </w:pPr>
          </w:p>
        </w:tc>
        <w:tc>
          <w:tcPr>
            <w:tcW w:w="880" w:type="dxa"/>
            <w:vAlign w:val="bottom"/>
            <w:gridSpan w:val="2"/>
          </w:tcPr>
          <w:p>
            <w:pPr>
              <w:jc w:val="right"/>
              <w:ind w:right="40"/>
              <w:spacing w:after="0"/>
              <w:rPr>
                <w:sz w:val="20"/>
                <w:szCs w:val="20"/>
                <w:color w:val="auto"/>
              </w:rPr>
            </w:pPr>
            <w:r>
              <w:rPr>
                <w:rFonts w:ascii="Arial" w:cs="Arial" w:eastAsia="Arial" w:hAnsi="Arial"/>
                <w:sz w:val="18"/>
                <w:szCs w:val="18"/>
                <w:color w:val="auto"/>
              </w:rPr>
              <w:t>(4,290)</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7520" w:type="dxa"/>
            <w:vAlign w:val="bottom"/>
            <w:shd w:val="clear" w:color="auto" w:fill="CCEEFF"/>
          </w:tcPr>
          <w:p>
            <w:pPr>
              <w:spacing w:after="0"/>
              <w:rPr>
                <w:sz w:val="20"/>
                <w:szCs w:val="20"/>
                <w:color w:val="auto"/>
              </w:rPr>
            </w:pPr>
            <w:r>
              <w:rPr>
                <w:rFonts w:ascii="Arial" w:cs="Arial" w:eastAsia="Arial" w:hAnsi="Arial"/>
                <w:sz w:val="18"/>
                <w:szCs w:val="18"/>
                <w:color w:val="auto"/>
              </w:rPr>
              <w:t>Proceeds from the exercise of stock options</w:t>
            </w:r>
          </w:p>
        </w:tc>
        <w:tc>
          <w:tcPr>
            <w:tcW w:w="58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221</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7520" w:type="dxa"/>
            <w:vAlign w:val="bottom"/>
          </w:tcPr>
          <w:p>
            <w:pPr>
              <w:spacing w:after="0"/>
              <w:rPr>
                <w:sz w:val="20"/>
                <w:szCs w:val="20"/>
                <w:color w:val="auto"/>
              </w:rPr>
            </w:pPr>
            <w:r>
              <w:rPr>
                <w:rFonts w:ascii="Arial" w:cs="Arial" w:eastAsia="Arial" w:hAnsi="Arial"/>
                <w:sz w:val="18"/>
                <w:szCs w:val="18"/>
                <w:color w:val="auto"/>
              </w:rPr>
              <w:t>Other issuance of common stock</w:t>
            </w:r>
          </w:p>
        </w:tc>
        <w:tc>
          <w:tcPr>
            <w:tcW w:w="5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84</w:t>
            </w:r>
          </w:p>
        </w:tc>
        <w:tc>
          <w:tcPr>
            <w:tcW w:w="7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7520" w:type="dxa"/>
            <w:vAlign w:val="bottom"/>
            <w:shd w:val="clear" w:color="auto" w:fill="CCEEFF"/>
          </w:tcPr>
          <w:p>
            <w:pPr>
              <w:spacing w:after="0"/>
              <w:rPr>
                <w:sz w:val="20"/>
                <w:szCs w:val="20"/>
                <w:color w:val="auto"/>
              </w:rPr>
            </w:pPr>
            <w:r>
              <w:rPr>
                <w:rFonts w:ascii="Arial" w:cs="Arial" w:eastAsia="Arial" w:hAnsi="Arial"/>
                <w:sz w:val="18"/>
                <w:szCs w:val="18"/>
                <w:color w:val="auto"/>
              </w:rPr>
              <w:t>Repurchases of common stock</w:t>
            </w:r>
          </w:p>
        </w:tc>
        <w:tc>
          <w:tcPr>
            <w:tcW w:w="58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(244)</w:t>
            </w:r>
          </w:p>
        </w:tc>
        <w:tc>
          <w:tcPr>
            <w:tcW w:w="7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(26)</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7520" w:type="dxa"/>
            <w:vAlign w:val="bottom"/>
          </w:tcPr>
          <w:p>
            <w:pPr>
              <w:spacing w:after="0"/>
              <w:rPr>
                <w:sz w:val="20"/>
                <w:szCs w:val="20"/>
                <w:color w:val="auto"/>
              </w:rPr>
            </w:pPr>
            <w:r>
              <w:rPr>
                <w:rFonts w:ascii="Arial" w:cs="Arial" w:eastAsia="Arial" w:hAnsi="Arial"/>
                <w:sz w:val="18"/>
                <w:szCs w:val="18"/>
                <w:color w:val="auto"/>
              </w:rPr>
              <w:t>Taxes paid related to net share settlement of equity awards</w:t>
            </w:r>
          </w:p>
        </w:tc>
        <w:tc>
          <w:tcPr>
            <w:tcW w:w="5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200" w:type="dxa"/>
            <w:vAlign w:val="bottom"/>
            <w:gridSpan w:val="2"/>
          </w:tcPr>
          <w:p>
            <w:pPr>
              <w:jc w:val="right"/>
              <w:ind w:right="160"/>
              <w:spacing w:after="0"/>
              <w:rPr>
                <w:sz w:val="20"/>
                <w:szCs w:val="20"/>
                <w:color w:val="auto"/>
              </w:rPr>
            </w:pPr>
            <w:r>
              <w:rPr>
                <w:rFonts w:ascii="Arial" w:cs="Arial" w:eastAsia="Arial" w:hAnsi="Arial"/>
                <w:sz w:val="18"/>
                <w:szCs w:val="18"/>
                <w:color w:val="auto"/>
              </w:rPr>
              <w:t>(522)</w:t>
            </w:r>
          </w:p>
        </w:tc>
        <w:tc>
          <w:tcPr>
            <w:tcW w:w="700" w:type="dxa"/>
            <w:vAlign w:val="bottom"/>
          </w:tcPr>
          <w:p>
            <w:pPr>
              <w:spacing w:after="0"/>
              <w:rPr>
                <w:sz w:val="18"/>
                <w:szCs w:val="18"/>
                <w:color w:val="auto"/>
              </w:rPr>
            </w:pPr>
          </w:p>
        </w:tc>
        <w:tc>
          <w:tcPr>
            <w:tcW w:w="880" w:type="dxa"/>
            <w:vAlign w:val="bottom"/>
            <w:gridSpan w:val="2"/>
          </w:tcPr>
          <w:p>
            <w:pPr>
              <w:jc w:val="right"/>
              <w:ind w:right="40"/>
              <w:spacing w:after="0"/>
              <w:rPr>
                <w:sz w:val="20"/>
                <w:szCs w:val="20"/>
                <w:color w:val="auto"/>
              </w:rPr>
            </w:pPr>
            <w:r>
              <w:rPr>
                <w:rFonts w:ascii="Arial" w:cs="Arial" w:eastAsia="Arial" w:hAnsi="Arial"/>
                <w:sz w:val="18"/>
                <w:szCs w:val="18"/>
                <w:color w:val="auto"/>
              </w:rPr>
              <w:t>(474)</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7520" w:type="dxa"/>
            <w:vAlign w:val="bottom"/>
            <w:shd w:val="clear" w:color="auto" w:fill="CCEEFF"/>
          </w:tcPr>
          <w:p>
            <w:pPr>
              <w:spacing w:after="0"/>
              <w:rPr>
                <w:sz w:val="20"/>
                <w:szCs w:val="20"/>
                <w:color w:val="auto"/>
              </w:rPr>
            </w:pPr>
            <w:r>
              <w:rPr>
                <w:rFonts w:ascii="Arial" w:cs="Arial" w:eastAsia="Arial" w:hAnsi="Arial"/>
                <w:sz w:val="18"/>
                <w:szCs w:val="18"/>
                <w:color w:val="auto"/>
              </w:rPr>
              <w:t>Repayments of notes payable</w:t>
            </w:r>
          </w:p>
        </w:tc>
        <w:tc>
          <w:tcPr>
            <w:tcW w:w="58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(3,102)</w:t>
            </w:r>
          </w:p>
        </w:tc>
        <w:tc>
          <w:tcPr>
            <w:tcW w:w="7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(3,095)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520" w:type="dxa"/>
            <w:vAlign w:val="bottom"/>
            <w:shd w:val="clear" w:color="auto" w:fill="CCEEFF"/>
          </w:tcPr>
          <w:p>
            <w:pPr>
              <w:spacing w:after="0" w:line="20" w:lineRule="exact"/>
              <w:rPr>
                <w:sz w:val="1"/>
                <w:szCs w:val="1"/>
                <w:color w:val="auto"/>
              </w:rPr>
            </w:pPr>
          </w:p>
        </w:tc>
        <w:tc>
          <w:tcPr>
            <w:tcW w:w="580" w:type="dxa"/>
            <w:vAlign w:val="bottom"/>
            <w:shd w:val="clear" w:color="auto" w:fill="CCEEFF"/>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20" w:type="dxa"/>
            <w:vAlign w:val="bottom"/>
          </w:tcPr>
          <w:p>
            <w:pPr>
              <w:spacing w:after="0"/>
              <w:rPr>
                <w:sz w:val="18"/>
                <w:szCs w:val="18"/>
                <w:color w:val="auto"/>
              </w:rPr>
            </w:pPr>
          </w:p>
        </w:tc>
        <w:tc>
          <w:tcPr>
            <w:tcW w:w="7520" w:type="dxa"/>
            <w:vAlign w:val="bottom"/>
          </w:tcPr>
          <w:p>
            <w:pPr>
              <w:ind w:left="320"/>
              <w:spacing w:after="0"/>
              <w:rPr>
                <w:sz w:val="20"/>
                <w:szCs w:val="20"/>
                <w:color w:val="auto"/>
              </w:rPr>
            </w:pPr>
            <w:r>
              <w:rPr>
                <w:rFonts w:ascii="Arial" w:cs="Arial" w:eastAsia="Arial" w:hAnsi="Arial"/>
                <w:sz w:val="18"/>
                <w:szCs w:val="18"/>
                <w:b w:val="1"/>
                <w:bCs w:val="1"/>
                <w:color w:val="auto"/>
              </w:rPr>
              <w:t>Net cash used in financing activities</w:t>
            </w:r>
          </w:p>
        </w:tc>
        <w:tc>
          <w:tcPr>
            <w:tcW w:w="5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200" w:type="dxa"/>
            <w:vAlign w:val="bottom"/>
            <w:gridSpan w:val="2"/>
          </w:tcPr>
          <w:p>
            <w:pPr>
              <w:jc w:val="right"/>
              <w:ind w:right="160"/>
              <w:spacing w:after="0"/>
              <w:rPr>
                <w:sz w:val="20"/>
                <w:szCs w:val="20"/>
                <w:color w:val="auto"/>
              </w:rPr>
            </w:pPr>
            <w:r>
              <w:rPr>
                <w:rFonts w:ascii="Arial" w:cs="Arial" w:eastAsia="Arial" w:hAnsi="Arial"/>
                <w:sz w:val="18"/>
                <w:szCs w:val="18"/>
                <w:color w:val="auto"/>
              </w:rPr>
              <w:t>(8,726)</w:t>
            </w:r>
          </w:p>
        </w:tc>
        <w:tc>
          <w:tcPr>
            <w:tcW w:w="700" w:type="dxa"/>
            <w:vAlign w:val="bottom"/>
          </w:tcPr>
          <w:p>
            <w:pPr>
              <w:spacing w:after="0"/>
              <w:rPr>
                <w:sz w:val="18"/>
                <w:szCs w:val="18"/>
                <w:color w:val="auto"/>
              </w:rPr>
            </w:pPr>
          </w:p>
        </w:tc>
        <w:tc>
          <w:tcPr>
            <w:tcW w:w="880" w:type="dxa"/>
            <w:vAlign w:val="bottom"/>
            <w:gridSpan w:val="2"/>
          </w:tcPr>
          <w:p>
            <w:pPr>
              <w:jc w:val="right"/>
              <w:ind w:right="40"/>
              <w:spacing w:after="0"/>
              <w:rPr>
                <w:sz w:val="20"/>
                <w:szCs w:val="20"/>
                <w:color w:val="auto"/>
              </w:rPr>
            </w:pPr>
            <w:r>
              <w:rPr>
                <w:rFonts w:ascii="Arial" w:cs="Arial" w:eastAsia="Arial" w:hAnsi="Arial"/>
                <w:sz w:val="18"/>
                <w:szCs w:val="18"/>
                <w:color w:val="auto"/>
              </w:rPr>
              <w:t>(7,664)</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752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20" w:type="dxa"/>
            <w:vAlign w:val="bottom"/>
            <w:vMerge w:val="continue"/>
          </w:tcPr>
          <w:p>
            <w:pPr>
              <w:spacing w:after="0"/>
              <w:rPr>
                <w:sz w:val="18"/>
                <w:szCs w:val="18"/>
                <w:color w:val="auto"/>
              </w:rPr>
            </w:pPr>
          </w:p>
        </w:tc>
        <w:tc>
          <w:tcPr>
            <w:tcW w:w="75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Change in cash and cash equivalents</w:t>
            </w:r>
          </w:p>
        </w:tc>
        <w:tc>
          <w:tcPr>
            <w:tcW w:w="58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(29,639)</w:t>
            </w:r>
          </w:p>
        </w:tc>
        <w:tc>
          <w:tcPr>
            <w:tcW w:w="7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(11,626)</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7520" w:type="dxa"/>
            <w:vAlign w:val="bottom"/>
          </w:tcPr>
          <w:p>
            <w:pPr>
              <w:spacing w:after="0"/>
              <w:rPr>
                <w:sz w:val="20"/>
                <w:szCs w:val="20"/>
                <w:color w:val="auto"/>
              </w:rPr>
            </w:pPr>
            <w:r>
              <w:rPr>
                <w:rFonts w:ascii="Arial" w:cs="Arial" w:eastAsia="Arial" w:hAnsi="Arial"/>
                <w:sz w:val="18"/>
                <w:szCs w:val="18"/>
                <w:b w:val="1"/>
                <w:bCs w:val="1"/>
                <w:color w:val="auto"/>
              </w:rPr>
              <w:t>Cash and cash equivalents - beginning of period</w:t>
            </w:r>
          </w:p>
        </w:tc>
        <w:tc>
          <w:tcPr>
            <w:tcW w:w="580" w:type="dxa"/>
            <w:vAlign w:val="bottom"/>
          </w:tcPr>
          <w:p>
            <w:pPr>
              <w:spacing w:after="0"/>
              <w:rPr>
                <w:sz w:val="18"/>
                <w:szCs w:val="18"/>
                <w:color w:val="auto"/>
              </w:rPr>
            </w:pPr>
          </w:p>
        </w:tc>
        <w:tc>
          <w:tcPr>
            <w:tcW w:w="52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53,949</w:t>
            </w:r>
          </w:p>
        </w:tc>
        <w:tc>
          <w:tcPr>
            <w:tcW w:w="220" w:type="dxa"/>
            <w:vAlign w:val="bottom"/>
          </w:tcPr>
          <w:p>
            <w:pPr>
              <w:spacing w:after="0"/>
              <w:rPr>
                <w:sz w:val="18"/>
                <w:szCs w:val="18"/>
                <w:color w:val="auto"/>
              </w:rPr>
            </w:pPr>
          </w:p>
        </w:tc>
        <w:tc>
          <w:tcPr>
            <w:tcW w:w="70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35,144</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20" w:type="dxa"/>
            <w:vAlign w:val="bottom"/>
          </w:tcPr>
          <w:p>
            <w:pPr>
              <w:spacing w:after="0"/>
              <w:rPr>
                <w:sz w:val="21"/>
                <w:szCs w:val="21"/>
                <w:color w:val="auto"/>
              </w:rPr>
            </w:pPr>
          </w:p>
        </w:tc>
        <w:tc>
          <w:tcPr>
            <w:tcW w:w="75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Cash and cash equivalents - end of period</w:t>
            </w:r>
          </w:p>
        </w:tc>
        <w:tc>
          <w:tcPr>
            <w:tcW w:w="58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auto"/>
            </w:tcBorders>
            <w:shd w:val="clear" w:color="auto" w:fill="CCEEFF"/>
          </w:tcPr>
          <w:p>
            <w:pPr>
              <w:jc w:val="right"/>
              <w:ind w:right="330"/>
              <w:spacing w:after="0"/>
              <w:rPr>
                <w:sz w:val="20"/>
                <w:szCs w:val="20"/>
                <w:color w:val="auto"/>
              </w:rPr>
            </w:pPr>
            <w:r>
              <w:rPr>
                <w:rFonts w:ascii="Arial" w:cs="Arial" w:eastAsia="Arial" w:hAnsi="Arial"/>
                <w:sz w:val="18"/>
                <w:szCs w:val="18"/>
                <w:color w:val="auto"/>
                <w:w w:val="79"/>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24,310</w:t>
            </w:r>
          </w:p>
        </w:tc>
        <w:tc>
          <w:tcPr>
            <w:tcW w:w="22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auto"/>
            </w:tcBorders>
            <w:shd w:val="clear" w:color="auto" w:fill="CCEEFF"/>
          </w:tcPr>
          <w:p>
            <w:pPr>
              <w:jc w:val="right"/>
              <w:ind w:right="510"/>
              <w:spacing w:after="0"/>
              <w:rPr>
                <w:sz w:val="20"/>
                <w:szCs w:val="20"/>
                <w:color w:val="auto"/>
              </w:rPr>
            </w:pPr>
            <w:r>
              <w:rPr>
                <w:rFonts w:ascii="Arial" w:cs="Arial" w:eastAsia="Arial" w:hAnsi="Arial"/>
                <w:sz w:val="18"/>
                <w:szCs w:val="18"/>
                <w:color w:val="auto"/>
                <w:w w:val="79"/>
              </w:rPr>
              <w:t>$</w:t>
            </w: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23,518</w:t>
            </w:r>
          </w:p>
        </w:tc>
        <w:tc>
          <w:tcPr>
            <w:tcW w:w="1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bl>
    <w:p>
      <w:pPr>
        <w:spacing w:after="0" w:line="20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The accompanying notes to condensed consolidated financial statements are an integral part of the condensed consolidated financial statements.</w:t>
      </w: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82550</wp:posOffset>
            </wp:positionV>
            <wp:extent cx="7247255"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7255" cy="17145"/>
                    </a:xfrm>
                    <a:prstGeom prst="rect">
                      <a:avLst/>
                    </a:prstGeom>
                    <a:noFill/>
                  </pic:spPr>
                </pic:pic>
              </a:graphicData>
            </a:graphic>
          </wp:anchor>
        </w:drawing>
      </w:r>
    </w:p>
    <w:p>
      <w:pPr>
        <w:sectPr>
          <w:pgSz w:w="11900" w:h="16838" w:orient="portrait"/>
          <w:cols w:equalWidth="0" w:num="1">
            <w:col w:w="11420"/>
          </w:cols>
          <w:pgMar w:left="240" w:top="825" w:right="239" w:bottom="1440" w:gutter="0" w:footer="0" w:header="0"/>
        </w:sectPr>
      </w:pPr>
    </w:p>
    <w:bookmarkStart w:id="6" w:name="page7"/>
    <w:bookmarkEnd w:id="6"/>
    <w:p>
      <w:pPr>
        <w:jc w:val="center"/>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NOTES TO CONDENSED CONSOLIDATED FINANCIAL STATEMENTS-UNAUDITED</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FEBRUARY 24, 2018</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00" w:lineRule="exact"/>
        <w:rPr>
          <w:sz w:val="20"/>
          <w:szCs w:val="20"/>
          <w:color w:val="auto"/>
        </w:rPr>
      </w:pPr>
    </w:p>
    <w:p>
      <w:pPr>
        <w:spacing w:after="0" w:line="24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Basis of Presentation</w:t>
      </w:r>
    </w:p>
    <w:p>
      <w:pPr>
        <w:spacing w:after="0" w:line="228" w:lineRule="exact"/>
        <w:rPr>
          <w:sz w:val="20"/>
          <w:szCs w:val="20"/>
          <w:color w:val="auto"/>
        </w:rPr>
      </w:pPr>
    </w:p>
    <w:p>
      <w:pPr>
        <w:jc w:val="both"/>
        <w:spacing w:after="0" w:line="310" w:lineRule="auto"/>
        <w:rPr>
          <w:sz w:val="20"/>
          <w:szCs w:val="20"/>
          <w:color w:val="auto"/>
        </w:rPr>
      </w:pPr>
      <w:r>
        <w:rPr>
          <w:rFonts w:ascii="Arial" w:cs="Arial" w:eastAsia="Arial" w:hAnsi="Arial"/>
          <w:sz w:val="16"/>
          <w:szCs w:val="16"/>
          <w:color w:val="auto"/>
        </w:rPr>
        <w:t>The accompanying unaudited condensed consolidated financial statements have been prepared in accordance with the instructions to Form 10-Q and do not include all of the information and footnotes required by accounting principles generally accepted in the United States (“GAAP”) for complete financial statements. In our opinion, all adjustments (consisting of normal recurring adjustments) considered necessary for a fair presentation have been included.</w:t>
      </w:r>
    </w:p>
    <w:p>
      <w:pPr>
        <w:spacing w:after="0" w:line="148" w:lineRule="exact"/>
        <w:rPr>
          <w:sz w:val="20"/>
          <w:szCs w:val="20"/>
          <w:color w:val="auto"/>
        </w:rPr>
      </w:pPr>
    </w:p>
    <w:p>
      <w:pPr>
        <w:jc w:val="both"/>
        <w:spacing w:after="0" w:line="276" w:lineRule="auto"/>
        <w:rPr>
          <w:sz w:val="20"/>
          <w:szCs w:val="20"/>
          <w:color w:val="auto"/>
        </w:rPr>
      </w:pPr>
      <w:r>
        <w:rPr>
          <w:rFonts w:ascii="Arial" w:cs="Arial" w:eastAsia="Arial" w:hAnsi="Arial"/>
          <w:sz w:val="18"/>
          <w:szCs w:val="18"/>
          <w:color w:val="auto"/>
        </w:rPr>
        <w:t>References to “ASC” included hereinafter refer to the Accounting Standards Codification established by the Financial Accounting Standards Board (“FASB”) as the source of authoritative GAAP.</w:t>
      </w:r>
    </w:p>
    <w:p>
      <w:pPr>
        <w:spacing w:after="0" w:line="170" w:lineRule="exact"/>
        <w:rPr>
          <w:sz w:val="20"/>
          <w:szCs w:val="20"/>
          <w:color w:val="auto"/>
        </w:rPr>
      </w:pPr>
    </w:p>
    <w:p>
      <w:pPr>
        <w:jc w:val="both"/>
        <w:spacing w:after="0" w:line="300" w:lineRule="auto"/>
        <w:rPr>
          <w:sz w:val="20"/>
          <w:szCs w:val="20"/>
          <w:color w:val="auto"/>
        </w:rPr>
      </w:pPr>
      <w:r>
        <w:rPr>
          <w:rFonts w:ascii="Arial" w:cs="Arial" w:eastAsia="Arial" w:hAnsi="Arial"/>
          <w:sz w:val="16"/>
          <w:szCs w:val="16"/>
          <w:color w:val="auto"/>
        </w:rPr>
        <w:t>The condensed consolidated financial statements include the accounts of Bassett Furniture Industries, Incorporated (“Bassett”, “we”, “our”, or the “Company”) and our wholly-owned subsidiaries of which we have a controlling interest. In accordance with ASC Topic 810, we have evaluated our licensees and certain other entities to determine whether they are variable interest entities (“VIEs”) of which we are the primary beneficiary and thus would require consolidation in our financial statements. To date we have concluded that none of our licensees nor any other of our counterparties represent VIEs.</w:t>
      </w:r>
    </w:p>
    <w:p>
      <w:pPr>
        <w:spacing w:after="0" w:line="157" w:lineRule="exact"/>
        <w:rPr>
          <w:sz w:val="20"/>
          <w:szCs w:val="20"/>
          <w:color w:val="auto"/>
        </w:rPr>
      </w:pPr>
    </w:p>
    <w:p>
      <w:pPr>
        <w:jc w:val="both"/>
        <w:ind w:right="20"/>
        <w:spacing w:after="0" w:line="276" w:lineRule="auto"/>
        <w:rPr>
          <w:sz w:val="20"/>
          <w:szCs w:val="20"/>
          <w:color w:val="auto"/>
        </w:rPr>
      </w:pPr>
      <w:r>
        <w:rPr>
          <w:rFonts w:ascii="Arial" w:cs="Arial" w:eastAsia="Arial" w:hAnsi="Arial"/>
          <w:sz w:val="18"/>
          <w:szCs w:val="18"/>
          <w:color w:val="auto"/>
        </w:rPr>
        <w:t>Revenue from the sale of furniture and accessories is reported in the accompanying condensed consolidated statements of operations net of estimates for returns and allowances.</w:t>
      </w:r>
    </w:p>
    <w:p>
      <w:pPr>
        <w:spacing w:after="0" w:line="170" w:lineRule="exact"/>
        <w:rPr>
          <w:sz w:val="20"/>
          <w:szCs w:val="20"/>
          <w:color w:val="auto"/>
        </w:rPr>
      </w:pPr>
    </w:p>
    <w:p>
      <w:pPr>
        <w:jc w:val="both"/>
        <w:spacing w:after="0" w:line="262" w:lineRule="auto"/>
        <w:rPr>
          <w:sz w:val="20"/>
          <w:szCs w:val="20"/>
          <w:color w:val="auto"/>
        </w:rPr>
      </w:pPr>
      <w:r>
        <w:rPr>
          <w:rFonts w:ascii="Arial" w:cs="Arial" w:eastAsia="Arial" w:hAnsi="Arial"/>
          <w:sz w:val="18"/>
          <w:szCs w:val="18"/>
          <w:color w:val="auto"/>
        </w:rPr>
        <w:t>Revenues from logistical services are generated by our wholly-owned subsidiary, Zenith Freight Lines, LLC (“Zenith”). Sales of logistical services from Zenith to our wholesale and retail segments have been eliminated in consolidation, and Zenith’s operating costs and expenses are included in selling, general and administrative expenses in our condensed consolidated statements of operations.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Lane Venture Acquisition</w:t>
      </w:r>
    </w:p>
    <w:p>
      <w:pPr>
        <w:spacing w:after="0" w:line="224" w:lineRule="exact"/>
        <w:rPr>
          <w:sz w:val="20"/>
          <w:szCs w:val="20"/>
          <w:color w:val="auto"/>
        </w:rPr>
      </w:pPr>
    </w:p>
    <w:p>
      <w:pPr>
        <w:jc w:val="both"/>
        <w:spacing w:after="0" w:line="262" w:lineRule="auto"/>
        <w:rPr>
          <w:sz w:val="20"/>
          <w:szCs w:val="20"/>
          <w:color w:val="auto"/>
        </w:rPr>
      </w:pPr>
      <w:r>
        <w:rPr>
          <w:rFonts w:ascii="Arial" w:cs="Arial" w:eastAsia="Arial" w:hAnsi="Arial"/>
          <w:sz w:val="18"/>
          <w:szCs w:val="18"/>
          <w:color w:val="auto"/>
        </w:rPr>
        <w:t>On December 21, 2017, we purchased certain assets and assumed certain liabilities of Lane Venture from Heritage Home Group, LLC. Lane Venture is being operated as a component of our wholesale segment (see Note 3, Business Combinations). Results of operations for the Lane Venture business are included in our condensed consolidated statement of operations since the date of acquisition.</w:t>
      </w:r>
    </w:p>
    <w:p>
      <w:pPr>
        <w:spacing w:after="0" w:line="200" w:lineRule="exact"/>
        <w:rPr>
          <w:sz w:val="20"/>
          <w:szCs w:val="20"/>
          <w:color w:val="auto"/>
        </w:rPr>
      </w:pPr>
    </w:p>
    <w:p>
      <w:pPr>
        <w:spacing w:after="0" w:line="22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Interim Financial Presentation</w:t>
      </w:r>
    </w:p>
    <w:p>
      <w:pPr>
        <w:spacing w:after="0" w:line="228" w:lineRule="exact"/>
        <w:rPr>
          <w:sz w:val="20"/>
          <w:szCs w:val="20"/>
          <w:color w:val="auto"/>
        </w:rPr>
      </w:pPr>
    </w:p>
    <w:p>
      <w:pPr>
        <w:jc w:val="both"/>
        <w:spacing w:after="0" w:line="258" w:lineRule="auto"/>
        <w:rPr>
          <w:sz w:val="20"/>
          <w:szCs w:val="20"/>
          <w:color w:val="auto"/>
        </w:rPr>
      </w:pPr>
      <w:r>
        <w:rPr>
          <w:rFonts w:ascii="Arial" w:cs="Arial" w:eastAsia="Arial" w:hAnsi="Arial"/>
          <w:sz w:val="18"/>
          <w:szCs w:val="18"/>
          <w:color w:val="auto"/>
        </w:rPr>
        <w:t>All intercompany accounts and transactions have been eliminated in the condensed consolidated financial statements. The results of operations for the quarter ended February 24, 2018 are not necessarily indicative of results for the full fiscal year. These interim condensed consolidated financial statements should be read in conjunction with the consolidated financial statements and accompanying notes included in our Annual Report on Form 10-K for the year ended November 25, 2017.</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Taxes and Impact of the Tax Cuts and Jobs Act</w:t>
      </w:r>
    </w:p>
    <w:p>
      <w:pPr>
        <w:spacing w:after="0" w:line="224" w:lineRule="exact"/>
        <w:rPr>
          <w:sz w:val="20"/>
          <w:szCs w:val="20"/>
          <w:color w:val="auto"/>
        </w:rPr>
      </w:pPr>
    </w:p>
    <w:p>
      <w:pPr>
        <w:jc w:val="both"/>
        <w:spacing w:after="0" w:line="262" w:lineRule="auto"/>
        <w:rPr>
          <w:sz w:val="20"/>
          <w:szCs w:val="20"/>
          <w:color w:val="auto"/>
        </w:rPr>
      </w:pPr>
      <w:r>
        <w:rPr>
          <w:rFonts w:ascii="Arial" w:cs="Arial" w:eastAsia="Arial" w:hAnsi="Arial"/>
          <w:sz w:val="18"/>
          <w:szCs w:val="18"/>
          <w:color w:val="auto"/>
        </w:rPr>
        <w:t>We calculate an anticipated effective tax rate for the year based on our annual estimates of pretax income and use that effective tax rate to record our year-to-date income tax provision. Any change in annual projections of pretax income could have a significant impact on our effective tax rate for the respective quarter.</w:t>
      </w:r>
    </w:p>
    <w:p>
      <w:pPr>
        <w:spacing w:after="0" w:line="183" w:lineRule="exact"/>
        <w:rPr>
          <w:sz w:val="20"/>
          <w:szCs w:val="20"/>
          <w:color w:val="auto"/>
        </w:rPr>
      </w:pPr>
    </w:p>
    <w:p>
      <w:pPr>
        <w:jc w:val="both"/>
        <w:spacing w:after="0" w:line="256" w:lineRule="auto"/>
        <w:rPr>
          <w:sz w:val="20"/>
          <w:szCs w:val="20"/>
          <w:color w:val="auto"/>
        </w:rPr>
      </w:pPr>
      <w:r>
        <w:rPr>
          <w:rFonts w:ascii="Arial" w:cs="Arial" w:eastAsia="Arial" w:hAnsi="Arial"/>
          <w:sz w:val="18"/>
          <w:szCs w:val="18"/>
          <w:color w:val="auto"/>
        </w:rPr>
        <w:t>On December 22, 2017 the Tax Cuts and Jobs Act (the “Act”) was signed into law. The Act reduced the Federal statutory corporate income tax rate from 35% to 21% effective January 1, 2018 for all corporate taxpayers, while most other provisions of the Act take effect for fiscal years beginning on or after January 1, 2018. Therefore, we will compute our income tax expense for fiscal 2018 using a blended Federal statutory rate of 22.2%. The 21% Federal statutory rate, as well as certain other provisions of the Act including the elimination of the domestic manufacturing deduction and new limitations on certain business deductions, will apply to our 2019 fiscal year and thereafter.</w:t>
      </w:r>
    </w:p>
    <w:p>
      <w:pPr>
        <w:spacing w:after="0" w:line="188" w:lineRule="exact"/>
        <w:rPr>
          <w:sz w:val="20"/>
          <w:szCs w:val="20"/>
          <w:color w:val="auto"/>
        </w:rPr>
      </w:pPr>
    </w:p>
    <w:p>
      <w:pPr>
        <w:jc w:val="both"/>
        <w:spacing w:after="0" w:line="256" w:lineRule="auto"/>
        <w:rPr>
          <w:sz w:val="20"/>
          <w:szCs w:val="20"/>
          <w:color w:val="auto"/>
        </w:rPr>
      </w:pPr>
      <w:r>
        <w:rPr>
          <w:rFonts w:ascii="Arial" w:cs="Arial" w:eastAsia="Arial" w:hAnsi="Arial"/>
          <w:sz w:val="18"/>
          <w:szCs w:val="18"/>
          <w:color w:val="auto"/>
        </w:rPr>
        <w:t>The Federal rate reduction has had a significant impact on our provision for income taxes for the quarter ended February 24, 2018. Our effective tax rate for the quarter ended February 24, 2018 of 164.2% differs from the fiscal 2018 blended Federal statutory rate of 22.2% primarily due to a $2,157 discrete charge arising from the re-measurement of our deferred tax assets. Other items impacting our effective tax rate for the quarter include the effects of state income taxes and various permanent differences including the favorable impacts of excess tax benefits on stock-based compensation of $181 and the Section 199: Domestic Production Activities Deduction.</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82550</wp:posOffset>
            </wp:positionV>
            <wp:extent cx="7247255" cy="17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7255" cy="17145"/>
                    </a:xfrm>
                    <a:prstGeom prst="rect">
                      <a:avLst/>
                    </a:prstGeom>
                    <a:noFill/>
                  </pic:spPr>
                </pic:pic>
              </a:graphicData>
            </a:graphic>
          </wp:anchor>
        </w:drawing>
      </w:r>
    </w:p>
    <w:p>
      <w:pPr>
        <w:sectPr>
          <w:pgSz w:w="11900" w:h="16838" w:orient="portrait"/>
          <w:cols w:equalWidth="0" w:num="1">
            <w:col w:w="11420"/>
          </w:cols>
          <w:pgMar w:left="240" w:top="583" w:right="239" w:bottom="1440" w:gutter="0" w:footer="0" w:header="0"/>
        </w:sectPr>
      </w:pPr>
    </w:p>
    <w:bookmarkStart w:id="7" w:name="page8"/>
    <w:bookmarkEnd w:id="7"/>
    <w:p>
      <w:pPr>
        <w:jc w:val="center"/>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NOTES TO CONDENSED CONSOLIDATED FINANCIAL STATEMENTS-UNAUDITED</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FEBRUARY 24, 2018</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09" w:lineRule="exact"/>
        <w:rPr>
          <w:sz w:val="20"/>
          <w:szCs w:val="20"/>
          <w:color w:val="auto"/>
        </w:rPr>
      </w:pPr>
    </w:p>
    <w:p>
      <w:pPr>
        <w:jc w:val="both"/>
        <w:spacing w:after="0" w:line="295" w:lineRule="auto"/>
        <w:rPr>
          <w:sz w:val="20"/>
          <w:szCs w:val="20"/>
          <w:color w:val="auto"/>
        </w:rPr>
      </w:pPr>
      <w:r>
        <w:rPr>
          <w:rFonts w:ascii="Arial" w:cs="Arial" w:eastAsia="Arial" w:hAnsi="Arial"/>
          <w:sz w:val="16"/>
          <w:szCs w:val="16"/>
          <w:color w:val="auto"/>
        </w:rPr>
        <w:t>Given the significance of the legislation, the SEC staff issued Staff Accounting Bulletin No. 118 (“SAB 118”), which allows registrants to record provisional amounts during a one year “measurement period” similar to that used when accounting for business combinations. Per SAB 118, the measurement period is deemed to have an earlier end date when the registrant has obtained, prepared and analyzed the information necessary to finalize its accounting. During the measurement period, impacts of the updated tax law are expected to be recorded at the time a reasonable estimate for all, or a portion, of the effects can be made, and provisional amounts can be recognized and adjusted as information becomes available, prepared or analyzed.</w:t>
      </w:r>
    </w:p>
    <w:p>
      <w:pPr>
        <w:spacing w:after="0" w:line="161" w:lineRule="exact"/>
        <w:rPr>
          <w:sz w:val="20"/>
          <w:szCs w:val="20"/>
          <w:color w:val="auto"/>
        </w:rPr>
      </w:pPr>
    </w:p>
    <w:p>
      <w:pPr>
        <w:jc w:val="both"/>
        <w:spacing w:after="0" w:line="258" w:lineRule="auto"/>
        <w:rPr>
          <w:sz w:val="20"/>
          <w:szCs w:val="20"/>
          <w:color w:val="auto"/>
        </w:rPr>
      </w:pPr>
      <w:r>
        <w:rPr>
          <w:rFonts w:ascii="Arial" w:cs="Arial" w:eastAsia="Arial" w:hAnsi="Arial"/>
          <w:sz w:val="18"/>
          <w:szCs w:val="18"/>
          <w:color w:val="auto"/>
        </w:rPr>
        <w:t>SAB 118 states, that at each reporting period, companies must disclose the effects of the Act for areas where accounting is complete, disclose provisional amounts (or adjustments to provisional amounts) for the effects of the Act for areas where accounting is not complete but a reasonable estimate has been determined, and confirm areas where a reasonable estimate of the effects cannot yet be made, and therefore taxes are reflected in accordance with law prior to the enactment of the Act.</w:t>
      </w:r>
    </w:p>
    <w:p>
      <w:pPr>
        <w:spacing w:after="0" w:line="187" w:lineRule="exact"/>
        <w:rPr>
          <w:sz w:val="20"/>
          <w:szCs w:val="20"/>
          <w:color w:val="auto"/>
        </w:rPr>
      </w:pPr>
    </w:p>
    <w:p>
      <w:pPr>
        <w:jc w:val="both"/>
        <w:spacing w:after="0" w:line="256" w:lineRule="auto"/>
        <w:rPr>
          <w:sz w:val="20"/>
          <w:szCs w:val="20"/>
          <w:color w:val="auto"/>
        </w:rPr>
      </w:pPr>
      <w:r>
        <w:rPr>
          <w:rFonts w:ascii="Arial" w:cs="Arial" w:eastAsia="Arial" w:hAnsi="Arial"/>
          <w:sz w:val="18"/>
          <w:szCs w:val="18"/>
          <w:color w:val="auto"/>
        </w:rPr>
        <w:t>As of February 24, 2018, we were still assessing the overall impact that the Act will have on our financial statements and related disclosures. Therefore, the charge for the re-measurement of our deferred tax assets was based on reasonable estimates and has been recorded as a provisional amount in accordance with SAB 118. We may alter our estimates during the remainder of fiscal 2018 as we continue to process data to finalize the underlying calculations and also analyze other provisions of the Act to determine if they will impact our effective tax rate in fiscal 2018 or in the future. We will continue to refine our adjustments through the permissible measurement period as described above.</w:t>
      </w:r>
    </w:p>
    <w:p>
      <w:pPr>
        <w:spacing w:after="0" w:line="188" w:lineRule="exact"/>
        <w:rPr>
          <w:sz w:val="20"/>
          <w:szCs w:val="20"/>
          <w:color w:val="auto"/>
        </w:rPr>
      </w:pPr>
    </w:p>
    <w:p>
      <w:pPr>
        <w:jc w:val="both"/>
        <w:spacing w:after="0" w:line="262" w:lineRule="auto"/>
        <w:rPr>
          <w:sz w:val="20"/>
          <w:szCs w:val="20"/>
          <w:color w:val="auto"/>
        </w:rPr>
      </w:pPr>
      <w:r>
        <w:rPr>
          <w:rFonts w:ascii="Arial" w:cs="Arial" w:eastAsia="Arial" w:hAnsi="Arial"/>
          <w:sz w:val="18"/>
          <w:szCs w:val="18"/>
          <w:color w:val="auto"/>
        </w:rPr>
        <w:t>Our effective tax rate for the quarter ended February 25, 2017 of 27.2% differed from the federal statutory rate of 35% primarily due to the effects of state income taxes and various permanent differences including the favorable impacts of excess tax benefits on stock-based compensation of $327 and the Section 199: Domestic Production Activities Deduction.</w:t>
      </w:r>
    </w:p>
    <w:p>
      <w:pPr>
        <w:spacing w:after="0" w:line="1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 xml:space="preserve">Adoption of Accounting Standards Update </w:t>
      </w:r>
      <w:r>
        <w:rPr>
          <w:rFonts w:ascii="Arial" w:cs="Arial" w:eastAsia="Arial" w:hAnsi="Arial"/>
          <w:sz w:val="18"/>
          <w:szCs w:val="18"/>
          <w:b w:val="1"/>
          <w:bCs w:val="1"/>
          <w:color w:val="auto"/>
        </w:rPr>
        <w:t>No. 2018</w:t>
      </w:r>
      <w:r>
        <w:rPr>
          <w:rFonts w:ascii="Arial" w:cs="Arial" w:eastAsia="Arial" w:hAnsi="Arial"/>
          <w:sz w:val="18"/>
          <w:szCs w:val="18"/>
          <w:b w:val="1"/>
          <w:bCs w:val="1"/>
          <w:i w:val="1"/>
          <w:iCs w:val="1"/>
          <w:color w:val="auto"/>
        </w:rPr>
        <w:t>-</w:t>
      </w:r>
      <w:r>
        <w:rPr>
          <w:rFonts w:ascii="Arial" w:cs="Arial" w:eastAsia="Arial" w:hAnsi="Arial"/>
          <w:sz w:val="18"/>
          <w:szCs w:val="18"/>
          <w:b w:val="1"/>
          <w:bCs w:val="1"/>
          <w:color w:val="auto"/>
        </w:rPr>
        <w:t>02</w:t>
      </w:r>
    </w:p>
    <w:p>
      <w:pPr>
        <w:spacing w:after="0" w:line="228" w:lineRule="exact"/>
        <w:rPr>
          <w:sz w:val="20"/>
          <w:szCs w:val="20"/>
          <w:color w:val="auto"/>
        </w:rPr>
      </w:pPr>
    </w:p>
    <w:p>
      <w:pPr>
        <w:jc w:val="both"/>
        <w:spacing w:after="0" w:line="256" w:lineRule="auto"/>
        <w:rPr>
          <w:sz w:val="20"/>
          <w:szCs w:val="20"/>
          <w:color w:val="auto"/>
        </w:rPr>
      </w:pPr>
      <w:r>
        <w:rPr>
          <w:rFonts w:ascii="Arial" w:cs="Arial" w:eastAsia="Arial" w:hAnsi="Arial"/>
          <w:sz w:val="18"/>
          <w:szCs w:val="18"/>
          <w:color w:val="auto"/>
        </w:rPr>
        <w:t>The Act has also had a significant impact on the income tax effect of pension costs included in our accumulated other comprehensive loss at November 25, 2017 due to the reduction in Federal statutory rates. Therefore we have adopted Accounting Standards Update 2018-02 (see Note 13, Recent Accounting Pronouncements) effective as of the beginning of fiscal 2018 and have elected to reclassify the income tax effects of the Act from accumulated other comprehensive loss to retained earnings. Accordingly, during the quarter ended February 24, 2018 we reclassified $545 of tax benefits associated with pension costs from accumulated other comprehensive loss to retained earnings.</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82550</wp:posOffset>
            </wp:positionV>
            <wp:extent cx="7247255"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7255" cy="17145"/>
                    </a:xfrm>
                    <a:prstGeom prst="rect">
                      <a:avLst/>
                    </a:prstGeom>
                    <a:noFill/>
                  </pic:spPr>
                </pic:pic>
              </a:graphicData>
            </a:graphic>
          </wp:anchor>
        </w:drawing>
      </w:r>
    </w:p>
    <w:p>
      <w:pPr>
        <w:sectPr>
          <w:pgSz w:w="11900" w:h="16838" w:orient="portrait"/>
          <w:cols w:equalWidth="0" w:num="1">
            <w:col w:w="11420"/>
          </w:cols>
          <w:pgMar w:left="240" w:top="583" w:right="239" w:bottom="1440" w:gutter="0" w:footer="0" w:header="0"/>
        </w:sectPr>
      </w:pPr>
    </w:p>
    <w:bookmarkStart w:id="8" w:name="page9"/>
    <w:bookmarkEnd w:id="8"/>
    <w:p>
      <w:pPr>
        <w:jc w:val="center"/>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NOTES TO CONDENSED CONSOLIDATED FINANCIAL STATEMENTS-UNAUDITED</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FEBRUARY 24, 2018</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00" w:lineRule="exact"/>
        <w:rPr>
          <w:sz w:val="20"/>
          <w:szCs w:val="20"/>
          <w:color w:val="auto"/>
        </w:rPr>
      </w:pPr>
    </w:p>
    <w:p>
      <w:pPr>
        <w:spacing w:after="0" w:line="24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Business Combinations</w:t>
      </w:r>
    </w:p>
    <w:p>
      <w:pPr>
        <w:spacing w:after="0" w:line="22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Acquisition of Lane Venture</w:t>
      </w:r>
    </w:p>
    <w:p>
      <w:pPr>
        <w:spacing w:after="0" w:line="224" w:lineRule="exact"/>
        <w:rPr>
          <w:sz w:val="20"/>
          <w:szCs w:val="20"/>
          <w:color w:val="auto"/>
        </w:rPr>
      </w:pPr>
    </w:p>
    <w:p>
      <w:pPr>
        <w:spacing w:after="0"/>
        <w:rPr>
          <w:sz w:val="20"/>
          <w:szCs w:val="20"/>
          <w:color w:val="auto"/>
        </w:rPr>
      </w:pPr>
      <w:r>
        <w:rPr>
          <w:rFonts w:ascii="Arial" w:cs="Arial" w:eastAsia="Arial" w:hAnsi="Arial"/>
          <w:sz w:val="16"/>
          <w:szCs w:val="16"/>
          <w:color w:val="auto"/>
        </w:rPr>
        <w:t>On December 21, 2017, we purchased certain assets and assumed certain liabilities of Lane Venture from Heritage Home Group, LLC for $15,556 in cash.</w:t>
      </w:r>
    </w:p>
    <w:p>
      <w:pPr>
        <w:spacing w:after="0" w:line="46" w:lineRule="exact"/>
        <w:rPr>
          <w:sz w:val="20"/>
          <w:szCs w:val="20"/>
          <w:color w:val="auto"/>
        </w:rPr>
      </w:pPr>
    </w:p>
    <w:p>
      <w:pPr>
        <w:spacing w:after="0"/>
        <w:rPr>
          <w:sz w:val="20"/>
          <w:szCs w:val="20"/>
          <w:color w:val="auto"/>
        </w:rPr>
      </w:pPr>
      <w:r>
        <w:rPr>
          <w:rFonts w:ascii="Arial" w:cs="Arial" w:eastAsia="Arial" w:hAnsi="Arial"/>
          <w:sz w:val="17"/>
          <w:szCs w:val="17"/>
          <w:color w:val="auto"/>
        </w:rPr>
        <w:t>Lane Venture is a manufacturer and distributor of premium outdoor furniture, and is now being operated as a component of our wholesale segment.</w:t>
      </w:r>
    </w:p>
    <w:p>
      <w:pPr>
        <w:spacing w:after="0" w:line="221" w:lineRule="exact"/>
        <w:rPr>
          <w:sz w:val="20"/>
          <w:szCs w:val="20"/>
          <w:color w:val="auto"/>
        </w:rPr>
      </w:pPr>
    </w:p>
    <w:p>
      <w:pPr>
        <w:jc w:val="both"/>
        <w:spacing w:after="0" w:line="306" w:lineRule="auto"/>
        <w:rPr>
          <w:sz w:val="20"/>
          <w:szCs w:val="20"/>
          <w:color w:val="auto"/>
        </w:rPr>
      </w:pPr>
      <w:r>
        <w:rPr>
          <w:rFonts w:ascii="Arial" w:cs="Arial" w:eastAsia="Arial" w:hAnsi="Arial"/>
          <w:sz w:val="17"/>
          <w:szCs w:val="17"/>
          <w:color w:val="auto"/>
        </w:rPr>
        <w:t>Under the acquisition method of accounting, the fair value of the consideration transferred was allocated to the tangible and intangible assets acquired and the liabilities assumed based on their estimated fair values as of the acquisition date with the remaining unallocated amount recorded as goodwill.</w:t>
      </w:r>
    </w:p>
    <w:p>
      <w:pPr>
        <w:spacing w:after="0" w:line="148" w:lineRule="exact"/>
        <w:rPr>
          <w:sz w:val="20"/>
          <w:szCs w:val="20"/>
          <w:color w:val="auto"/>
        </w:rPr>
      </w:pPr>
    </w:p>
    <w:p>
      <w:pPr>
        <w:jc w:val="both"/>
        <w:spacing w:after="0" w:line="256" w:lineRule="auto"/>
        <w:rPr>
          <w:sz w:val="20"/>
          <w:szCs w:val="20"/>
          <w:color w:val="auto"/>
        </w:rPr>
      </w:pPr>
      <w:r>
        <w:rPr>
          <w:rFonts w:ascii="Arial" w:cs="Arial" w:eastAsia="Arial" w:hAnsi="Arial"/>
          <w:sz w:val="18"/>
          <w:szCs w:val="18"/>
          <w:color w:val="auto"/>
        </w:rPr>
        <w:t>The allocation of the fair value of the acquired business was based on a preliminary valuation. Our estimates and assumptions are subject to change as we obtain additional information for our estimates during the measurement period (up to one year from the acquisition date). The primary areas of the preliminary allocation of the fair value of consideration transferred that are not yet finalized relate to the fair values of certain tangible and intangible assets acquired and the residual goodwill. The preliminary allocation of the $15,556 all-cash purchase price to the acquired assets and liabilities of the Lane Venture business is as follows:</w:t>
      </w:r>
    </w:p>
    <w:p>
      <w:pPr>
        <w:spacing w:after="0" w:line="188" w:lineRule="exact"/>
        <w:rPr>
          <w:sz w:val="20"/>
          <w:szCs w:val="20"/>
          <w:color w:val="auto"/>
        </w:rPr>
      </w:pPr>
    </w:p>
    <w:tbl>
      <w:tblPr>
        <w:tblLayout w:type="fixed"/>
        <w:tblInd w:w="660" w:type="dxa"/>
        <w:tblCellMar>
          <w:top w:w="0" w:type="dxa"/>
          <w:left w:w="0" w:type="dxa"/>
          <w:bottom w:w="0" w:type="dxa"/>
          <w:right w:w="0" w:type="dxa"/>
        </w:tblCellMar>
      </w:tblPr>
      <w:tr>
        <w:trPr>
          <w:trHeight w:val="230"/>
        </w:trPr>
        <w:tc>
          <w:tcPr>
            <w:tcW w:w="8640" w:type="dxa"/>
            <w:vAlign w:val="bottom"/>
          </w:tcPr>
          <w:p>
            <w:pPr>
              <w:spacing w:after="0"/>
              <w:rPr>
                <w:sz w:val="20"/>
                <w:szCs w:val="20"/>
                <w:color w:val="auto"/>
              </w:rPr>
            </w:pPr>
            <w:r>
              <w:rPr>
                <w:rFonts w:ascii="Arial" w:cs="Arial" w:eastAsia="Arial" w:hAnsi="Arial"/>
                <w:sz w:val="18"/>
                <w:szCs w:val="18"/>
                <w:color w:val="auto"/>
              </w:rPr>
              <w:t>Allocation of the fair value of consideration transferred:</w:t>
            </w:r>
          </w:p>
        </w:tc>
        <w:tc>
          <w:tcPr>
            <w:tcW w:w="56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15"/>
        </w:trPr>
        <w:tc>
          <w:tcPr>
            <w:tcW w:w="8640" w:type="dxa"/>
            <w:vAlign w:val="bottom"/>
            <w:shd w:val="clear" w:color="auto" w:fill="CCEEFF"/>
          </w:tcPr>
          <w:p>
            <w:pPr>
              <w:spacing w:after="0"/>
              <w:rPr>
                <w:sz w:val="20"/>
                <w:szCs w:val="20"/>
                <w:color w:val="auto"/>
              </w:rPr>
            </w:pPr>
            <w:r>
              <w:rPr>
                <w:rFonts w:ascii="Arial" w:cs="Arial" w:eastAsia="Arial" w:hAnsi="Arial"/>
                <w:sz w:val="18"/>
                <w:szCs w:val="18"/>
                <w:color w:val="auto"/>
              </w:rPr>
              <w:t>Identifiable assets acquired:</w:t>
            </w:r>
          </w:p>
        </w:tc>
        <w:tc>
          <w:tcPr>
            <w:tcW w:w="56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5"/>
        </w:trPr>
        <w:tc>
          <w:tcPr>
            <w:tcW w:w="8640" w:type="dxa"/>
            <w:vAlign w:val="bottom"/>
          </w:tcPr>
          <w:p>
            <w:pPr>
              <w:ind w:left="160"/>
              <w:spacing w:after="0"/>
              <w:rPr>
                <w:sz w:val="20"/>
                <w:szCs w:val="20"/>
                <w:color w:val="auto"/>
              </w:rPr>
            </w:pPr>
            <w:r>
              <w:rPr>
                <w:rFonts w:ascii="Arial" w:cs="Arial" w:eastAsia="Arial" w:hAnsi="Arial"/>
                <w:sz w:val="18"/>
                <w:szCs w:val="18"/>
                <w:color w:val="auto"/>
              </w:rPr>
              <w:t>Accounts receivable, net of reserve (Note 5)</w:t>
            </w:r>
          </w:p>
        </w:tc>
        <w:tc>
          <w:tcPr>
            <w:tcW w:w="560" w:type="dxa"/>
            <w:vAlign w:val="bottom"/>
          </w:tcPr>
          <w:p>
            <w:pPr>
              <w:jc w:val="right"/>
              <w:ind w:right="407"/>
              <w:spacing w:after="0"/>
              <w:rPr>
                <w:sz w:val="20"/>
                <w:szCs w:val="20"/>
                <w:color w:val="auto"/>
              </w:rPr>
            </w:pPr>
            <w:r>
              <w:rPr>
                <w:rFonts w:ascii="Arial" w:cs="Arial" w:eastAsia="Arial" w:hAnsi="Arial"/>
                <w:sz w:val="15"/>
                <w:szCs w:val="15"/>
                <w:color w:val="auto"/>
                <w:w w:val="71"/>
              </w:rPr>
              <w:t>$</w:t>
            </w: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1,357</w:t>
            </w:r>
          </w:p>
        </w:tc>
      </w:tr>
      <w:tr>
        <w:trPr>
          <w:trHeight w:val="215"/>
        </w:trPr>
        <w:tc>
          <w:tcPr>
            <w:tcW w:w="8640" w:type="dxa"/>
            <w:vAlign w:val="bottom"/>
            <w:shd w:val="clear" w:color="auto" w:fill="CCEEFF"/>
          </w:tcPr>
          <w:p>
            <w:pPr>
              <w:ind w:left="160"/>
              <w:spacing w:after="0"/>
              <w:rPr>
                <w:sz w:val="20"/>
                <w:szCs w:val="20"/>
                <w:color w:val="auto"/>
              </w:rPr>
            </w:pPr>
            <w:r>
              <w:rPr>
                <w:rFonts w:ascii="Arial" w:cs="Arial" w:eastAsia="Arial" w:hAnsi="Arial"/>
                <w:sz w:val="18"/>
                <w:szCs w:val="18"/>
                <w:color w:val="auto"/>
              </w:rPr>
              <w:t>Inventory, net of reserve (Note 6)</w:t>
            </w:r>
          </w:p>
        </w:tc>
        <w:tc>
          <w:tcPr>
            <w:tcW w:w="56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3,753</w:t>
            </w:r>
          </w:p>
        </w:tc>
      </w:tr>
      <w:tr>
        <w:trPr>
          <w:trHeight w:val="215"/>
        </w:trPr>
        <w:tc>
          <w:tcPr>
            <w:tcW w:w="8640" w:type="dxa"/>
            <w:vAlign w:val="bottom"/>
          </w:tcPr>
          <w:p>
            <w:pPr>
              <w:ind w:left="160"/>
              <w:spacing w:after="0"/>
              <w:rPr>
                <w:sz w:val="20"/>
                <w:szCs w:val="20"/>
                <w:color w:val="auto"/>
              </w:rPr>
            </w:pPr>
            <w:r>
              <w:rPr>
                <w:rFonts w:ascii="Arial" w:cs="Arial" w:eastAsia="Arial" w:hAnsi="Arial"/>
                <w:sz w:val="18"/>
                <w:szCs w:val="18"/>
                <w:color w:val="auto"/>
              </w:rPr>
              <w:t>Prepaid expenses and other current assets</w:t>
            </w:r>
          </w:p>
        </w:tc>
        <w:tc>
          <w:tcPr>
            <w:tcW w:w="56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37</w:t>
            </w:r>
          </w:p>
        </w:tc>
      </w:tr>
      <w:tr>
        <w:trPr>
          <w:trHeight w:val="215"/>
        </w:trPr>
        <w:tc>
          <w:tcPr>
            <w:tcW w:w="8640" w:type="dxa"/>
            <w:vAlign w:val="bottom"/>
            <w:shd w:val="clear" w:color="auto" w:fill="CCEEFF"/>
          </w:tcPr>
          <w:p>
            <w:pPr>
              <w:ind w:left="160"/>
              <w:spacing w:after="0"/>
              <w:rPr>
                <w:sz w:val="20"/>
                <w:szCs w:val="20"/>
                <w:color w:val="auto"/>
              </w:rPr>
            </w:pPr>
            <w:r>
              <w:rPr>
                <w:rFonts w:ascii="Arial" w:cs="Arial" w:eastAsia="Arial" w:hAnsi="Arial"/>
                <w:sz w:val="18"/>
                <w:szCs w:val="18"/>
                <w:color w:val="auto"/>
              </w:rPr>
              <w:t>Intangible assets</w:t>
            </w:r>
          </w:p>
        </w:tc>
        <w:tc>
          <w:tcPr>
            <w:tcW w:w="56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7,360</w:t>
            </w:r>
          </w:p>
        </w:tc>
      </w:tr>
      <w:tr>
        <w:trPr>
          <w:trHeight w:val="20"/>
        </w:trPr>
        <w:tc>
          <w:tcPr>
            <w:tcW w:w="8640" w:type="dxa"/>
            <w:vAlign w:val="bottom"/>
            <w:shd w:val="clear" w:color="auto" w:fill="CCEEFF"/>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r>
      <w:tr>
        <w:trPr>
          <w:trHeight w:val="209"/>
        </w:trPr>
        <w:tc>
          <w:tcPr>
            <w:tcW w:w="8640" w:type="dxa"/>
            <w:vAlign w:val="bottom"/>
          </w:tcPr>
          <w:p>
            <w:pPr>
              <w:ind w:left="320"/>
              <w:spacing w:after="0"/>
              <w:rPr>
                <w:sz w:val="20"/>
                <w:szCs w:val="20"/>
                <w:color w:val="auto"/>
              </w:rPr>
            </w:pPr>
            <w:r>
              <w:rPr>
                <w:rFonts w:ascii="Arial" w:cs="Arial" w:eastAsia="Arial" w:hAnsi="Arial"/>
                <w:sz w:val="18"/>
                <w:szCs w:val="18"/>
                <w:color w:val="auto"/>
              </w:rPr>
              <w:t>Total identifiable assets acquired</w:t>
            </w:r>
          </w:p>
        </w:tc>
        <w:tc>
          <w:tcPr>
            <w:tcW w:w="56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12,507</w:t>
            </w:r>
          </w:p>
        </w:tc>
      </w:tr>
      <w:tr>
        <w:trPr>
          <w:trHeight w:val="215"/>
        </w:trPr>
        <w:tc>
          <w:tcPr>
            <w:tcW w:w="8640" w:type="dxa"/>
            <w:vAlign w:val="bottom"/>
            <w:shd w:val="clear" w:color="auto" w:fill="CCEEFF"/>
          </w:tcPr>
          <w:p>
            <w:pPr>
              <w:spacing w:after="0"/>
              <w:rPr>
                <w:sz w:val="20"/>
                <w:szCs w:val="20"/>
                <w:color w:val="auto"/>
              </w:rPr>
            </w:pPr>
            <w:r>
              <w:rPr>
                <w:rFonts w:ascii="Arial" w:cs="Arial" w:eastAsia="Arial" w:hAnsi="Arial"/>
                <w:sz w:val="18"/>
                <w:szCs w:val="18"/>
                <w:color w:val="auto"/>
              </w:rPr>
              <w:t>Liabilities assumed:</w:t>
            </w:r>
          </w:p>
        </w:tc>
        <w:tc>
          <w:tcPr>
            <w:tcW w:w="56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5"/>
        </w:trPr>
        <w:tc>
          <w:tcPr>
            <w:tcW w:w="8640" w:type="dxa"/>
            <w:vAlign w:val="bottom"/>
          </w:tcPr>
          <w:p>
            <w:pPr>
              <w:ind w:left="160"/>
              <w:spacing w:after="0"/>
              <w:rPr>
                <w:sz w:val="20"/>
                <w:szCs w:val="20"/>
                <w:color w:val="auto"/>
              </w:rPr>
            </w:pPr>
            <w:r>
              <w:rPr>
                <w:rFonts w:ascii="Arial" w:cs="Arial" w:eastAsia="Arial" w:hAnsi="Arial"/>
                <w:sz w:val="18"/>
                <w:szCs w:val="18"/>
                <w:color w:val="auto"/>
              </w:rPr>
              <w:t>Accounts payable</w:t>
            </w:r>
          </w:p>
        </w:tc>
        <w:tc>
          <w:tcPr>
            <w:tcW w:w="560" w:type="dxa"/>
            <w:vAlign w:val="bottom"/>
          </w:tcPr>
          <w:p>
            <w:pPr>
              <w:spacing w:after="0"/>
              <w:rPr>
                <w:sz w:val="18"/>
                <w:szCs w:val="18"/>
                <w:color w:val="auto"/>
              </w:rPr>
            </w:pPr>
          </w:p>
        </w:tc>
        <w:tc>
          <w:tcPr>
            <w:tcW w:w="1060" w:type="dxa"/>
            <w:vAlign w:val="bottom"/>
            <w:gridSpan w:val="2"/>
          </w:tcPr>
          <w:p>
            <w:pPr>
              <w:jc w:val="right"/>
              <w:ind w:right="40"/>
              <w:spacing w:after="0"/>
              <w:rPr>
                <w:sz w:val="20"/>
                <w:szCs w:val="20"/>
                <w:color w:val="auto"/>
              </w:rPr>
            </w:pPr>
            <w:r>
              <w:rPr>
                <w:rFonts w:ascii="Arial" w:cs="Arial" w:eastAsia="Arial" w:hAnsi="Arial"/>
                <w:sz w:val="18"/>
                <w:szCs w:val="18"/>
                <w:color w:val="auto"/>
              </w:rPr>
              <w:t>(357)</w:t>
            </w:r>
          </w:p>
        </w:tc>
      </w:tr>
      <w:tr>
        <w:trPr>
          <w:trHeight w:val="215"/>
        </w:trPr>
        <w:tc>
          <w:tcPr>
            <w:tcW w:w="8640" w:type="dxa"/>
            <w:vAlign w:val="bottom"/>
            <w:shd w:val="clear" w:color="auto" w:fill="CCEEFF"/>
          </w:tcPr>
          <w:p>
            <w:pPr>
              <w:ind w:left="160"/>
              <w:spacing w:after="0"/>
              <w:rPr>
                <w:sz w:val="20"/>
                <w:szCs w:val="20"/>
                <w:color w:val="auto"/>
              </w:rPr>
            </w:pPr>
            <w:r>
              <w:rPr>
                <w:rFonts w:ascii="Arial" w:cs="Arial" w:eastAsia="Arial" w:hAnsi="Arial"/>
                <w:sz w:val="18"/>
                <w:szCs w:val="18"/>
                <w:color w:val="auto"/>
              </w:rPr>
              <w:t>Other accrued liabilities</w:t>
            </w:r>
          </w:p>
        </w:tc>
        <w:tc>
          <w:tcPr>
            <w:tcW w:w="56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(813)</w:t>
            </w:r>
          </w:p>
        </w:tc>
      </w:tr>
      <w:tr>
        <w:trPr>
          <w:trHeight w:val="20"/>
        </w:trPr>
        <w:tc>
          <w:tcPr>
            <w:tcW w:w="8640" w:type="dxa"/>
            <w:vAlign w:val="bottom"/>
            <w:shd w:val="clear" w:color="auto" w:fill="CCEEFF"/>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r>
      <w:tr>
        <w:trPr>
          <w:trHeight w:val="209"/>
        </w:trPr>
        <w:tc>
          <w:tcPr>
            <w:tcW w:w="8640" w:type="dxa"/>
            <w:vAlign w:val="bottom"/>
          </w:tcPr>
          <w:p>
            <w:pPr>
              <w:ind w:left="320"/>
              <w:spacing w:after="0"/>
              <w:rPr>
                <w:sz w:val="20"/>
                <w:szCs w:val="20"/>
                <w:color w:val="auto"/>
              </w:rPr>
            </w:pPr>
            <w:r>
              <w:rPr>
                <w:rFonts w:ascii="Arial" w:cs="Arial" w:eastAsia="Arial" w:hAnsi="Arial"/>
                <w:sz w:val="18"/>
                <w:szCs w:val="18"/>
                <w:color w:val="auto"/>
              </w:rPr>
              <w:t>Total liabilities assumed</w:t>
            </w:r>
          </w:p>
        </w:tc>
        <w:tc>
          <w:tcPr>
            <w:tcW w:w="560" w:type="dxa"/>
            <w:vAlign w:val="bottom"/>
          </w:tcPr>
          <w:p>
            <w:pPr>
              <w:spacing w:after="0"/>
              <w:rPr>
                <w:sz w:val="18"/>
                <w:szCs w:val="18"/>
                <w:color w:val="auto"/>
              </w:rPr>
            </w:pPr>
          </w:p>
        </w:tc>
        <w:tc>
          <w:tcPr>
            <w:tcW w:w="1060" w:type="dxa"/>
            <w:vAlign w:val="bottom"/>
            <w:gridSpan w:val="2"/>
          </w:tcPr>
          <w:p>
            <w:pPr>
              <w:jc w:val="right"/>
              <w:ind w:right="40"/>
              <w:spacing w:after="0"/>
              <w:rPr>
                <w:sz w:val="20"/>
                <w:szCs w:val="20"/>
                <w:color w:val="auto"/>
              </w:rPr>
            </w:pPr>
            <w:r>
              <w:rPr>
                <w:rFonts w:ascii="Arial" w:cs="Arial" w:eastAsia="Arial" w:hAnsi="Arial"/>
                <w:sz w:val="18"/>
                <w:szCs w:val="18"/>
                <w:color w:val="auto"/>
              </w:rPr>
              <w:t>(1,170)</w:t>
            </w:r>
          </w:p>
        </w:tc>
      </w:tr>
      <w:tr>
        <w:trPr>
          <w:trHeight w:val="20"/>
        </w:trPr>
        <w:tc>
          <w:tcPr>
            <w:tcW w:w="8640" w:type="dxa"/>
            <w:vAlign w:val="bottom"/>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09"/>
        </w:trPr>
        <w:tc>
          <w:tcPr>
            <w:tcW w:w="8640" w:type="dxa"/>
            <w:vAlign w:val="bottom"/>
            <w:shd w:val="clear" w:color="auto" w:fill="CCEEFF"/>
          </w:tcPr>
          <w:p>
            <w:pPr>
              <w:ind w:left="320"/>
              <w:spacing w:after="0"/>
              <w:rPr>
                <w:sz w:val="20"/>
                <w:szCs w:val="20"/>
                <w:color w:val="auto"/>
              </w:rPr>
            </w:pPr>
            <w:r>
              <w:rPr>
                <w:rFonts w:ascii="Arial" w:cs="Arial" w:eastAsia="Arial" w:hAnsi="Arial"/>
                <w:sz w:val="18"/>
                <w:szCs w:val="18"/>
                <w:color w:val="auto"/>
              </w:rPr>
              <w:t>Net identifiable assets acquired</w:t>
            </w:r>
          </w:p>
        </w:tc>
        <w:tc>
          <w:tcPr>
            <w:tcW w:w="56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11,337</w:t>
            </w:r>
          </w:p>
        </w:tc>
      </w:tr>
      <w:tr>
        <w:trPr>
          <w:trHeight w:val="215"/>
        </w:trPr>
        <w:tc>
          <w:tcPr>
            <w:tcW w:w="8640" w:type="dxa"/>
            <w:vAlign w:val="bottom"/>
          </w:tcPr>
          <w:p>
            <w:pPr>
              <w:ind w:left="320"/>
              <w:spacing w:after="0"/>
              <w:rPr>
                <w:sz w:val="20"/>
                <w:szCs w:val="20"/>
                <w:color w:val="auto"/>
              </w:rPr>
            </w:pPr>
            <w:r>
              <w:rPr>
                <w:rFonts w:ascii="Arial" w:cs="Arial" w:eastAsia="Arial" w:hAnsi="Arial"/>
                <w:sz w:val="18"/>
                <w:szCs w:val="18"/>
                <w:color w:val="auto"/>
              </w:rPr>
              <w:t>Goodwill</w:t>
            </w:r>
          </w:p>
        </w:tc>
        <w:tc>
          <w:tcPr>
            <w:tcW w:w="56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4,219</w:t>
            </w:r>
          </w:p>
        </w:tc>
      </w:tr>
      <w:tr>
        <w:trPr>
          <w:trHeight w:val="20"/>
        </w:trPr>
        <w:tc>
          <w:tcPr>
            <w:tcW w:w="8640" w:type="dxa"/>
            <w:vAlign w:val="bottom"/>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29"/>
        </w:trPr>
        <w:tc>
          <w:tcPr>
            <w:tcW w:w="8640" w:type="dxa"/>
            <w:vAlign w:val="bottom"/>
            <w:shd w:val="clear" w:color="auto" w:fill="CCEEFF"/>
          </w:tcPr>
          <w:p>
            <w:pPr>
              <w:ind w:left="480"/>
              <w:spacing w:after="0"/>
              <w:rPr>
                <w:sz w:val="20"/>
                <w:szCs w:val="20"/>
                <w:color w:val="auto"/>
              </w:rPr>
            </w:pPr>
            <w:r>
              <w:rPr>
                <w:rFonts w:ascii="Arial" w:cs="Arial" w:eastAsia="Arial" w:hAnsi="Arial"/>
                <w:sz w:val="18"/>
                <w:szCs w:val="18"/>
                <w:color w:val="auto"/>
              </w:rPr>
              <w:t>Total net assets acquired</w:t>
            </w:r>
          </w:p>
        </w:tc>
        <w:tc>
          <w:tcPr>
            <w:tcW w:w="560" w:type="dxa"/>
            <w:vAlign w:val="bottom"/>
            <w:shd w:val="clear" w:color="auto" w:fill="CCEEFF"/>
          </w:tcPr>
          <w:p>
            <w:pPr>
              <w:jc w:val="right"/>
              <w:ind w:right="407"/>
              <w:spacing w:after="0"/>
              <w:rPr>
                <w:sz w:val="20"/>
                <w:szCs w:val="20"/>
                <w:color w:val="auto"/>
              </w:rPr>
            </w:pPr>
            <w:r>
              <w:rPr>
                <w:rFonts w:ascii="Arial" w:cs="Arial" w:eastAsia="Arial" w:hAnsi="Arial"/>
                <w:sz w:val="15"/>
                <w:szCs w:val="15"/>
                <w:color w:val="auto"/>
                <w:w w:val="71"/>
              </w:rPr>
              <w:t>$</w:t>
            </w: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15,556</w:t>
            </w:r>
          </w:p>
        </w:tc>
      </w:tr>
      <w:tr>
        <w:trPr>
          <w:trHeight w:val="20"/>
        </w:trPr>
        <w:tc>
          <w:tcPr>
            <w:tcW w:w="8640" w:type="dxa"/>
            <w:vAlign w:val="bottom"/>
            <w:tcBorders>
              <w:top w:val="single" w:sz="8" w:color="CCEEFF"/>
            </w:tcBorders>
            <w:shd w:val="clear" w:color="auto" w:fill="CCEEFF"/>
          </w:tcPr>
          <w:p>
            <w:pPr>
              <w:spacing w:after="0" w:line="20" w:lineRule="exact"/>
              <w:rPr>
                <w:sz w:val="1"/>
                <w:szCs w:val="1"/>
                <w:color w:val="auto"/>
              </w:rPr>
            </w:pPr>
          </w:p>
        </w:tc>
        <w:tc>
          <w:tcPr>
            <w:tcW w:w="560" w:type="dxa"/>
            <w:vAlign w:val="bottom"/>
            <w:tcBorders>
              <w:top w:val="single" w:sz="8" w:color="auto"/>
            </w:tcBorders>
            <w:shd w:val="clear" w:color="auto" w:fill="000000"/>
          </w:tcPr>
          <w:p>
            <w:pPr>
              <w:spacing w:after="0" w:line="20" w:lineRule="exact"/>
              <w:rPr>
                <w:sz w:val="1"/>
                <w:szCs w:val="1"/>
                <w:color w:val="auto"/>
              </w:rPr>
            </w:pPr>
          </w:p>
        </w:tc>
        <w:tc>
          <w:tcPr>
            <w:tcW w:w="96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r>
    </w:tbl>
    <w:p>
      <w:pPr>
        <w:spacing w:after="0" w:line="201" w:lineRule="exact"/>
        <w:rPr>
          <w:sz w:val="20"/>
          <w:szCs w:val="20"/>
          <w:color w:val="auto"/>
        </w:rPr>
      </w:pPr>
    </w:p>
    <w:p>
      <w:pPr>
        <w:jc w:val="both"/>
        <w:spacing w:after="0" w:line="278" w:lineRule="auto"/>
        <w:rPr>
          <w:sz w:val="20"/>
          <w:szCs w:val="20"/>
          <w:color w:val="auto"/>
        </w:rPr>
      </w:pPr>
      <w:r>
        <w:rPr>
          <w:rFonts w:ascii="Arial" w:cs="Arial" w:eastAsia="Arial" w:hAnsi="Arial"/>
          <w:sz w:val="17"/>
          <w:szCs w:val="17"/>
          <w:color w:val="auto"/>
        </w:rPr>
        <w:t>Goodwill was determined based on the residual difference between the fair value of the consideration transferred and the value assigned to the tangible and intangible assets and liabilities recognized in connection with the acquisition and is deductible for tax purposes. Among the factors that contributed to a purchase price resulting in the recognition of goodwill are the expected synergies arising from combining the Company’s manufacturing and distribution capabilities with Lane Venture’s position in the outdoor furnishings market, a segment of the market not previously served by Bassett.</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A portion of the fair value of the consideration transferred has been provisionally assigned to identifiable intangible assets as follows:</w:t>
      </w:r>
    </w:p>
    <w:p>
      <w:pPr>
        <w:spacing w:after="0" w:line="220" w:lineRule="exact"/>
        <w:rPr>
          <w:sz w:val="20"/>
          <w:szCs w:val="20"/>
          <w:color w:val="auto"/>
        </w:rPr>
      </w:pPr>
    </w:p>
    <w:tbl>
      <w:tblPr>
        <w:tblLayout w:type="fixed"/>
        <w:tblInd w:w="0" w:type="dxa"/>
        <w:tblCellMar>
          <w:top w:w="0" w:type="dxa"/>
          <w:left w:w="0" w:type="dxa"/>
          <w:bottom w:w="0" w:type="dxa"/>
          <w:right w:w="0" w:type="dxa"/>
        </w:tblCellMar>
      </w:tblPr>
      <w:tr>
        <w:trPr>
          <w:trHeight w:val="215"/>
        </w:trPr>
        <w:tc>
          <w:tcPr>
            <w:tcW w:w="798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b w:val="1"/>
                <w:bCs w:val="1"/>
                <w:color w:val="auto"/>
                <w:w w:val="91"/>
              </w:rPr>
              <w:t>Useful Life</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20" w:type="dxa"/>
            <w:vAlign w:val="bottom"/>
          </w:tcPr>
          <w:p>
            <w:pPr>
              <w:spacing w:after="0"/>
              <w:rPr>
                <w:sz w:val="18"/>
                <w:szCs w:val="18"/>
                <w:color w:val="auto"/>
              </w:rPr>
            </w:pPr>
          </w:p>
        </w:tc>
      </w:tr>
      <w:tr>
        <w:trPr>
          <w:trHeight w:val="234"/>
        </w:trPr>
        <w:tc>
          <w:tcPr>
            <w:tcW w:w="7980" w:type="dxa"/>
            <w:vAlign w:val="bottom"/>
          </w:tcPr>
          <w:p>
            <w:pPr>
              <w:spacing w:after="0"/>
              <w:rPr>
                <w:sz w:val="20"/>
                <w:szCs w:val="20"/>
                <w:color w:val="auto"/>
              </w:rPr>
            </w:pPr>
            <w:r>
              <w:rPr>
                <w:rFonts w:ascii="Arial" w:cs="Arial" w:eastAsia="Arial" w:hAnsi="Arial"/>
                <w:sz w:val="18"/>
                <w:szCs w:val="18"/>
                <w:b w:val="1"/>
                <w:bCs w:val="1"/>
                <w:color w:val="auto"/>
              </w:rPr>
              <w:t>Description:</w:t>
            </w:r>
          </w:p>
        </w:tc>
        <w:tc>
          <w:tcPr>
            <w:tcW w:w="1540" w:type="dxa"/>
            <w:vAlign w:val="bottom"/>
          </w:tcPr>
          <w:p>
            <w:pPr>
              <w:jc w:val="center"/>
              <w:spacing w:after="0"/>
              <w:rPr>
                <w:sz w:val="20"/>
                <w:szCs w:val="20"/>
                <w:color w:val="auto"/>
              </w:rPr>
            </w:pPr>
            <w:r>
              <w:rPr>
                <w:rFonts w:ascii="Arial" w:cs="Arial" w:eastAsia="Arial" w:hAnsi="Arial"/>
                <w:sz w:val="18"/>
                <w:szCs w:val="18"/>
                <w:b w:val="1"/>
                <w:bCs w:val="1"/>
                <w:color w:val="auto"/>
                <w:w w:val="94"/>
              </w:rPr>
              <w:t>In Years</w:t>
            </w:r>
          </w:p>
        </w:tc>
        <w:tc>
          <w:tcPr>
            <w:tcW w:w="2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440" w:type="dxa"/>
            <w:vAlign w:val="bottom"/>
            <w:gridSpan w:val="2"/>
          </w:tcPr>
          <w:p>
            <w:pPr>
              <w:ind w:left="140"/>
              <w:spacing w:after="0"/>
              <w:rPr>
                <w:sz w:val="20"/>
                <w:szCs w:val="20"/>
                <w:color w:val="auto"/>
              </w:rPr>
            </w:pPr>
            <w:r>
              <w:rPr>
                <w:rFonts w:ascii="Arial" w:cs="Arial" w:eastAsia="Arial" w:hAnsi="Arial"/>
                <w:sz w:val="18"/>
                <w:szCs w:val="18"/>
                <w:b w:val="1"/>
                <w:bCs w:val="1"/>
                <w:color w:val="auto"/>
              </w:rPr>
              <w:t>Fair Value</w:t>
            </w:r>
          </w:p>
        </w:tc>
      </w:tr>
      <w:tr>
        <w:trPr>
          <w:trHeight w:val="209"/>
        </w:trPr>
        <w:tc>
          <w:tcPr>
            <w:tcW w:w="7980" w:type="dxa"/>
            <w:vAlign w:val="bottom"/>
          </w:tcPr>
          <w:p>
            <w:pPr>
              <w:spacing w:after="0"/>
              <w:rPr>
                <w:sz w:val="18"/>
                <w:szCs w:val="18"/>
                <w:color w:val="auto"/>
              </w:rPr>
            </w:pPr>
          </w:p>
        </w:tc>
        <w:tc>
          <w:tcPr>
            <w:tcW w:w="154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132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r>
      <w:tr>
        <w:trPr>
          <w:trHeight w:val="215"/>
        </w:trPr>
        <w:tc>
          <w:tcPr>
            <w:tcW w:w="79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Trade name</w:t>
            </w:r>
          </w:p>
        </w:tc>
        <w:tc>
          <w:tcPr>
            <w:tcW w:w="1540" w:type="dxa"/>
            <w:vAlign w:val="bottom"/>
            <w:shd w:val="clear" w:color="auto" w:fill="CCEEFF"/>
          </w:tcPr>
          <w:p>
            <w:pPr>
              <w:jc w:val="center"/>
              <w:ind w:left="30"/>
              <w:spacing w:after="0"/>
              <w:rPr>
                <w:sz w:val="20"/>
                <w:szCs w:val="20"/>
                <w:color w:val="auto"/>
              </w:rPr>
            </w:pPr>
            <w:r>
              <w:rPr>
                <w:rFonts w:ascii="Arial" w:cs="Arial" w:eastAsia="Arial" w:hAnsi="Arial"/>
                <w:sz w:val="18"/>
                <w:szCs w:val="18"/>
                <w:color w:val="auto"/>
                <w:w w:val="95"/>
              </w:rPr>
              <w:t>Indefinite</w:t>
            </w:r>
          </w:p>
        </w:tc>
        <w:tc>
          <w:tcPr>
            <w:tcW w:w="4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6,848</w:t>
            </w:r>
          </w:p>
        </w:tc>
        <w:tc>
          <w:tcPr>
            <w:tcW w:w="120" w:type="dxa"/>
            <w:vAlign w:val="bottom"/>
            <w:shd w:val="clear" w:color="auto" w:fill="CCEEFF"/>
          </w:tcPr>
          <w:p>
            <w:pPr>
              <w:spacing w:after="0"/>
              <w:rPr>
                <w:sz w:val="18"/>
                <w:szCs w:val="18"/>
                <w:color w:val="auto"/>
              </w:rPr>
            </w:pPr>
          </w:p>
        </w:tc>
      </w:tr>
      <w:tr>
        <w:trPr>
          <w:trHeight w:val="215"/>
        </w:trPr>
        <w:tc>
          <w:tcPr>
            <w:tcW w:w="7980" w:type="dxa"/>
            <w:vAlign w:val="bottom"/>
          </w:tcPr>
          <w:p>
            <w:pPr>
              <w:ind w:left="160"/>
              <w:spacing w:after="0"/>
              <w:rPr>
                <w:sz w:val="20"/>
                <w:szCs w:val="20"/>
                <w:color w:val="auto"/>
              </w:rPr>
            </w:pPr>
            <w:r>
              <w:rPr>
                <w:rFonts w:ascii="Arial" w:cs="Arial" w:eastAsia="Arial" w:hAnsi="Arial"/>
                <w:sz w:val="18"/>
                <w:szCs w:val="18"/>
                <w:color w:val="auto"/>
              </w:rPr>
              <w:t>Customer relationships</w:t>
            </w:r>
          </w:p>
        </w:tc>
        <w:tc>
          <w:tcPr>
            <w:tcW w:w="1540" w:type="dxa"/>
            <w:vAlign w:val="bottom"/>
          </w:tcPr>
          <w:p>
            <w:pPr>
              <w:jc w:val="right"/>
              <w:ind w:right="590"/>
              <w:spacing w:after="0"/>
              <w:rPr>
                <w:sz w:val="20"/>
                <w:szCs w:val="20"/>
                <w:color w:val="auto"/>
              </w:rPr>
            </w:pPr>
            <w:r>
              <w:rPr>
                <w:rFonts w:ascii="Arial" w:cs="Arial" w:eastAsia="Arial" w:hAnsi="Arial"/>
                <w:sz w:val="18"/>
                <w:szCs w:val="18"/>
                <w:color w:val="auto"/>
              </w:rPr>
              <w:t>9</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40" w:type="dxa"/>
            <w:vAlign w:val="bottom"/>
            <w:gridSpan w:val="2"/>
          </w:tcPr>
          <w:p>
            <w:pPr>
              <w:jc w:val="right"/>
              <w:ind w:right="120"/>
              <w:spacing w:after="0"/>
              <w:rPr>
                <w:sz w:val="20"/>
                <w:szCs w:val="20"/>
                <w:color w:val="auto"/>
              </w:rPr>
            </w:pPr>
            <w:r>
              <w:rPr>
                <w:rFonts w:ascii="Arial" w:cs="Arial" w:eastAsia="Arial" w:hAnsi="Arial"/>
                <w:sz w:val="18"/>
                <w:szCs w:val="18"/>
                <w:color w:val="auto"/>
              </w:rPr>
              <w:t>512</w:t>
            </w:r>
          </w:p>
        </w:tc>
      </w:tr>
      <w:tr>
        <w:trPr>
          <w:trHeight w:val="209"/>
        </w:trPr>
        <w:tc>
          <w:tcPr>
            <w:tcW w:w="7980" w:type="dxa"/>
            <w:vAlign w:val="bottom"/>
            <w:shd w:val="clear" w:color="auto" w:fill="CCEEFF"/>
          </w:tcPr>
          <w:p>
            <w:pPr>
              <w:spacing w:after="0"/>
              <w:rPr>
                <w:sz w:val="18"/>
                <w:szCs w:val="18"/>
                <w:color w:val="auto"/>
              </w:rPr>
            </w:pPr>
          </w:p>
        </w:tc>
        <w:tc>
          <w:tcPr>
            <w:tcW w:w="15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1320" w:type="dxa"/>
            <w:vAlign w:val="bottom"/>
            <w:tcBorders>
              <w:top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r>
      <w:tr>
        <w:trPr>
          <w:trHeight w:val="215"/>
        </w:trPr>
        <w:tc>
          <w:tcPr>
            <w:tcW w:w="7980" w:type="dxa"/>
            <w:vAlign w:val="bottom"/>
          </w:tcPr>
          <w:p>
            <w:pPr>
              <w:ind w:left="160"/>
              <w:spacing w:after="0"/>
              <w:rPr>
                <w:sz w:val="20"/>
                <w:szCs w:val="20"/>
                <w:color w:val="auto"/>
              </w:rPr>
            </w:pPr>
            <w:r>
              <w:rPr>
                <w:rFonts w:ascii="Arial" w:cs="Arial" w:eastAsia="Arial" w:hAnsi="Arial"/>
                <w:sz w:val="18"/>
                <w:szCs w:val="18"/>
                <w:color w:val="auto"/>
              </w:rPr>
              <w:t>Total acquired intangible assets</w:t>
            </w:r>
          </w:p>
        </w:tc>
        <w:tc>
          <w:tcPr>
            <w:tcW w:w="1540" w:type="dxa"/>
            <w:vAlign w:val="bottom"/>
          </w:tcPr>
          <w:p>
            <w:pPr>
              <w:spacing w:after="0"/>
              <w:rPr>
                <w:sz w:val="18"/>
                <w:szCs w:val="18"/>
                <w:color w:val="auto"/>
              </w:rPr>
            </w:pPr>
          </w:p>
        </w:tc>
        <w:tc>
          <w:tcPr>
            <w:tcW w:w="4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320" w:type="dxa"/>
            <w:vAlign w:val="bottom"/>
          </w:tcPr>
          <w:p>
            <w:pPr>
              <w:jc w:val="right"/>
              <w:spacing w:after="0"/>
              <w:rPr>
                <w:sz w:val="20"/>
                <w:szCs w:val="20"/>
                <w:color w:val="auto"/>
              </w:rPr>
            </w:pPr>
            <w:r>
              <w:rPr>
                <w:rFonts w:ascii="Arial" w:cs="Arial" w:eastAsia="Arial" w:hAnsi="Arial"/>
                <w:sz w:val="18"/>
                <w:szCs w:val="18"/>
                <w:color w:val="auto"/>
              </w:rPr>
              <w:t>7,360</w:t>
            </w:r>
          </w:p>
        </w:tc>
        <w:tc>
          <w:tcPr>
            <w:tcW w:w="120" w:type="dxa"/>
            <w:vAlign w:val="bottom"/>
          </w:tcPr>
          <w:p>
            <w:pPr>
              <w:spacing w:after="0"/>
              <w:rPr>
                <w:sz w:val="18"/>
                <w:szCs w:val="18"/>
                <w:color w:val="auto"/>
              </w:rPr>
            </w:pPr>
          </w:p>
        </w:tc>
      </w:tr>
      <w:tr>
        <w:trPr>
          <w:trHeight w:val="20"/>
        </w:trPr>
        <w:tc>
          <w:tcPr>
            <w:tcW w:w="7980" w:type="dxa"/>
            <w:vAlign w:val="bottom"/>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201" w:lineRule="exact"/>
        <w:rPr>
          <w:sz w:val="20"/>
          <w:szCs w:val="20"/>
          <w:color w:val="auto"/>
        </w:rPr>
      </w:pPr>
    </w:p>
    <w:p>
      <w:pPr>
        <w:jc w:val="both"/>
        <w:spacing w:after="0" w:line="276" w:lineRule="auto"/>
        <w:rPr>
          <w:sz w:val="20"/>
          <w:szCs w:val="20"/>
          <w:color w:val="auto"/>
        </w:rPr>
      </w:pPr>
      <w:r>
        <w:rPr>
          <w:rFonts w:ascii="Arial" w:cs="Arial" w:eastAsia="Arial" w:hAnsi="Arial"/>
          <w:sz w:val="18"/>
          <w:szCs w:val="18"/>
          <w:color w:val="auto"/>
        </w:rPr>
        <w:t>The finite-lived intangible asset is being amortized on a straight-line basis over its estimated useful life. The indefinite-lived intangible asset and goodwill are not amortized but will be tested for impairment annually or between annual tests if an indicator of impairment exists.</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82550</wp:posOffset>
            </wp:positionV>
            <wp:extent cx="7247255" cy="171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7255" cy="17145"/>
                    </a:xfrm>
                    <a:prstGeom prst="rect">
                      <a:avLst/>
                    </a:prstGeom>
                    <a:noFill/>
                  </pic:spPr>
                </pic:pic>
              </a:graphicData>
            </a:graphic>
          </wp:anchor>
        </w:drawing>
      </w:r>
    </w:p>
    <w:p>
      <w:pPr>
        <w:sectPr>
          <w:pgSz w:w="11900" w:h="16838" w:orient="portrait"/>
          <w:cols w:equalWidth="0" w:num="1">
            <w:col w:w="11420"/>
          </w:cols>
          <w:pgMar w:left="240" w:top="583" w:right="239" w:bottom="1440" w:gutter="0" w:footer="0" w:header="0"/>
        </w:sectPr>
      </w:pPr>
    </w:p>
    <w:bookmarkStart w:id="9" w:name="page10"/>
    <w:bookmarkEnd w:id="9"/>
    <w:p>
      <w:pPr>
        <w:jc w:val="center"/>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NOTES TO CONDENSED CONSOLIDATED FINANCIAL STATEMENTS-UNAUDITED</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FEBRUARY 24, 2018</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09" w:lineRule="exact"/>
        <w:rPr>
          <w:sz w:val="20"/>
          <w:szCs w:val="20"/>
          <w:color w:val="auto"/>
        </w:rPr>
      </w:pPr>
    </w:p>
    <w:p>
      <w:pPr>
        <w:jc w:val="both"/>
        <w:spacing w:after="0" w:line="276" w:lineRule="auto"/>
        <w:rPr>
          <w:sz w:val="20"/>
          <w:szCs w:val="20"/>
          <w:color w:val="auto"/>
        </w:rPr>
      </w:pPr>
      <w:r>
        <w:rPr>
          <w:rFonts w:ascii="Arial" w:cs="Arial" w:eastAsia="Arial" w:hAnsi="Arial"/>
          <w:sz w:val="18"/>
          <w:szCs w:val="18"/>
          <w:color w:val="auto"/>
        </w:rPr>
        <w:t xml:space="preserve">The fair values of consideration transferred and net assets acquired were determined using a combination of Level 2 and Level 3 inputs as specified in the fair value hierarchy in ASC 820, </w:t>
      </w:r>
      <w:r>
        <w:rPr>
          <w:rFonts w:ascii="Arial" w:cs="Arial" w:eastAsia="Arial" w:hAnsi="Arial"/>
          <w:sz w:val="18"/>
          <w:szCs w:val="18"/>
          <w:i w:val="1"/>
          <w:iCs w:val="1"/>
          <w:color w:val="auto"/>
        </w:rPr>
        <w:t>Fair Value Measurements and Disclosures</w:t>
      </w:r>
      <w:r>
        <w:rPr>
          <w:rFonts w:ascii="Arial" w:cs="Arial" w:eastAsia="Arial" w:hAnsi="Arial"/>
          <w:sz w:val="18"/>
          <w:szCs w:val="18"/>
          <w:color w:val="auto"/>
        </w:rPr>
        <w:t>. See Note 4.</w:t>
      </w:r>
    </w:p>
    <w:p>
      <w:pPr>
        <w:spacing w:after="0" w:line="170" w:lineRule="exact"/>
        <w:rPr>
          <w:sz w:val="20"/>
          <w:szCs w:val="20"/>
          <w:color w:val="auto"/>
        </w:rPr>
      </w:pPr>
    </w:p>
    <w:p>
      <w:pPr>
        <w:jc w:val="both"/>
        <w:spacing w:after="0" w:line="310" w:lineRule="auto"/>
        <w:rPr>
          <w:sz w:val="20"/>
          <w:szCs w:val="20"/>
          <w:color w:val="auto"/>
        </w:rPr>
      </w:pPr>
      <w:r>
        <w:rPr>
          <w:rFonts w:ascii="Arial" w:cs="Arial" w:eastAsia="Arial" w:hAnsi="Arial"/>
          <w:sz w:val="16"/>
          <w:szCs w:val="16"/>
          <w:color w:val="auto"/>
        </w:rPr>
        <w:t>Acquisition costs related to the Lane Venture acquisition totaled $228 during the quarter ended February 24, 2018 and are included in selling, general and administrative expenses in the condensed consolidated statements of operations. Approximately $60 of additional acquisition costs related to Lane Venture are expected to be incurred during the remainder of fiscal 2018. The acquisition costs are primarily related to legal, accounting and valuation services.</w:t>
      </w:r>
    </w:p>
    <w:p>
      <w:pPr>
        <w:spacing w:after="0" w:line="148" w:lineRule="exact"/>
        <w:rPr>
          <w:sz w:val="20"/>
          <w:szCs w:val="20"/>
          <w:color w:val="auto"/>
        </w:rPr>
      </w:pPr>
    </w:p>
    <w:p>
      <w:pPr>
        <w:jc w:val="both"/>
        <w:spacing w:after="0" w:line="258" w:lineRule="auto"/>
        <w:rPr>
          <w:sz w:val="20"/>
          <w:szCs w:val="20"/>
          <w:color w:val="auto"/>
        </w:rPr>
      </w:pPr>
      <w:r>
        <w:rPr>
          <w:rFonts w:ascii="Arial" w:cs="Arial" w:eastAsia="Arial" w:hAnsi="Arial"/>
          <w:sz w:val="18"/>
          <w:szCs w:val="18"/>
          <w:color w:val="auto"/>
        </w:rPr>
        <w:t>The revenue of Lane Venture since December 21, 2017 that is included in our condensed consolidated statement of operations for the quarter ended February 24, 2018 was not material. Loss from operations for Lane Venture from the date of acquisition through February 24, 2018 is $426, or approximately $0.03 per share net of income tax benefit, and includes the acquisition costs noted above. The pro forma results of operations for the acquisition of Lane Venture have not been presented because they are not material to our consolidated results of operations.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Retail Store Acquisition</w:t>
      </w:r>
    </w:p>
    <w:p>
      <w:pPr>
        <w:spacing w:after="0" w:line="224" w:lineRule="exact"/>
        <w:rPr>
          <w:sz w:val="20"/>
          <w:szCs w:val="20"/>
          <w:color w:val="auto"/>
        </w:rPr>
      </w:pPr>
    </w:p>
    <w:p>
      <w:pPr>
        <w:jc w:val="both"/>
        <w:spacing w:after="0" w:line="285" w:lineRule="auto"/>
        <w:rPr>
          <w:sz w:val="20"/>
          <w:szCs w:val="20"/>
          <w:color w:val="auto"/>
        </w:rPr>
      </w:pPr>
      <w:r>
        <w:rPr>
          <w:rFonts w:ascii="Arial" w:cs="Arial" w:eastAsia="Arial" w:hAnsi="Arial"/>
          <w:sz w:val="17"/>
          <w:szCs w:val="17"/>
          <w:color w:val="auto"/>
        </w:rPr>
        <w:t>During the quarter ended February 25, 2017, we acquired the operations of the Bassett Home Furnishings (“BHF”) store located in Columbus, Ohio for a purchase price of $655. The store had been owned and operated by a licensee that had determined that continued ownership of a BHF store was no longer consistent with its future business objectives. We believe that Columbus, Ohio represents a viable market for a BHF store.</w:t>
      </w:r>
    </w:p>
    <w:p>
      <w:pPr>
        <w:spacing w:after="0" w:line="16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140" w:type="dxa"/>
            <w:vAlign w:val="bottom"/>
            <w:gridSpan w:val="2"/>
          </w:tcPr>
          <w:p>
            <w:pPr>
              <w:spacing w:after="0"/>
              <w:rPr>
                <w:sz w:val="20"/>
                <w:szCs w:val="20"/>
                <w:color w:val="auto"/>
              </w:rPr>
            </w:pPr>
            <w:r>
              <w:rPr>
                <w:rFonts w:ascii="Arial" w:cs="Arial" w:eastAsia="Arial" w:hAnsi="Arial"/>
                <w:sz w:val="18"/>
                <w:szCs w:val="18"/>
                <w:color w:val="auto"/>
              </w:rPr>
              <w:t>The purchase price was allocated as follows:</w:t>
            </w:r>
          </w:p>
        </w:tc>
        <w:tc>
          <w:tcPr>
            <w:tcW w:w="70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5"/>
        </w:trPr>
        <w:tc>
          <w:tcPr>
            <w:tcW w:w="660" w:type="dxa"/>
            <w:vAlign w:val="bottom"/>
            <w:vMerge w:val="restart"/>
          </w:tcPr>
          <w:p>
            <w:pPr>
              <w:spacing w:after="0"/>
              <w:rPr>
                <w:sz w:val="18"/>
                <w:szCs w:val="18"/>
                <w:color w:val="auto"/>
              </w:rPr>
            </w:pPr>
          </w:p>
        </w:tc>
        <w:tc>
          <w:tcPr>
            <w:tcW w:w="74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660" w:type="dxa"/>
            <w:vAlign w:val="bottom"/>
            <w:vMerge w:val="continue"/>
          </w:tcPr>
          <w:p>
            <w:pPr>
              <w:spacing w:after="0"/>
              <w:rPr>
                <w:sz w:val="18"/>
                <w:szCs w:val="18"/>
                <w:color w:val="auto"/>
              </w:rPr>
            </w:pPr>
          </w:p>
        </w:tc>
        <w:tc>
          <w:tcPr>
            <w:tcW w:w="7480" w:type="dxa"/>
            <w:vAlign w:val="bottom"/>
            <w:shd w:val="clear" w:color="auto" w:fill="CCEEFF"/>
          </w:tcPr>
          <w:p>
            <w:pPr>
              <w:spacing w:after="0"/>
              <w:rPr>
                <w:sz w:val="20"/>
                <w:szCs w:val="20"/>
                <w:color w:val="auto"/>
              </w:rPr>
            </w:pPr>
            <w:r>
              <w:rPr>
                <w:rFonts w:ascii="Arial" w:cs="Arial" w:eastAsia="Arial" w:hAnsi="Arial"/>
                <w:sz w:val="18"/>
                <w:szCs w:val="18"/>
                <w:color w:val="auto"/>
              </w:rPr>
              <w:t>Inventory</w:t>
            </w:r>
          </w:p>
        </w:tc>
        <w:tc>
          <w:tcPr>
            <w:tcW w:w="700" w:type="dxa"/>
            <w:vAlign w:val="bottom"/>
            <w:shd w:val="clear" w:color="auto" w:fill="CCEEFF"/>
          </w:tcPr>
          <w:p>
            <w:pPr>
              <w:jc w:val="right"/>
              <w:ind w:right="510"/>
              <w:spacing w:after="0"/>
              <w:rPr>
                <w:sz w:val="20"/>
                <w:szCs w:val="20"/>
                <w:color w:val="auto"/>
              </w:rPr>
            </w:pPr>
            <w:r>
              <w:rPr>
                <w:rFonts w:ascii="Arial" w:cs="Arial" w:eastAsia="Arial" w:hAnsi="Arial"/>
                <w:sz w:val="18"/>
                <w:szCs w:val="18"/>
                <w:color w:val="auto"/>
                <w:w w:val="79"/>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343</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660" w:type="dxa"/>
            <w:vAlign w:val="bottom"/>
          </w:tcPr>
          <w:p>
            <w:pPr>
              <w:spacing w:after="0"/>
              <w:rPr>
                <w:sz w:val="18"/>
                <w:szCs w:val="18"/>
                <w:color w:val="auto"/>
              </w:rPr>
            </w:pPr>
          </w:p>
        </w:tc>
        <w:tc>
          <w:tcPr>
            <w:tcW w:w="7480" w:type="dxa"/>
            <w:vAlign w:val="bottom"/>
          </w:tcPr>
          <w:p>
            <w:pPr>
              <w:spacing w:after="0"/>
              <w:rPr>
                <w:sz w:val="20"/>
                <w:szCs w:val="20"/>
                <w:color w:val="auto"/>
              </w:rPr>
            </w:pPr>
            <w:r>
              <w:rPr>
                <w:rFonts w:ascii="Arial" w:cs="Arial" w:eastAsia="Arial" w:hAnsi="Arial"/>
                <w:sz w:val="18"/>
                <w:szCs w:val="18"/>
                <w:color w:val="auto"/>
              </w:rPr>
              <w:t>Goodwill</w:t>
            </w:r>
          </w:p>
        </w:tc>
        <w:tc>
          <w:tcPr>
            <w:tcW w:w="70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312</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660" w:type="dxa"/>
            <w:vAlign w:val="bottom"/>
          </w:tcPr>
          <w:p>
            <w:pPr>
              <w:spacing w:after="0"/>
              <w:rPr>
                <w:sz w:val="18"/>
                <w:szCs w:val="18"/>
                <w:color w:val="auto"/>
              </w:rPr>
            </w:pPr>
          </w:p>
        </w:tc>
        <w:tc>
          <w:tcPr>
            <w:tcW w:w="748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8140" w:type="dxa"/>
            <w:vAlign w:val="bottom"/>
            <w:gridSpan w:val="2"/>
          </w:tcPr>
          <w:p>
            <w:pPr>
              <w:ind w:left="660"/>
              <w:spacing w:after="0"/>
              <w:rPr>
                <w:sz w:val="20"/>
                <w:szCs w:val="20"/>
                <w:color w:val="auto"/>
              </w:rPr>
            </w:pPr>
            <w:r>
              <w:rPr>
                <w:rFonts w:ascii="Arial" w:cs="Arial" w:eastAsia="Arial" w:hAnsi="Arial"/>
                <w:sz w:val="18"/>
                <w:szCs w:val="18"/>
                <w:color w:val="auto"/>
              </w:rPr>
              <w:t>Purchase price</w:t>
            </w:r>
          </w:p>
        </w:tc>
        <w:tc>
          <w:tcPr>
            <w:tcW w:w="700" w:type="dxa"/>
            <w:vAlign w:val="bottom"/>
            <w:tcBorders>
              <w:bottom w:val="single" w:sz="8" w:color="auto"/>
            </w:tcBorders>
          </w:tcPr>
          <w:p>
            <w:pPr>
              <w:jc w:val="right"/>
              <w:ind w:right="510"/>
              <w:spacing w:after="0"/>
              <w:rPr>
                <w:sz w:val="20"/>
                <w:szCs w:val="20"/>
                <w:color w:val="auto"/>
              </w:rPr>
            </w:pPr>
            <w:r>
              <w:rPr>
                <w:rFonts w:ascii="Arial" w:cs="Arial" w:eastAsia="Arial" w:hAnsi="Arial"/>
                <w:sz w:val="18"/>
                <w:szCs w:val="18"/>
                <w:color w:val="auto"/>
                <w:w w:val="79"/>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655</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60" w:type="dxa"/>
            <w:vAlign w:val="bottom"/>
          </w:tcPr>
          <w:p>
            <w:pPr>
              <w:spacing w:after="0" w:line="20" w:lineRule="exact"/>
              <w:rPr>
                <w:sz w:val="1"/>
                <w:szCs w:val="1"/>
                <w:color w:val="auto"/>
              </w:rPr>
            </w:pPr>
          </w:p>
        </w:tc>
        <w:tc>
          <w:tcPr>
            <w:tcW w:w="7480" w:type="dxa"/>
            <w:vAlign w:val="bottom"/>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1" w:lineRule="exact"/>
        <w:rPr>
          <w:sz w:val="20"/>
          <w:szCs w:val="20"/>
          <w:color w:val="auto"/>
        </w:rPr>
      </w:pPr>
    </w:p>
    <w:p>
      <w:pPr>
        <w:jc w:val="both"/>
        <w:spacing w:after="0" w:line="276" w:lineRule="auto"/>
        <w:rPr>
          <w:sz w:val="20"/>
          <w:szCs w:val="20"/>
          <w:color w:val="auto"/>
        </w:rPr>
      </w:pPr>
      <w:r>
        <w:rPr>
          <w:rFonts w:ascii="Arial" w:cs="Arial" w:eastAsia="Arial" w:hAnsi="Arial"/>
          <w:sz w:val="18"/>
          <w:szCs w:val="18"/>
          <w:color w:val="auto"/>
        </w:rPr>
        <w:t xml:space="preserve">The inputs into our valuation of the acquired assets reflect our market assumptions and are not observable. Consequently, the inputs are considered to be Level 3 inputs as specified in the fair value hierarchy in ASC 820, </w:t>
      </w:r>
      <w:r>
        <w:rPr>
          <w:rFonts w:ascii="Arial" w:cs="Arial" w:eastAsia="Arial" w:hAnsi="Arial"/>
          <w:sz w:val="18"/>
          <w:szCs w:val="18"/>
          <w:i w:val="1"/>
          <w:iCs w:val="1"/>
          <w:color w:val="auto"/>
        </w:rPr>
        <w:t>Fair Value Measurements and Disclosures</w:t>
      </w:r>
      <w:r>
        <w:rPr>
          <w:rFonts w:ascii="Arial" w:cs="Arial" w:eastAsia="Arial" w:hAnsi="Arial"/>
          <w:sz w:val="18"/>
          <w:szCs w:val="18"/>
          <w:color w:val="auto"/>
        </w:rPr>
        <w:t>. See Note 4.</w:t>
      </w:r>
    </w:p>
    <w:p>
      <w:pPr>
        <w:spacing w:after="0" w:line="170" w:lineRule="exact"/>
        <w:rPr>
          <w:sz w:val="20"/>
          <w:szCs w:val="20"/>
          <w:color w:val="auto"/>
        </w:rPr>
      </w:pPr>
    </w:p>
    <w:p>
      <w:pPr>
        <w:jc w:val="both"/>
        <w:spacing w:after="0" w:line="276" w:lineRule="auto"/>
        <w:rPr>
          <w:sz w:val="20"/>
          <w:szCs w:val="20"/>
          <w:color w:val="auto"/>
        </w:rPr>
      </w:pPr>
      <w:r>
        <w:rPr>
          <w:rFonts w:ascii="Arial" w:cs="Arial" w:eastAsia="Arial" w:hAnsi="Arial"/>
          <w:sz w:val="18"/>
          <w:szCs w:val="18"/>
          <w:color w:val="auto"/>
        </w:rPr>
        <w:t>The pro forma impact of the acquisition and the results of operations for the Columbus store since acquisition are not material to our consolidated results of operations for the quarters ended February 24, 2018 and February 25, 2017.</w:t>
      </w:r>
    </w:p>
    <w:p>
      <w:pPr>
        <w:spacing w:after="0" w:line="200" w:lineRule="exact"/>
        <w:rPr>
          <w:sz w:val="20"/>
          <w:szCs w:val="20"/>
          <w:color w:val="auto"/>
        </w:rPr>
      </w:pP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 Financial Instruments and Fair Value Measurements</w:t>
      </w:r>
    </w:p>
    <w:p>
      <w:pPr>
        <w:spacing w:after="0" w:line="22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Financial Instruments</w:t>
      </w:r>
    </w:p>
    <w:p>
      <w:pPr>
        <w:spacing w:after="0" w:line="224" w:lineRule="exact"/>
        <w:rPr>
          <w:sz w:val="20"/>
          <w:szCs w:val="20"/>
          <w:color w:val="auto"/>
        </w:rPr>
      </w:pPr>
    </w:p>
    <w:p>
      <w:pPr>
        <w:jc w:val="both"/>
        <w:spacing w:after="0" w:line="262" w:lineRule="auto"/>
        <w:rPr>
          <w:sz w:val="20"/>
          <w:szCs w:val="20"/>
          <w:color w:val="auto"/>
        </w:rPr>
      </w:pPr>
      <w:r>
        <w:rPr>
          <w:rFonts w:ascii="Arial" w:cs="Arial" w:eastAsia="Arial" w:hAnsi="Arial"/>
          <w:sz w:val="18"/>
          <w:szCs w:val="18"/>
          <w:color w:val="auto"/>
        </w:rPr>
        <w:t>Our financial instruments include cash and cash equivalents, short-term investments in certificates of deposit, accounts receivable, cost method investments, accounts payable and notes payable/long-term debt. Because of their short maturities, the carrying amounts of cash and cash equivalents, short-term investments in certificates of deposit, accounts receivable, and accounts payable approximate fair value.</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Investments</w:t>
      </w:r>
    </w:p>
    <w:p>
      <w:pPr>
        <w:spacing w:after="0" w:line="224" w:lineRule="exact"/>
        <w:rPr>
          <w:sz w:val="20"/>
          <w:szCs w:val="20"/>
          <w:color w:val="auto"/>
        </w:rPr>
      </w:pPr>
    </w:p>
    <w:p>
      <w:pPr>
        <w:jc w:val="both"/>
        <w:spacing w:after="0" w:line="274" w:lineRule="auto"/>
        <w:rPr>
          <w:sz w:val="20"/>
          <w:szCs w:val="20"/>
          <w:color w:val="auto"/>
        </w:rPr>
      </w:pPr>
      <w:r>
        <w:rPr>
          <w:rFonts w:ascii="Arial" w:cs="Arial" w:eastAsia="Arial" w:hAnsi="Arial"/>
          <w:sz w:val="17"/>
          <w:szCs w:val="17"/>
          <w:color w:val="auto"/>
        </w:rPr>
        <w:t>Our short-term investments of $23,125 at both February 24, 2018 and November 25, 2017 consisted of certificates of deposit (CDs) with original terms averaging ten months, bearing interest at rates ranging from 0.10% to 1.80%. At February 24, 2018, the weighted average remaining time to maturity of the CDs was approximately three months and the weighted average yield of the CDs was approximately 1.27%. Each CD is placed with a Federally insured financial institution and all deposits are within Federal deposit insurance limits. Due to the nature of these investments and their relatively short maturities, the carrying amount of the short-term investments at February 24, 2018 and November 25, 2017 approximates their fair value.</w:t>
      </w:r>
    </w:p>
    <w:p>
      <w:pPr>
        <w:spacing w:after="0" w:line="17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82550</wp:posOffset>
            </wp:positionV>
            <wp:extent cx="7247255" cy="171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47255" cy="17145"/>
                    </a:xfrm>
                    <a:prstGeom prst="rect">
                      <a:avLst/>
                    </a:prstGeom>
                    <a:noFill/>
                  </pic:spPr>
                </pic:pic>
              </a:graphicData>
            </a:graphic>
          </wp:anchor>
        </w:drawing>
      </w:r>
    </w:p>
    <w:p>
      <w:pPr>
        <w:sectPr>
          <w:pgSz w:w="11900" w:h="16838" w:orient="portrait"/>
          <w:cols w:equalWidth="0" w:num="1">
            <w:col w:w="11420"/>
          </w:cols>
          <w:pgMar w:left="240" w:top="583" w:right="239" w:bottom="1440" w:gutter="0" w:footer="0" w:header="0"/>
        </w:sectPr>
      </w:pPr>
    </w:p>
    <w:bookmarkStart w:id="10" w:name="page11"/>
    <w:bookmarkEnd w:id="10"/>
    <w:p>
      <w:pPr>
        <w:jc w:val="center"/>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NOTES TO CONDENSED CONSOLIDATED FINANCIAL STATEMENTS-UNAUDITED</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FEBRUARY 24, 2018</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0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Fair Value Measurement</w:t>
      </w:r>
    </w:p>
    <w:p>
      <w:pPr>
        <w:spacing w:after="0" w:line="224" w:lineRule="exact"/>
        <w:rPr>
          <w:sz w:val="20"/>
          <w:szCs w:val="20"/>
          <w:color w:val="auto"/>
        </w:rPr>
      </w:pPr>
    </w:p>
    <w:p>
      <w:pPr>
        <w:jc w:val="both"/>
        <w:spacing w:after="0" w:line="262" w:lineRule="auto"/>
        <w:rPr>
          <w:sz w:val="20"/>
          <w:szCs w:val="20"/>
          <w:color w:val="auto"/>
        </w:rPr>
      </w:pPr>
      <w:r>
        <w:rPr>
          <w:rFonts w:ascii="Arial" w:cs="Arial" w:eastAsia="Arial" w:hAnsi="Arial"/>
          <w:sz w:val="18"/>
          <w:szCs w:val="18"/>
          <w:color w:val="auto"/>
        </w:rPr>
        <w:t xml:space="preserve">The Company accounts for items measured at fair value in accordance with ASC Topic 820, </w:t>
      </w:r>
      <w:r>
        <w:rPr>
          <w:rFonts w:ascii="Arial" w:cs="Arial" w:eastAsia="Arial" w:hAnsi="Arial"/>
          <w:sz w:val="18"/>
          <w:szCs w:val="18"/>
          <w:i w:val="1"/>
          <w:iCs w:val="1"/>
          <w:color w:val="auto"/>
        </w:rPr>
        <w:t>Fair Value Measurements and Disclosures</w:t>
      </w:r>
      <w:r>
        <w:rPr>
          <w:rFonts w:ascii="Arial" w:cs="Arial" w:eastAsia="Arial" w:hAnsi="Arial"/>
          <w:sz w:val="18"/>
          <w:szCs w:val="18"/>
          <w:color w:val="auto"/>
        </w:rPr>
        <w:t>. ASC 820’s valuation techniques are based on observable and unobservable inputs. Observable inputs reflect readily obtainable data from independent sources, while unobservable inputs reflect our market assumptions. ASC 820 classifies these inputs into the following hierarchy:</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 xml:space="preserve">Level </w:t>
      </w:r>
      <w:r>
        <w:rPr>
          <w:rFonts w:ascii="Arial" w:cs="Arial" w:eastAsia="Arial" w:hAnsi="Arial"/>
          <w:sz w:val="18"/>
          <w:szCs w:val="18"/>
          <w:color w:val="auto"/>
        </w:rPr>
        <w:t>1</w:t>
      </w:r>
      <w:r>
        <w:rPr>
          <w:rFonts w:ascii="Arial" w:cs="Arial" w:eastAsia="Arial" w:hAnsi="Arial"/>
          <w:sz w:val="18"/>
          <w:szCs w:val="18"/>
          <w:i w:val="1"/>
          <w:iCs w:val="1"/>
          <w:color w:val="auto"/>
        </w:rPr>
        <w:t xml:space="preserve"> Inputs</w:t>
      </w:r>
      <w:r>
        <w:rPr>
          <w:rFonts w:ascii="Arial" w:cs="Arial" w:eastAsia="Arial" w:hAnsi="Arial"/>
          <w:sz w:val="18"/>
          <w:szCs w:val="18"/>
          <w:color w:val="auto"/>
        </w:rPr>
        <w:t>– Quoted prices for identical instruments in active markets.</w:t>
      </w:r>
    </w:p>
    <w:p>
      <w:pPr>
        <w:spacing w:after="0" w:line="224" w:lineRule="exact"/>
        <w:rPr>
          <w:sz w:val="20"/>
          <w:szCs w:val="20"/>
          <w:color w:val="auto"/>
        </w:rPr>
      </w:pPr>
    </w:p>
    <w:p>
      <w:pPr>
        <w:jc w:val="both"/>
        <w:spacing w:after="0" w:line="276" w:lineRule="auto"/>
        <w:rPr>
          <w:sz w:val="20"/>
          <w:szCs w:val="20"/>
          <w:color w:val="auto"/>
        </w:rPr>
      </w:pPr>
      <w:r>
        <w:rPr>
          <w:rFonts w:ascii="Arial" w:cs="Arial" w:eastAsia="Arial" w:hAnsi="Arial"/>
          <w:sz w:val="18"/>
          <w:szCs w:val="18"/>
          <w:i w:val="1"/>
          <w:iCs w:val="1"/>
          <w:color w:val="auto"/>
        </w:rPr>
        <w:t xml:space="preserve">Level </w:t>
      </w:r>
      <w:r>
        <w:rPr>
          <w:rFonts w:ascii="Arial" w:cs="Arial" w:eastAsia="Arial" w:hAnsi="Arial"/>
          <w:sz w:val="18"/>
          <w:szCs w:val="18"/>
          <w:color w:val="auto"/>
        </w:rPr>
        <w:t>2</w:t>
      </w:r>
      <w:r>
        <w:rPr>
          <w:rFonts w:ascii="Arial" w:cs="Arial" w:eastAsia="Arial" w:hAnsi="Arial"/>
          <w:sz w:val="18"/>
          <w:szCs w:val="18"/>
          <w:i w:val="1"/>
          <w:iCs w:val="1"/>
          <w:color w:val="auto"/>
        </w:rPr>
        <w:t xml:space="preserve"> Inputs</w:t>
      </w:r>
      <w:r>
        <w:rPr>
          <w:rFonts w:ascii="Arial" w:cs="Arial" w:eastAsia="Arial" w:hAnsi="Arial"/>
          <w:sz w:val="18"/>
          <w:szCs w:val="18"/>
          <w:color w:val="auto"/>
        </w:rPr>
        <w:t>– Quoted prices for similar instruments in active markets; quoted prices for identical or similar instruments in markets that are not active; and</w:t>
      </w:r>
      <w:r>
        <w:rPr>
          <w:rFonts w:ascii="Arial" w:cs="Arial" w:eastAsia="Arial" w:hAnsi="Arial"/>
          <w:sz w:val="18"/>
          <w:szCs w:val="18"/>
          <w:i w:val="1"/>
          <w:iCs w:val="1"/>
          <w:color w:val="auto"/>
        </w:rPr>
        <w:t xml:space="preserve"> </w:t>
      </w:r>
      <w:r>
        <w:rPr>
          <w:rFonts w:ascii="Arial" w:cs="Arial" w:eastAsia="Arial" w:hAnsi="Arial"/>
          <w:sz w:val="18"/>
          <w:szCs w:val="18"/>
          <w:color w:val="auto"/>
        </w:rPr>
        <w:t>model-derived valuations whose inputs are observable or whose significant value drivers are observable.</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 xml:space="preserve">Level </w:t>
      </w:r>
      <w:r>
        <w:rPr>
          <w:rFonts w:ascii="Arial" w:cs="Arial" w:eastAsia="Arial" w:hAnsi="Arial"/>
          <w:sz w:val="18"/>
          <w:szCs w:val="18"/>
          <w:color w:val="auto"/>
        </w:rPr>
        <w:t>3</w:t>
      </w:r>
      <w:r>
        <w:rPr>
          <w:rFonts w:ascii="Arial" w:cs="Arial" w:eastAsia="Arial" w:hAnsi="Arial"/>
          <w:sz w:val="18"/>
          <w:szCs w:val="18"/>
          <w:i w:val="1"/>
          <w:iCs w:val="1"/>
          <w:color w:val="auto"/>
        </w:rPr>
        <w:t xml:space="preserve"> Inputs</w:t>
      </w:r>
      <w:r>
        <w:rPr>
          <w:rFonts w:ascii="Arial" w:cs="Arial" w:eastAsia="Arial" w:hAnsi="Arial"/>
          <w:sz w:val="18"/>
          <w:szCs w:val="18"/>
          <w:color w:val="auto"/>
        </w:rPr>
        <w:t>– Instruments with primarily unobservable value drivers.</w:t>
      </w:r>
    </w:p>
    <w:p>
      <w:pPr>
        <w:spacing w:after="0" w:line="224" w:lineRule="exact"/>
        <w:rPr>
          <w:sz w:val="20"/>
          <w:szCs w:val="20"/>
          <w:color w:val="auto"/>
        </w:rPr>
      </w:pPr>
    </w:p>
    <w:p>
      <w:pPr>
        <w:jc w:val="both"/>
        <w:spacing w:after="0" w:line="262" w:lineRule="auto"/>
        <w:rPr>
          <w:sz w:val="20"/>
          <w:szCs w:val="20"/>
          <w:color w:val="auto"/>
        </w:rPr>
      </w:pPr>
      <w:r>
        <w:rPr>
          <w:rFonts w:ascii="Arial" w:cs="Arial" w:eastAsia="Arial" w:hAnsi="Arial"/>
          <w:sz w:val="18"/>
          <w:szCs w:val="18"/>
          <w:color w:val="auto"/>
        </w:rPr>
        <w:t>We believe that the carrying amounts of our current assets and current liabilities approximate fair value due to the short-term nature of these items. The recurring estimate of the fair value of our notes payable for disclosure purposes (see Note 8) involves Level 3 inputs. Our primary non-recurring fair value estimates typically involve business acquisitions (Note 3) which involve a combination of Level 2 and Level 3 inputs.</w:t>
      </w:r>
    </w:p>
    <w:p>
      <w:pPr>
        <w:spacing w:after="0" w:line="200" w:lineRule="exact"/>
        <w:rPr>
          <w:sz w:val="20"/>
          <w:szCs w:val="20"/>
          <w:color w:val="auto"/>
        </w:rPr>
      </w:pPr>
    </w:p>
    <w:p>
      <w:pPr>
        <w:spacing w:after="0" w:line="22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700" w:type="dxa"/>
            <w:vAlign w:val="bottom"/>
            <w:gridSpan w:val="2"/>
          </w:tcPr>
          <w:p>
            <w:pPr>
              <w:spacing w:after="0"/>
              <w:rPr>
                <w:sz w:val="20"/>
                <w:szCs w:val="20"/>
                <w:color w:val="auto"/>
              </w:rPr>
            </w:pPr>
            <w:r>
              <w:rPr>
                <w:rFonts w:ascii="Arial" w:cs="Arial" w:eastAsia="Arial" w:hAnsi="Arial"/>
                <w:sz w:val="18"/>
                <w:szCs w:val="18"/>
                <w:b w:val="1"/>
                <w:bCs w:val="1"/>
                <w:color w:val="auto"/>
              </w:rPr>
              <w:t>5. Accounts Receivable</w:t>
            </w:r>
          </w:p>
        </w:tc>
        <w:tc>
          <w:tcPr>
            <w:tcW w:w="12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1"/>
        </w:trPr>
        <w:tc>
          <w:tcPr>
            <w:tcW w:w="5700" w:type="dxa"/>
            <w:vAlign w:val="bottom"/>
            <w:gridSpan w:val="2"/>
          </w:tcPr>
          <w:p>
            <w:pPr>
              <w:spacing w:after="0"/>
              <w:rPr>
                <w:sz w:val="20"/>
                <w:szCs w:val="20"/>
                <w:color w:val="auto"/>
              </w:rPr>
            </w:pPr>
            <w:r>
              <w:rPr>
                <w:rFonts w:ascii="Arial" w:cs="Arial" w:eastAsia="Arial" w:hAnsi="Arial"/>
                <w:sz w:val="18"/>
                <w:szCs w:val="18"/>
                <w:color w:val="auto"/>
              </w:rPr>
              <w:t>Accounts receivable consists of the following:</w:t>
            </w:r>
          </w:p>
        </w:tc>
        <w:tc>
          <w:tcPr>
            <w:tcW w:w="12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6"/>
        </w:trPr>
        <w:tc>
          <w:tcPr>
            <w:tcW w:w="660" w:type="dxa"/>
            <w:vAlign w:val="bottom"/>
          </w:tcPr>
          <w:p>
            <w:pPr>
              <w:spacing w:after="0"/>
              <w:rPr>
                <w:sz w:val="24"/>
                <w:szCs w:val="24"/>
                <w:color w:val="auto"/>
              </w:rPr>
            </w:pPr>
          </w:p>
        </w:tc>
        <w:tc>
          <w:tcPr>
            <w:tcW w:w="50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540" w:type="dxa"/>
            <w:vAlign w:val="bottom"/>
            <w:gridSpan w:val="3"/>
          </w:tcPr>
          <w:p>
            <w:pPr>
              <w:jc w:val="center"/>
              <w:ind w:right="380"/>
              <w:spacing w:after="0"/>
              <w:rPr>
                <w:sz w:val="20"/>
                <w:szCs w:val="20"/>
                <w:color w:val="auto"/>
              </w:rPr>
            </w:pPr>
            <w:r>
              <w:rPr>
                <w:rFonts w:ascii="Arial" w:cs="Arial" w:eastAsia="Arial" w:hAnsi="Arial"/>
                <w:sz w:val="18"/>
                <w:szCs w:val="18"/>
                <w:color w:val="auto"/>
                <w:w w:val="90"/>
              </w:rPr>
              <w:t>February 24,</w:t>
            </w:r>
          </w:p>
        </w:tc>
        <w:tc>
          <w:tcPr>
            <w:tcW w:w="180" w:type="dxa"/>
            <w:vAlign w:val="bottom"/>
          </w:tcPr>
          <w:p>
            <w:pPr>
              <w:spacing w:after="0"/>
              <w:rPr>
                <w:sz w:val="24"/>
                <w:szCs w:val="24"/>
                <w:color w:val="auto"/>
              </w:rPr>
            </w:pPr>
          </w:p>
        </w:tc>
        <w:tc>
          <w:tcPr>
            <w:tcW w:w="1460" w:type="dxa"/>
            <w:vAlign w:val="bottom"/>
            <w:gridSpan w:val="4"/>
          </w:tcPr>
          <w:p>
            <w:pPr>
              <w:jc w:val="right"/>
              <w:ind w:right="360"/>
              <w:spacing w:after="0"/>
              <w:rPr>
                <w:sz w:val="20"/>
                <w:szCs w:val="20"/>
                <w:color w:val="auto"/>
              </w:rPr>
            </w:pPr>
            <w:r>
              <w:rPr>
                <w:rFonts w:ascii="Arial" w:cs="Arial" w:eastAsia="Arial" w:hAnsi="Arial"/>
                <w:sz w:val="18"/>
                <w:szCs w:val="18"/>
                <w:color w:val="auto"/>
                <w:w w:val="95"/>
              </w:rPr>
              <w:t>November 25,</w:t>
            </w:r>
          </w:p>
        </w:tc>
        <w:tc>
          <w:tcPr>
            <w:tcW w:w="0" w:type="dxa"/>
            <w:vAlign w:val="bottom"/>
          </w:tcPr>
          <w:p>
            <w:pPr>
              <w:spacing w:after="0"/>
              <w:rPr>
                <w:sz w:val="1"/>
                <w:szCs w:val="1"/>
                <w:color w:val="auto"/>
              </w:rPr>
            </w:pPr>
          </w:p>
        </w:tc>
      </w:tr>
      <w:tr>
        <w:trPr>
          <w:trHeight w:val="230"/>
        </w:trPr>
        <w:tc>
          <w:tcPr>
            <w:tcW w:w="660" w:type="dxa"/>
            <w:vAlign w:val="bottom"/>
          </w:tcPr>
          <w:p>
            <w:pPr>
              <w:spacing w:after="0"/>
              <w:rPr>
                <w:sz w:val="19"/>
                <w:szCs w:val="19"/>
                <w:color w:val="auto"/>
              </w:rPr>
            </w:pPr>
          </w:p>
        </w:tc>
        <w:tc>
          <w:tcPr>
            <w:tcW w:w="504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rPr>
              <w:t>2018</w:t>
            </w:r>
          </w:p>
        </w:tc>
        <w:tc>
          <w:tcPr>
            <w:tcW w:w="380" w:type="dxa"/>
            <w:vAlign w:val="bottom"/>
            <w:tcBorders>
              <w:bottom w:val="single" w:sz="8" w:color="auto"/>
            </w:tcBorders>
          </w:tcPr>
          <w:p>
            <w:pPr>
              <w:spacing w:after="0"/>
              <w:rPr>
                <w:sz w:val="19"/>
                <w:szCs w:val="19"/>
                <w:color w:val="auto"/>
              </w:rPr>
            </w:pPr>
          </w:p>
        </w:tc>
        <w:tc>
          <w:tcPr>
            <w:tcW w:w="18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2017</w:t>
            </w:r>
          </w:p>
        </w:tc>
        <w:tc>
          <w:tcPr>
            <w:tcW w:w="8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9"/>
        </w:trPr>
        <w:tc>
          <w:tcPr>
            <w:tcW w:w="660" w:type="dxa"/>
            <w:vAlign w:val="bottom"/>
          </w:tcPr>
          <w:p>
            <w:pPr>
              <w:spacing w:after="0"/>
              <w:rPr>
                <w:sz w:val="18"/>
                <w:szCs w:val="18"/>
                <w:color w:val="auto"/>
              </w:rPr>
            </w:pPr>
          </w:p>
        </w:tc>
        <w:tc>
          <w:tcPr>
            <w:tcW w:w="5040" w:type="dxa"/>
            <w:vAlign w:val="bottom"/>
            <w:shd w:val="clear" w:color="auto" w:fill="CCEEFF"/>
          </w:tcPr>
          <w:p>
            <w:pPr>
              <w:spacing w:after="0"/>
              <w:rPr>
                <w:sz w:val="20"/>
                <w:szCs w:val="20"/>
                <w:color w:val="auto"/>
              </w:rPr>
            </w:pPr>
            <w:r>
              <w:rPr>
                <w:rFonts w:ascii="Arial" w:cs="Arial" w:eastAsia="Arial" w:hAnsi="Arial"/>
                <w:sz w:val="18"/>
                <w:szCs w:val="18"/>
                <w:color w:val="auto"/>
              </w:rPr>
              <w:t>Gross accounts receivable</w:t>
            </w:r>
          </w:p>
        </w:tc>
        <w:tc>
          <w:tcPr>
            <w:tcW w:w="1460" w:type="dxa"/>
            <w:vAlign w:val="bottom"/>
            <w:gridSpan w:val="2"/>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54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22,421</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460" w:type="dxa"/>
            <w:vAlign w:val="bottom"/>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20,257</w:t>
            </w:r>
          </w:p>
        </w:tc>
        <w:tc>
          <w:tcPr>
            <w:tcW w:w="0" w:type="dxa"/>
            <w:vAlign w:val="bottom"/>
          </w:tcPr>
          <w:p>
            <w:pPr>
              <w:spacing w:after="0"/>
              <w:rPr>
                <w:sz w:val="1"/>
                <w:szCs w:val="1"/>
                <w:color w:val="auto"/>
              </w:rPr>
            </w:pPr>
          </w:p>
        </w:tc>
      </w:tr>
      <w:tr>
        <w:trPr>
          <w:trHeight w:val="215"/>
        </w:trPr>
        <w:tc>
          <w:tcPr>
            <w:tcW w:w="660" w:type="dxa"/>
            <w:vAlign w:val="bottom"/>
          </w:tcPr>
          <w:p>
            <w:pPr>
              <w:spacing w:after="0"/>
              <w:rPr>
                <w:sz w:val="18"/>
                <w:szCs w:val="18"/>
                <w:color w:val="auto"/>
              </w:rPr>
            </w:pPr>
          </w:p>
        </w:tc>
        <w:tc>
          <w:tcPr>
            <w:tcW w:w="5040" w:type="dxa"/>
            <w:vAlign w:val="bottom"/>
          </w:tcPr>
          <w:p>
            <w:pPr>
              <w:spacing w:after="0"/>
              <w:rPr>
                <w:sz w:val="20"/>
                <w:szCs w:val="20"/>
                <w:color w:val="auto"/>
              </w:rPr>
            </w:pPr>
            <w:r>
              <w:rPr>
                <w:rFonts w:ascii="Arial" w:cs="Arial" w:eastAsia="Arial" w:hAnsi="Arial"/>
                <w:sz w:val="18"/>
                <w:szCs w:val="18"/>
                <w:color w:val="auto"/>
              </w:rPr>
              <w:t>Allowance for doubtful accounts</w:t>
            </w:r>
          </w:p>
        </w:tc>
        <w:tc>
          <w:tcPr>
            <w:tcW w:w="12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540" w:type="dxa"/>
            <w:vAlign w:val="bottom"/>
            <w:gridSpan w:val="3"/>
          </w:tcPr>
          <w:p>
            <w:pPr>
              <w:jc w:val="right"/>
              <w:ind w:right="120"/>
              <w:spacing w:after="0"/>
              <w:rPr>
                <w:sz w:val="20"/>
                <w:szCs w:val="20"/>
                <w:color w:val="auto"/>
              </w:rPr>
            </w:pPr>
            <w:r>
              <w:rPr>
                <w:rFonts w:ascii="Arial" w:cs="Arial" w:eastAsia="Arial" w:hAnsi="Arial"/>
                <w:sz w:val="18"/>
                <w:szCs w:val="18"/>
                <w:color w:val="auto"/>
              </w:rPr>
              <w:t>(878)</w:t>
            </w:r>
          </w:p>
        </w:tc>
        <w:tc>
          <w:tcPr>
            <w:tcW w:w="180" w:type="dxa"/>
            <w:vAlign w:val="bottom"/>
          </w:tcPr>
          <w:p>
            <w:pPr>
              <w:spacing w:after="0"/>
              <w:rPr>
                <w:sz w:val="18"/>
                <w:szCs w:val="18"/>
                <w:color w:val="auto"/>
              </w:rPr>
            </w:pPr>
          </w:p>
        </w:tc>
        <w:tc>
          <w:tcPr>
            <w:tcW w:w="1460" w:type="dxa"/>
            <w:vAlign w:val="bottom"/>
            <w:gridSpan w:val="4"/>
          </w:tcPr>
          <w:p>
            <w:pPr>
              <w:jc w:val="right"/>
              <w:ind w:right="40"/>
              <w:spacing w:after="0"/>
              <w:rPr>
                <w:sz w:val="20"/>
                <w:szCs w:val="20"/>
                <w:color w:val="auto"/>
              </w:rPr>
            </w:pPr>
            <w:r>
              <w:rPr>
                <w:rFonts w:ascii="Arial" w:cs="Arial" w:eastAsia="Arial" w:hAnsi="Arial"/>
                <w:sz w:val="18"/>
                <w:szCs w:val="18"/>
                <w:color w:val="auto"/>
              </w:rPr>
              <w:t>(617)</w:t>
            </w:r>
          </w:p>
        </w:tc>
        <w:tc>
          <w:tcPr>
            <w:tcW w:w="0" w:type="dxa"/>
            <w:vAlign w:val="bottom"/>
          </w:tcPr>
          <w:p>
            <w:pPr>
              <w:spacing w:after="0"/>
              <w:rPr>
                <w:sz w:val="1"/>
                <w:szCs w:val="1"/>
                <w:color w:val="auto"/>
              </w:rPr>
            </w:pPr>
          </w:p>
        </w:tc>
      </w:tr>
      <w:tr>
        <w:trPr>
          <w:trHeight w:val="20"/>
        </w:trPr>
        <w:tc>
          <w:tcPr>
            <w:tcW w:w="660" w:type="dxa"/>
            <w:vAlign w:val="bottom"/>
          </w:tcPr>
          <w:p>
            <w:pPr>
              <w:spacing w:after="0" w:line="20" w:lineRule="exact"/>
              <w:rPr>
                <w:sz w:val="1"/>
                <w:szCs w:val="1"/>
                <w:color w:val="auto"/>
              </w:rPr>
            </w:pPr>
          </w:p>
        </w:tc>
        <w:tc>
          <w:tcPr>
            <w:tcW w:w="504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9"/>
        </w:trPr>
        <w:tc>
          <w:tcPr>
            <w:tcW w:w="660" w:type="dxa"/>
            <w:vAlign w:val="bottom"/>
          </w:tcPr>
          <w:p>
            <w:pPr>
              <w:spacing w:after="0"/>
              <w:rPr>
                <w:sz w:val="19"/>
                <w:szCs w:val="19"/>
                <w:color w:val="auto"/>
              </w:rPr>
            </w:pPr>
          </w:p>
        </w:tc>
        <w:tc>
          <w:tcPr>
            <w:tcW w:w="5040" w:type="dxa"/>
            <w:vAlign w:val="bottom"/>
            <w:shd w:val="clear" w:color="auto" w:fill="CCEEFF"/>
          </w:tcPr>
          <w:p>
            <w:pPr>
              <w:spacing w:after="0"/>
              <w:rPr>
                <w:sz w:val="20"/>
                <w:szCs w:val="20"/>
                <w:color w:val="auto"/>
              </w:rPr>
            </w:pPr>
            <w:r>
              <w:rPr>
                <w:rFonts w:ascii="Arial" w:cs="Arial" w:eastAsia="Arial" w:hAnsi="Arial"/>
                <w:sz w:val="18"/>
                <w:szCs w:val="18"/>
                <w:color w:val="auto"/>
              </w:rPr>
              <w:t>Accounts receivable, net</w:t>
            </w:r>
          </w:p>
        </w:tc>
        <w:tc>
          <w:tcPr>
            <w:tcW w:w="1260" w:type="dxa"/>
            <w:vAlign w:val="bottom"/>
            <w:shd w:val="clear" w:color="auto" w:fill="CCEEFF"/>
          </w:tcPr>
          <w:p>
            <w:pPr>
              <w:spacing w:after="0"/>
              <w:rPr>
                <w:sz w:val="19"/>
                <w:szCs w:val="19"/>
                <w:color w:val="auto"/>
              </w:rPr>
            </w:pP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3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21,543</w:t>
            </w:r>
          </w:p>
        </w:tc>
        <w:tc>
          <w:tcPr>
            <w:tcW w:w="180" w:type="dxa"/>
            <w:vAlign w:val="bottom"/>
            <w:shd w:val="clear" w:color="auto" w:fill="CCEEFF"/>
          </w:tcPr>
          <w:p>
            <w:pPr>
              <w:spacing w:after="0"/>
              <w:rPr>
                <w:sz w:val="19"/>
                <w:szCs w:val="19"/>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460" w:type="dxa"/>
            <w:vAlign w:val="bottom"/>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19,640</w:t>
            </w:r>
          </w:p>
        </w:tc>
        <w:tc>
          <w:tcPr>
            <w:tcW w:w="0" w:type="dxa"/>
            <w:vAlign w:val="bottom"/>
          </w:tcPr>
          <w:p>
            <w:pPr>
              <w:spacing w:after="0"/>
              <w:rPr>
                <w:sz w:val="1"/>
                <w:szCs w:val="1"/>
                <w:color w:val="auto"/>
              </w:rPr>
            </w:pPr>
          </w:p>
        </w:tc>
      </w:tr>
      <w:tr>
        <w:trPr>
          <w:trHeight w:val="20"/>
        </w:trPr>
        <w:tc>
          <w:tcPr>
            <w:tcW w:w="660" w:type="dxa"/>
            <w:vAlign w:val="bottom"/>
          </w:tcPr>
          <w:p>
            <w:pPr>
              <w:spacing w:after="0" w:line="20" w:lineRule="exact"/>
              <w:rPr>
                <w:sz w:val="1"/>
                <w:szCs w:val="1"/>
                <w:color w:val="auto"/>
              </w:rPr>
            </w:pPr>
          </w:p>
        </w:tc>
        <w:tc>
          <w:tcPr>
            <w:tcW w:w="5040" w:type="dxa"/>
            <w:vAlign w:val="bottom"/>
            <w:tcBorders>
              <w:top w:val="single" w:sz="8" w:color="CCEEFF"/>
            </w:tcBorders>
            <w:shd w:val="clear" w:color="auto" w:fill="CCEEFF"/>
          </w:tcPr>
          <w:p>
            <w:pPr>
              <w:spacing w:after="0" w:line="20" w:lineRule="exact"/>
              <w:rPr>
                <w:sz w:val="1"/>
                <w:szCs w:val="1"/>
                <w:color w:val="auto"/>
              </w:rPr>
            </w:pPr>
          </w:p>
        </w:tc>
        <w:tc>
          <w:tcPr>
            <w:tcW w:w="1260" w:type="dxa"/>
            <w:vAlign w:val="bottom"/>
            <w:tcBorders>
              <w:top w:val="single" w:sz="8" w:color="CCEEFF"/>
            </w:tcBorders>
            <w:shd w:val="clear" w:color="auto" w:fill="CCEEFF"/>
          </w:tcPr>
          <w:p>
            <w:pPr>
              <w:spacing w:after="0" w:line="20" w:lineRule="exact"/>
              <w:rPr>
                <w:sz w:val="1"/>
                <w:szCs w:val="1"/>
                <w:color w:val="auto"/>
              </w:rPr>
            </w:pPr>
          </w:p>
        </w:tc>
        <w:tc>
          <w:tcPr>
            <w:tcW w:w="200" w:type="dxa"/>
            <w:vAlign w:val="bottom"/>
            <w:tcBorders>
              <w:top w:val="single" w:sz="8" w:color="auto"/>
            </w:tcBorders>
            <w:shd w:val="clear" w:color="auto" w:fill="000000"/>
          </w:tcPr>
          <w:p>
            <w:pPr>
              <w:spacing w:after="0" w:line="20" w:lineRule="exact"/>
              <w:rPr>
                <w:sz w:val="1"/>
                <w:szCs w:val="1"/>
                <w:color w:val="auto"/>
              </w:rPr>
            </w:pPr>
          </w:p>
        </w:tc>
        <w:tc>
          <w:tcPr>
            <w:tcW w:w="980" w:type="dxa"/>
            <w:vAlign w:val="bottom"/>
            <w:tcBorders>
              <w:top w:val="single" w:sz="8" w:color="auto"/>
            </w:tcBorders>
            <w:shd w:val="clear" w:color="auto" w:fill="000000"/>
          </w:tcPr>
          <w:p>
            <w:pPr>
              <w:spacing w:after="0" w:line="20" w:lineRule="exact"/>
              <w:rPr>
                <w:sz w:val="1"/>
                <w:szCs w:val="1"/>
                <w:color w:val="auto"/>
              </w:rPr>
            </w:pPr>
          </w:p>
        </w:tc>
        <w:tc>
          <w:tcPr>
            <w:tcW w:w="380" w:type="dxa"/>
            <w:vAlign w:val="bottom"/>
            <w:tcBorders>
              <w:top w:val="single" w:sz="8" w:color="auto"/>
            </w:tcBorders>
            <w:shd w:val="clear" w:color="auto" w:fill="000000"/>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auto"/>
            </w:tcBorders>
            <w:shd w:val="clear" w:color="auto" w:fill="000000"/>
          </w:tcPr>
          <w:p>
            <w:pPr>
              <w:spacing w:after="0" w:line="20" w:lineRule="exact"/>
              <w:rPr>
                <w:sz w:val="1"/>
                <w:szCs w:val="1"/>
                <w:color w:val="auto"/>
              </w:rPr>
            </w:pPr>
          </w:p>
        </w:tc>
        <w:tc>
          <w:tcPr>
            <w:tcW w:w="82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auto"/>
            </w:tcBorders>
            <w:shd w:val="clear" w:color="auto" w:fill="000000"/>
          </w:tcPr>
          <w:p>
            <w:pPr>
              <w:spacing w:after="0" w:line="20" w:lineRule="exact"/>
              <w:rPr>
                <w:sz w:val="1"/>
                <w:szCs w:val="1"/>
                <w:color w:val="auto"/>
              </w:rPr>
            </w:pPr>
          </w:p>
        </w:tc>
        <w:tc>
          <w:tcPr>
            <w:tcW w:w="46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1"/>
        </w:trPr>
        <w:tc>
          <w:tcPr>
            <w:tcW w:w="8700" w:type="dxa"/>
            <w:vAlign w:val="bottom"/>
            <w:gridSpan w:val="7"/>
          </w:tcPr>
          <w:p>
            <w:pPr>
              <w:spacing w:after="0"/>
              <w:rPr>
                <w:sz w:val="20"/>
                <w:szCs w:val="20"/>
                <w:color w:val="auto"/>
              </w:rPr>
            </w:pPr>
            <w:r>
              <w:rPr>
                <w:rFonts w:ascii="Arial" w:cs="Arial" w:eastAsia="Arial" w:hAnsi="Arial"/>
                <w:sz w:val="18"/>
                <w:szCs w:val="18"/>
                <w:color w:val="auto"/>
              </w:rPr>
              <w:t>Activity in the allowance for doubtful accounts for the nine months ended February 24, 2018 was as follows:</w:t>
            </w:r>
          </w:p>
        </w:tc>
        <w:tc>
          <w:tcPr>
            <w:tcW w:w="1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0"/>
        </w:trPr>
        <w:tc>
          <w:tcPr>
            <w:tcW w:w="660" w:type="dxa"/>
            <w:vAlign w:val="bottom"/>
          </w:tcPr>
          <w:p>
            <w:pPr>
              <w:spacing w:after="0"/>
              <w:rPr>
                <w:sz w:val="24"/>
                <w:szCs w:val="24"/>
                <w:color w:val="auto"/>
              </w:rPr>
            </w:pPr>
          </w:p>
        </w:tc>
        <w:tc>
          <w:tcPr>
            <w:tcW w:w="50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gridSpan w:val="2"/>
          </w:tcPr>
          <w:p>
            <w:pPr>
              <w:jc w:val="right"/>
              <w:ind w:right="510"/>
              <w:spacing w:after="0"/>
              <w:rPr>
                <w:sz w:val="20"/>
                <w:szCs w:val="20"/>
                <w:color w:val="auto"/>
              </w:rPr>
            </w:pPr>
            <w:r>
              <w:rPr>
                <w:rFonts w:ascii="Arial" w:cs="Arial" w:eastAsia="Arial" w:hAnsi="Arial"/>
                <w:sz w:val="18"/>
                <w:szCs w:val="18"/>
                <w:color w:val="auto"/>
                <w:w w:val="94"/>
              </w:rPr>
              <w:t>2018</w:t>
            </w:r>
          </w:p>
        </w:tc>
        <w:tc>
          <w:tcPr>
            <w:tcW w:w="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9"/>
        </w:trPr>
        <w:tc>
          <w:tcPr>
            <w:tcW w:w="660" w:type="dxa"/>
            <w:vAlign w:val="bottom"/>
            <w:vMerge w:val="restart"/>
          </w:tcPr>
          <w:p>
            <w:pPr>
              <w:spacing w:after="0"/>
              <w:rPr>
                <w:sz w:val="18"/>
                <w:szCs w:val="18"/>
                <w:color w:val="auto"/>
              </w:rPr>
            </w:pPr>
          </w:p>
        </w:tc>
        <w:tc>
          <w:tcPr>
            <w:tcW w:w="504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660" w:type="dxa"/>
            <w:vAlign w:val="bottom"/>
            <w:vMerge w:val="continue"/>
          </w:tcPr>
          <w:p>
            <w:pPr>
              <w:spacing w:after="0"/>
              <w:rPr>
                <w:sz w:val="18"/>
                <w:szCs w:val="18"/>
                <w:color w:val="auto"/>
              </w:rPr>
            </w:pPr>
          </w:p>
        </w:tc>
        <w:tc>
          <w:tcPr>
            <w:tcW w:w="5040" w:type="dxa"/>
            <w:vAlign w:val="bottom"/>
            <w:shd w:val="clear" w:color="auto" w:fill="CCEEFF"/>
          </w:tcPr>
          <w:p>
            <w:pPr>
              <w:spacing w:after="0"/>
              <w:rPr>
                <w:sz w:val="20"/>
                <w:szCs w:val="20"/>
                <w:color w:val="auto"/>
              </w:rPr>
            </w:pPr>
            <w:r>
              <w:rPr>
                <w:rFonts w:ascii="Arial" w:cs="Arial" w:eastAsia="Arial" w:hAnsi="Arial"/>
                <w:sz w:val="18"/>
                <w:szCs w:val="18"/>
                <w:color w:val="auto"/>
              </w:rPr>
              <w:t>Balance at November 25, 2017</w:t>
            </w:r>
          </w:p>
        </w:tc>
        <w:tc>
          <w:tcPr>
            <w:tcW w:w="12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19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617</w:t>
            </w:r>
          </w:p>
        </w:tc>
        <w:tc>
          <w:tcPr>
            <w:tcW w:w="4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660" w:type="dxa"/>
            <w:vAlign w:val="bottom"/>
          </w:tcPr>
          <w:p>
            <w:pPr>
              <w:spacing w:after="0"/>
              <w:rPr>
                <w:sz w:val="18"/>
                <w:szCs w:val="18"/>
                <w:color w:val="auto"/>
              </w:rPr>
            </w:pPr>
          </w:p>
        </w:tc>
        <w:tc>
          <w:tcPr>
            <w:tcW w:w="5040" w:type="dxa"/>
            <w:vAlign w:val="bottom"/>
          </w:tcPr>
          <w:p>
            <w:pPr>
              <w:spacing w:after="0"/>
              <w:rPr>
                <w:sz w:val="20"/>
                <w:szCs w:val="20"/>
                <w:color w:val="auto"/>
              </w:rPr>
            </w:pPr>
            <w:r>
              <w:rPr>
                <w:rFonts w:ascii="Arial" w:cs="Arial" w:eastAsia="Arial" w:hAnsi="Arial"/>
                <w:sz w:val="18"/>
                <w:szCs w:val="18"/>
                <w:color w:val="auto"/>
              </w:rPr>
              <w:t>Acquired allowance on accounts receivable (Note 3)</w:t>
            </w:r>
          </w:p>
        </w:tc>
        <w:tc>
          <w:tcPr>
            <w:tcW w:w="12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00" w:type="dxa"/>
            <w:vAlign w:val="bottom"/>
            <w:gridSpan w:val="2"/>
          </w:tcPr>
          <w:p>
            <w:pPr>
              <w:jc w:val="right"/>
              <w:ind w:right="80"/>
              <w:spacing w:after="0"/>
              <w:rPr>
                <w:sz w:val="20"/>
                <w:szCs w:val="20"/>
                <w:color w:val="auto"/>
              </w:rPr>
            </w:pPr>
            <w:r>
              <w:rPr>
                <w:rFonts w:ascii="Arial" w:cs="Arial" w:eastAsia="Arial" w:hAnsi="Arial"/>
                <w:sz w:val="18"/>
                <w:szCs w:val="18"/>
                <w:color w:val="auto"/>
              </w:rPr>
              <w:t>200</w:t>
            </w:r>
          </w:p>
        </w:tc>
        <w:tc>
          <w:tcPr>
            <w:tcW w:w="4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660" w:type="dxa"/>
            <w:vAlign w:val="bottom"/>
          </w:tcPr>
          <w:p>
            <w:pPr>
              <w:spacing w:after="0"/>
              <w:rPr>
                <w:sz w:val="18"/>
                <w:szCs w:val="18"/>
                <w:color w:val="auto"/>
              </w:rPr>
            </w:pPr>
          </w:p>
        </w:tc>
        <w:tc>
          <w:tcPr>
            <w:tcW w:w="5040" w:type="dxa"/>
            <w:vAlign w:val="bottom"/>
            <w:shd w:val="clear" w:color="auto" w:fill="CCEEFF"/>
          </w:tcPr>
          <w:p>
            <w:pPr>
              <w:spacing w:after="0"/>
              <w:rPr>
                <w:sz w:val="20"/>
                <w:szCs w:val="20"/>
                <w:color w:val="auto"/>
              </w:rPr>
            </w:pPr>
            <w:r>
              <w:rPr>
                <w:rFonts w:ascii="Arial" w:cs="Arial" w:eastAsia="Arial" w:hAnsi="Arial"/>
                <w:sz w:val="18"/>
                <w:szCs w:val="18"/>
                <w:color w:val="auto"/>
              </w:rPr>
              <w:t>Additions charged to expense</w:t>
            </w:r>
          </w:p>
        </w:tc>
        <w:tc>
          <w:tcPr>
            <w:tcW w:w="12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w:t>
            </w:r>
          </w:p>
        </w:tc>
        <w:tc>
          <w:tcPr>
            <w:tcW w:w="80" w:type="dxa"/>
            <w:vAlign w:val="bottom"/>
            <w:shd w:val="clear" w:color="auto" w:fill="CCEEFF"/>
          </w:tcPr>
          <w:p>
            <w:pPr>
              <w:spacing w:after="0"/>
              <w:rPr>
                <w:sz w:val="18"/>
                <w:szCs w:val="18"/>
                <w:color w:val="auto"/>
              </w:rPr>
            </w:pPr>
          </w:p>
        </w:tc>
        <w:tc>
          <w:tcPr>
            <w:tcW w:w="4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660" w:type="dxa"/>
            <w:vAlign w:val="bottom"/>
          </w:tcPr>
          <w:p>
            <w:pPr>
              <w:spacing w:after="0"/>
              <w:rPr>
                <w:sz w:val="18"/>
                <w:szCs w:val="18"/>
                <w:color w:val="auto"/>
              </w:rPr>
            </w:pPr>
          </w:p>
        </w:tc>
        <w:tc>
          <w:tcPr>
            <w:tcW w:w="5040" w:type="dxa"/>
            <w:vAlign w:val="bottom"/>
          </w:tcPr>
          <w:p>
            <w:pPr>
              <w:spacing w:after="0"/>
              <w:rPr>
                <w:sz w:val="20"/>
                <w:szCs w:val="20"/>
                <w:color w:val="auto"/>
              </w:rPr>
            </w:pPr>
            <w:r>
              <w:rPr>
                <w:rFonts w:ascii="Arial" w:cs="Arial" w:eastAsia="Arial" w:hAnsi="Arial"/>
                <w:sz w:val="18"/>
                <w:szCs w:val="18"/>
                <w:color w:val="auto"/>
              </w:rPr>
              <w:t>Write-offs and other reductions</w:t>
            </w:r>
          </w:p>
        </w:tc>
        <w:tc>
          <w:tcPr>
            <w:tcW w:w="12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00" w:type="dxa"/>
            <w:vAlign w:val="bottom"/>
            <w:gridSpan w:val="2"/>
          </w:tcPr>
          <w:p>
            <w:pPr>
              <w:jc w:val="right"/>
              <w:ind w:right="20"/>
              <w:spacing w:after="0"/>
              <w:rPr>
                <w:sz w:val="20"/>
                <w:szCs w:val="20"/>
                <w:color w:val="auto"/>
              </w:rPr>
            </w:pPr>
            <w:r>
              <w:rPr>
                <w:rFonts w:ascii="Arial" w:cs="Arial" w:eastAsia="Arial" w:hAnsi="Arial"/>
                <w:sz w:val="18"/>
                <w:szCs w:val="18"/>
                <w:color w:val="auto"/>
              </w:rPr>
              <w:t>(19)</w:t>
            </w:r>
          </w:p>
        </w:tc>
        <w:tc>
          <w:tcPr>
            <w:tcW w:w="4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660" w:type="dxa"/>
            <w:vAlign w:val="bottom"/>
          </w:tcPr>
          <w:p>
            <w:pPr>
              <w:spacing w:after="0"/>
              <w:rPr>
                <w:sz w:val="21"/>
                <w:szCs w:val="21"/>
                <w:color w:val="auto"/>
              </w:rPr>
            </w:pPr>
          </w:p>
        </w:tc>
        <w:tc>
          <w:tcPr>
            <w:tcW w:w="504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Balance at February 24, 2018</w:t>
            </w:r>
          </w:p>
        </w:tc>
        <w:tc>
          <w:tcPr>
            <w:tcW w:w="126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top w:val="single" w:sz="8" w:color="auto"/>
              <w:bottom w:val="single" w:sz="8" w:color="auto"/>
            </w:tcBorders>
            <w:shd w:val="clear" w:color="auto" w:fill="CCEEFF"/>
          </w:tcPr>
          <w:p>
            <w:pPr>
              <w:jc w:val="right"/>
              <w:ind w:right="190"/>
              <w:spacing w:after="0"/>
              <w:rPr>
                <w:sz w:val="20"/>
                <w:szCs w:val="20"/>
                <w:color w:val="auto"/>
              </w:rPr>
            </w:pPr>
            <w:r>
              <w:rPr>
                <w:rFonts w:ascii="Arial" w:cs="Arial" w:eastAsia="Arial" w:hAnsi="Arial"/>
                <w:sz w:val="18"/>
                <w:szCs w:val="18"/>
                <w:color w:val="auto"/>
                <w:w w:val="79"/>
              </w:rPr>
              <w:t>$</w:t>
            </w:r>
          </w:p>
        </w:tc>
        <w:tc>
          <w:tcPr>
            <w:tcW w:w="180" w:type="dxa"/>
            <w:vAlign w:val="bottom"/>
            <w:tcBorders>
              <w:top w:val="single" w:sz="8" w:color="auto"/>
              <w:bottom w:val="single" w:sz="8" w:color="auto"/>
            </w:tcBorders>
            <w:shd w:val="clear" w:color="auto" w:fill="CCEEFF"/>
          </w:tcPr>
          <w:p>
            <w:pPr>
              <w:spacing w:after="0"/>
              <w:rPr>
                <w:sz w:val="21"/>
                <w:szCs w:val="21"/>
                <w:color w:val="auto"/>
              </w:rPr>
            </w:pPr>
          </w:p>
        </w:tc>
        <w:tc>
          <w:tcPr>
            <w:tcW w:w="180" w:type="dxa"/>
            <w:vAlign w:val="bottom"/>
            <w:tcBorders>
              <w:top w:val="single" w:sz="8" w:color="auto"/>
              <w:bottom w:val="single" w:sz="8" w:color="auto"/>
            </w:tcBorders>
            <w:shd w:val="clear" w:color="auto" w:fill="CCEEFF"/>
          </w:tcPr>
          <w:p>
            <w:pPr>
              <w:spacing w:after="0"/>
              <w:rPr>
                <w:sz w:val="21"/>
                <w:szCs w:val="21"/>
                <w:color w:val="auto"/>
              </w:rPr>
            </w:pPr>
          </w:p>
        </w:tc>
        <w:tc>
          <w:tcPr>
            <w:tcW w:w="8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878</w:t>
            </w:r>
          </w:p>
        </w:tc>
        <w:tc>
          <w:tcPr>
            <w:tcW w:w="80" w:type="dxa"/>
            <w:vAlign w:val="bottom"/>
            <w:tcBorders>
              <w:bottom w:val="single" w:sz="8" w:color="CCEEFF"/>
            </w:tcBorders>
            <w:shd w:val="clear" w:color="auto" w:fill="CCEEFF"/>
          </w:tcPr>
          <w:p>
            <w:pPr>
              <w:spacing w:after="0"/>
              <w:rPr>
                <w:sz w:val="21"/>
                <w:szCs w:val="21"/>
                <w:color w:val="auto"/>
              </w:rPr>
            </w:pPr>
          </w:p>
        </w:tc>
        <w:tc>
          <w:tcPr>
            <w:tcW w:w="4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bl>
    <w:p>
      <w:pPr>
        <w:spacing w:after="0" w:line="201" w:lineRule="exact"/>
        <w:rPr>
          <w:sz w:val="20"/>
          <w:szCs w:val="20"/>
          <w:color w:val="auto"/>
        </w:rPr>
      </w:pPr>
    </w:p>
    <w:p>
      <w:pPr>
        <w:jc w:val="both"/>
        <w:spacing w:after="0" w:line="262" w:lineRule="auto"/>
        <w:rPr>
          <w:sz w:val="20"/>
          <w:szCs w:val="20"/>
          <w:color w:val="auto"/>
        </w:rPr>
      </w:pPr>
      <w:r>
        <w:rPr>
          <w:rFonts w:ascii="Arial" w:cs="Arial" w:eastAsia="Arial" w:hAnsi="Arial"/>
          <w:sz w:val="18"/>
          <w:szCs w:val="18"/>
          <w:color w:val="auto"/>
        </w:rPr>
        <w:t xml:space="preserve">We believe that the carrying value of our net accounts receivable approximates fair value. The inputs into these fair value estimates reflect our market assumptions and are not observable. Consequently, the inputs are considered to be Level 3 as specified in the fair value hierarchy in ASC Topic 820, </w:t>
      </w:r>
      <w:r>
        <w:rPr>
          <w:rFonts w:ascii="Arial" w:cs="Arial" w:eastAsia="Arial" w:hAnsi="Arial"/>
          <w:sz w:val="18"/>
          <w:szCs w:val="18"/>
          <w:i w:val="1"/>
          <w:iCs w:val="1"/>
          <w:color w:val="auto"/>
        </w:rPr>
        <w:t>Fair</w:t>
      </w:r>
      <w:r>
        <w:rPr>
          <w:rFonts w:ascii="Arial" w:cs="Arial" w:eastAsia="Arial" w:hAnsi="Arial"/>
          <w:sz w:val="18"/>
          <w:szCs w:val="18"/>
          <w:color w:val="auto"/>
        </w:rPr>
        <w:t xml:space="preserve"> </w:t>
      </w:r>
      <w:r>
        <w:rPr>
          <w:rFonts w:ascii="Arial" w:cs="Arial" w:eastAsia="Arial" w:hAnsi="Arial"/>
          <w:sz w:val="18"/>
          <w:szCs w:val="18"/>
          <w:i w:val="1"/>
          <w:iCs w:val="1"/>
          <w:color w:val="auto"/>
        </w:rPr>
        <w:t>Value Measurements and Disclosures</w:t>
      </w:r>
      <w:r>
        <w:rPr>
          <w:rFonts w:ascii="Arial" w:cs="Arial" w:eastAsia="Arial" w:hAnsi="Arial"/>
          <w:sz w:val="18"/>
          <w:szCs w:val="18"/>
          <w:color w:val="auto"/>
        </w:rPr>
        <w:t>. See Note 4.</w:t>
      </w:r>
    </w:p>
    <w:p>
      <w:pPr>
        <w:spacing w:after="0" w:line="18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82550</wp:posOffset>
            </wp:positionV>
            <wp:extent cx="7247255" cy="171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47255" cy="17145"/>
                    </a:xfrm>
                    <a:prstGeom prst="rect">
                      <a:avLst/>
                    </a:prstGeom>
                    <a:noFill/>
                  </pic:spPr>
                </pic:pic>
              </a:graphicData>
            </a:graphic>
          </wp:anchor>
        </w:drawing>
      </w:r>
    </w:p>
    <w:p>
      <w:pPr>
        <w:sectPr>
          <w:pgSz w:w="11900" w:h="16838" w:orient="portrait"/>
          <w:cols w:equalWidth="0" w:num="1">
            <w:col w:w="11420"/>
          </w:cols>
          <w:pgMar w:left="240" w:top="583" w:right="239" w:bottom="1440" w:gutter="0" w:footer="0" w:header="0"/>
        </w:sectPr>
      </w:pPr>
    </w:p>
    <w:bookmarkStart w:id="11" w:name="page12"/>
    <w:bookmarkEnd w:id="11"/>
    <w:p>
      <w:pPr>
        <w:jc w:val="center"/>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NOTES TO CONDENSED CONSOLIDATED FINANCIAL STATEMENTS-UNAUDITED</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FEBRUARY 24, 2018</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00" w:lineRule="exact"/>
        <w:rPr>
          <w:sz w:val="20"/>
          <w:szCs w:val="20"/>
          <w:color w:val="auto"/>
        </w:rPr>
      </w:pPr>
    </w:p>
    <w:p>
      <w:pPr>
        <w:spacing w:after="0" w:line="24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6. Inventories</w:t>
      </w:r>
    </w:p>
    <w:p>
      <w:pPr>
        <w:spacing w:after="0" w:line="228" w:lineRule="exact"/>
        <w:rPr>
          <w:sz w:val="20"/>
          <w:szCs w:val="20"/>
          <w:color w:val="auto"/>
        </w:rPr>
      </w:pPr>
    </w:p>
    <w:p>
      <w:pPr>
        <w:jc w:val="both"/>
        <w:spacing w:after="0" w:line="306" w:lineRule="auto"/>
        <w:rPr>
          <w:sz w:val="20"/>
          <w:szCs w:val="20"/>
          <w:color w:val="auto"/>
        </w:rPr>
      </w:pPr>
      <w:r>
        <w:rPr>
          <w:rFonts w:ascii="Arial" w:cs="Arial" w:eastAsia="Arial" w:hAnsi="Arial"/>
          <w:sz w:val="17"/>
          <w:szCs w:val="17"/>
          <w:color w:val="auto"/>
        </w:rPr>
        <w:t>Inventories are valued at the lower of cost or net realizable value. Cost is determined for domestic furniture inventories using the last-in, first-out (LIFO) method. The costs for imported inventories and those applicable to Lane Venture are determined using the first-in, first-out (FIFO) method.</w:t>
      </w:r>
    </w:p>
    <w:p>
      <w:pPr>
        <w:spacing w:after="0" w:line="148"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960" w:type="dxa"/>
            <w:vAlign w:val="bottom"/>
            <w:gridSpan w:val="2"/>
          </w:tcPr>
          <w:p>
            <w:pPr>
              <w:spacing w:after="0"/>
              <w:rPr>
                <w:sz w:val="20"/>
                <w:szCs w:val="20"/>
                <w:color w:val="auto"/>
              </w:rPr>
            </w:pPr>
            <w:r>
              <w:rPr>
                <w:rFonts w:ascii="Arial" w:cs="Arial" w:eastAsia="Arial" w:hAnsi="Arial"/>
                <w:sz w:val="18"/>
                <w:szCs w:val="18"/>
                <w:color w:val="auto"/>
              </w:rPr>
              <w:t>Inventories were comprised of the following:</w:t>
            </w:r>
          </w:p>
        </w:tc>
        <w:tc>
          <w:tcPr>
            <w:tcW w:w="20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16"/>
        </w:trPr>
        <w:tc>
          <w:tcPr>
            <w:tcW w:w="660" w:type="dxa"/>
            <w:vAlign w:val="bottom"/>
          </w:tcPr>
          <w:p>
            <w:pPr>
              <w:spacing w:after="0"/>
              <w:rPr>
                <w:sz w:val="24"/>
                <w:szCs w:val="24"/>
                <w:color w:val="auto"/>
              </w:rPr>
            </w:pPr>
          </w:p>
        </w:tc>
        <w:tc>
          <w:tcPr>
            <w:tcW w:w="63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540" w:type="dxa"/>
            <w:vAlign w:val="bottom"/>
            <w:gridSpan w:val="2"/>
          </w:tcPr>
          <w:p>
            <w:pPr>
              <w:jc w:val="right"/>
              <w:ind w:right="500"/>
              <w:spacing w:after="0"/>
              <w:rPr>
                <w:sz w:val="20"/>
                <w:szCs w:val="20"/>
                <w:color w:val="auto"/>
              </w:rPr>
            </w:pPr>
            <w:r>
              <w:rPr>
                <w:rFonts w:ascii="Arial" w:cs="Arial" w:eastAsia="Arial" w:hAnsi="Arial"/>
                <w:sz w:val="18"/>
                <w:szCs w:val="18"/>
                <w:color w:val="auto"/>
                <w:w w:val="99"/>
              </w:rPr>
              <w:t>February 24,</w:t>
            </w:r>
          </w:p>
        </w:tc>
        <w:tc>
          <w:tcPr>
            <w:tcW w:w="180" w:type="dxa"/>
            <w:vAlign w:val="bottom"/>
          </w:tcPr>
          <w:p>
            <w:pPr>
              <w:spacing w:after="0"/>
              <w:rPr>
                <w:sz w:val="24"/>
                <w:szCs w:val="24"/>
                <w:color w:val="auto"/>
              </w:rPr>
            </w:pPr>
          </w:p>
        </w:tc>
        <w:tc>
          <w:tcPr>
            <w:tcW w:w="1460" w:type="dxa"/>
            <w:vAlign w:val="bottom"/>
            <w:gridSpan w:val="2"/>
          </w:tcPr>
          <w:p>
            <w:pPr>
              <w:jc w:val="center"/>
              <w:ind w:right="280"/>
              <w:spacing w:after="0"/>
              <w:rPr>
                <w:sz w:val="20"/>
                <w:szCs w:val="20"/>
                <w:color w:val="auto"/>
              </w:rPr>
            </w:pPr>
            <w:r>
              <w:rPr>
                <w:rFonts w:ascii="Arial" w:cs="Arial" w:eastAsia="Arial" w:hAnsi="Arial"/>
                <w:sz w:val="18"/>
                <w:szCs w:val="18"/>
                <w:color w:val="auto"/>
                <w:w w:val="90"/>
              </w:rPr>
              <w:t>November 25,</w:t>
            </w:r>
          </w:p>
        </w:tc>
        <w:tc>
          <w:tcPr>
            <w:tcW w:w="0" w:type="dxa"/>
            <w:vAlign w:val="bottom"/>
          </w:tcPr>
          <w:p>
            <w:pPr>
              <w:spacing w:after="0"/>
              <w:rPr>
                <w:sz w:val="1"/>
                <w:szCs w:val="1"/>
                <w:color w:val="auto"/>
              </w:rPr>
            </w:pPr>
          </w:p>
        </w:tc>
      </w:tr>
      <w:tr>
        <w:trPr>
          <w:trHeight w:val="230"/>
        </w:trPr>
        <w:tc>
          <w:tcPr>
            <w:tcW w:w="660" w:type="dxa"/>
            <w:vAlign w:val="bottom"/>
          </w:tcPr>
          <w:p>
            <w:pPr>
              <w:spacing w:after="0"/>
              <w:rPr>
                <w:sz w:val="19"/>
                <w:szCs w:val="19"/>
                <w:color w:val="auto"/>
              </w:rPr>
            </w:pPr>
          </w:p>
        </w:tc>
        <w:tc>
          <w:tcPr>
            <w:tcW w:w="6300" w:type="dxa"/>
            <w:vAlign w:val="bottom"/>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ind w:right="510"/>
              <w:spacing w:after="0"/>
              <w:rPr>
                <w:sz w:val="20"/>
                <w:szCs w:val="20"/>
                <w:color w:val="auto"/>
              </w:rPr>
            </w:pPr>
            <w:r>
              <w:rPr>
                <w:rFonts w:ascii="Arial" w:cs="Arial" w:eastAsia="Arial" w:hAnsi="Arial"/>
                <w:sz w:val="18"/>
                <w:szCs w:val="18"/>
                <w:color w:val="auto"/>
              </w:rPr>
              <w:t>2018</w:t>
            </w:r>
          </w:p>
        </w:tc>
        <w:tc>
          <w:tcPr>
            <w:tcW w:w="18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ind w:right="490"/>
              <w:spacing w:after="0"/>
              <w:rPr>
                <w:sz w:val="20"/>
                <w:szCs w:val="20"/>
                <w:color w:val="auto"/>
              </w:rPr>
            </w:pPr>
            <w:r>
              <w:rPr>
                <w:rFonts w:ascii="Arial" w:cs="Arial" w:eastAsia="Arial" w:hAnsi="Arial"/>
                <w:sz w:val="18"/>
                <w:szCs w:val="18"/>
                <w:color w:val="auto"/>
              </w:rPr>
              <w:t>2017</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9"/>
        </w:trPr>
        <w:tc>
          <w:tcPr>
            <w:tcW w:w="660" w:type="dxa"/>
            <w:vAlign w:val="bottom"/>
          </w:tcPr>
          <w:p>
            <w:pPr>
              <w:spacing w:after="0"/>
              <w:rPr>
                <w:sz w:val="18"/>
                <w:szCs w:val="18"/>
                <w:color w:val="auto"/>
              </w:rPr>
            </w:pPr>
          </w:p>
        </w:tc>
        <w:tc>
          <w:tcPr>
            <w:tcW w:w="6300" w:type="dxa"/>
            <w:vAlign w:val="bottom"/>
            <w:shd w:val="clear" w:color="auto" w:fill="CCEEFF"/>
          </w:tcPr>
          <w:p>
            <w:pPr>
              <w:spacing w:after="0"/>
              <w:rPr>
                <w:sz w:val="20"/>
                <w:szCs w:val="20"/>
                <w:color w:val="auto"/>
              </w:rPr>
            </w:pPr>
            <w:r>
              <w:rPr>
                <w:rFonts w:ascii="Arial" w:cs="Arial" w:eastAsia="Arial" w:hAnsi="Arial"/>
                <w:sz w:val="18"/>
                <w:szCs w:val="18"/>
                <w:color w:val="auto"/>
              </w:rPr>
              <w:t>Wholesale finished goods</w:t>
            </w: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29,378</w:t>
            </w:r>
          </w:p>
        </w:tc>
        <w:tc>
          <w:tcPr>
            <w:tcW w:w="180" w:type="dxa"/>
            <w:vAlign w:val="bottom"/>
            <w:shd w:val="clear" w:color="auto" w:fill="CCEEFF"/>
          </w:tcPr>
          <w:p>
            <w:pPr>
              <w:spacing w:after="0"/>
              <w:rPr>
                <w:sz w:val="18"/>
                <w:szCs w:val="18"/>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26,145</w:t>
            </w:r>
          </w:p>
        </w:tc>
        <w:tc>
          <w:tcPr>
            <w:tcW w:w="0" w:type="dxa"/>
            <w:vAlign w:val="bottom"/>
          </w:tcPr>
          <w:p>
            <w:pPr>
              <w:spacing w:after="0"/>
              <w:rPr>
                <w:sz w:val="1"/>
                <w:szCs w:val="1"/>
                <w:color w:val="auto"/>
              </w:rPr>
            </w:pPr>
          </w:p>
        </w:tc>
      </w:tr>
      <w:tr>
        <w:trPr>
          <w:trHeight w:val="215"/>
        </w:trPr>
        <w:tc>
          <w:tcPr>
            <w:tcW w:w="660" w:type="dxa"/>
            <w:vAlign w:val="bottom"/>
          </w:tcPr>
          <w:p>
            <w:pPr>
              <w:spacing w:after="0"/>
              <w:rPr>
                <w:sz w:val="18"/>
                <w:szCs w:val="18"/>
                <w:color w:val="auto"/>
              </w:rPr>
            </w:pPr>
          </w:p>
        </w:tc>
        <w:tc>
          <w:tcPr>
            <w:tcW w:w="6300" w:type="dxa"/>
            <w:vAlign w:val="bottom"/>
          </w:tcPr>
          <w:p>
            <w:pPr>
              <w:spacing w:after="0"/>
              <w:rPr>
                <w:sz w:val="20"/>
                <w:szCs w:val="20"/>
                <w:color w:val="auto"/>
              </w:rPr>
            </w:pPr>
            <w:r>
              <w:rPr>
                <w:rFonts w:ascii="Arial" w:cs="Arial" w:eastAsia="Arial" w:hAnsi="Arial"/>
                <w:sz w:val="18"/>
                <w:szCs w:val="18"/>
                <w:color w:val="auto"/>
              </w:rPr>
              <w:t>Work in process</w:t>
            </w:r>
          </w:p>
        </w:tc>
        <w:tc>
          <w:tcPr>
            <w:tcW w:w="20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443</w:t>
            </w: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60" w:type="dxa"/>
            <w:vAlign w:val="bottom"/>
            <w:gridSpan w:val="2"/>
          </w:tcPr>
          <w:p>
            <w:pPr>
              <w:jc w:val="right"/>
              <w:ind w:right="100"/>
              <w:spacing w:after="0"/>
              <w:rPr>
                <w:sz w:val="20"/>
                <w:szCs w:val="20"/>
                <w:color w:val="auto"/>
              </w:rPr>
            </w:pPr>
            <w:r>
              <w:rPr>
                <w:rFonts w:ascii="Arial" w:cs="Arial" w:eastAsia="Arial" w:hAnsi="Arial"/>
                <w:sz w:val="18"/>
                <w:szCs w:val="18"/>
                <w:color w:val="auto"/>
              </w:rPr>
              <w:t>388</w:t>
            </w:r>
          </w:p>
        </w:tc>
        <w:tc>
          <w:tcPr>
            <w:tcW w:w="0" w:type="dxa"/>
            <w:vAlign w:val="bottom"/>
          </w:tcPr>
          <w:p>
            <w:pPr>
              <w:spacing w:after="0"/>
              <w:rPr>
                <w:sz w:val="1"/>
                <w:szCs w:val="1"/>
                <w:color w:val="auto"/>
              </w:rPr>
            </w:pPr>
          </w:p>
        </w:tc>
      </w:tr>
      <w:tr>
        <w:trPr>
          <w:trHeight w:val="215"/>
        </w:trPr>
        <w:tc>
          <w:tcPr>
            <w:tcW w:w="660" w:type="dxa"/>
            <w:vAlign w:val="bottom"/>
          </w:tcPr>
          <w:p>
            <w:pPr>
              <w:spacing w:after="0"/>
              <w:rPr>
                <w:sz w:val="18"/>
                <w:szCs w:val="18"/>
                <w:color w:val="auto"/>
              </w:rPr>
            </w:pPr>
          </w:p>
        </w:tc>
        <w:tc>
          <w:tcPr>
            <w:tcW w:w="6300" w:type="dxa"/>
            <w:vAlign w:val="bottom"/>
            <w:shd w:val="clear" w:color="auto" w:fill="CCEEFF"/>
          </w:tcPr>
          <w:p>
            <w:pPr>
              <w:spacing w:after="0"/>
              <w:rPr>
                <w:sz w:val="20"/>
                <w:szCs w:val="20"/>
                <w:color w:val="auto"/>
              </w:rPr>
            </w:pPr>
            <w:r>
              <w:rPr>
                <w:rFonts w:ascii="Arial" w:cs="Arial" w:eastAsia="Arial" w:hAnsi="Arial"/>
                <w:sz w:val="18"/>
                <w:szCs w:val="18"/>
                <w:color w:val="auto"/>
              </w:rPr>
              <w:t>Raw materials and supplies</w:t>
            </w:r>
          </w:p>
        </w:tc>
        <w:tc>
          <w:tcPr>
            <w:tcW w:w="200" w:type="dxa"/>
            <w:vAlign w:val="bottom"/>
            <w:shd w:val="clear" w:color="auto" w:fill="CCEEFF"/>
          </w:tcPr>
          <w:p>
            <w:pPr>
              <w:spacing w:after="0"/>
              <w:rPr>
                <w:sz w:val="18"/>
                <w:szCs w:val="18"/>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15,782</w:t>
            </w:r>
          </w:p>
        </w:tc>
        <w:tc>
          <w:tcPr>
            <w:tcW w:w="1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11,808</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660" w:type="dxa"/>
            <w:vAlign w:val="bottom"/>
          </w:tcPr>
          <w:p>
            <w:pPr>
              <w:spacing w:after="0"/>
              <w:rPr>
                <w:sz w:val="18"/>
                <w:szCs w:val="18"/>
                <w:color w:val="auto"/>
              </w:rPr>
            </w:pPr>
          </w:p>
        </w:tc>
        <w:tc>
          <w:tcPr>
            <w:tcW w:w="6300" w:type="dxa"/>
            <w:vAlign w:val="bottom"/>
          </w:tcPr>
          <w:p>
            <w:pPr>
              <w:spacing w:after="0"/>
              <w:rPr>
                <w:sz w:val="20"/>
                <w:szCs w:val="20"/>
                <w:color w:val="auto"/>
              </w:rPr>
            </w:pPr>
            <w:r>
              <w:rPr>
                <w:rFonts w:ascii="Arial" w:cs="Arial" w:eastAsia="Arial" w:hAnsi="Arial"/>
                <w:sz w:val="18"/>
                <w:szCs w:val="18"/>
                <w:color w:val="auto"/>
              </w:rPr>
              <w:t>Retail merchandise</w:t>
            </w:r>
          </w:p>
        </w:tc>
        <w:tc>
          <w:tcPr>
            <w:tcW w:w="20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28,203</w:t>
            </w: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60" w:type="dxa"/>
            <w:vAlign w:val="bottom"/>
            <w:gridSpan w:val="2"/>
          </w:tcPr>
          <w:p>
            <w:pPr>
              <w:jc w:val="right"/>
              <w:ind w:right="100"/>
              <w:spacing w:after="0"/>
              <w:rPr>
                <w:sz w:val="20"/>
                <w:szCs w:val="20"/>
                <w:color w:val="auto"/>
              </w:rPr>
            </w:pPr>
            <w:r>
              <w:rPr>
                <w:rFonts w:ascii="Arial" w:cs="Arial" w:eastAsia="Arial" w:hAnsi="Arial"/>
                <w:sz w:val="18"/>
                <w:szCs w:val="18"/>
                <w:color w:val="auto"/>
              </w:rPr>
              <w:t>26,173</w:t>
            </w:r>
          </w:p>
        </w:tc>
        <w:tc>
          <w:tcPr>
            <w:tcW w:w="0" w:type="dxa"/>
            <w:vAlign w:val="bottom"/>
          </w:tcPr>
          <w:p>
            <w:pPr>
              <w:spacing w:after="0"/>
              <w:rPr>
                <w:sz w:val="1"/>
                <w:szCs w:val="1"/>
                <w:color w:val="auto"/>
              </w:rPr>
            </w:pPr>
          </w:p>
        </w:tc>
      </w:tr>
      <w:tr>
        <w:trPr>
          <w:trHeight w:val="20"/>
        </w:trPr>
        <w:tc>
          <w:tcPr>
            <w:tcW w:w="660" w:type="dxa"/>
            <w:vAlign w:val="bottom"/>
            <w:vMerge w:val="restart"/>
          </w:tcPr>
          <w:p>
            <w:pPr>
              <w:spacing w:after="0" w:line="20" w:lineRule="exact"/>
              <w:rPr>
                <w:sz w:val="1"/>
                <w:szCs w:val="1"/>
                <w:color w:val="auto"/>
              </w:rPr>
            </w:pPr>
          </w:p>
        </w:tc>
        <w:tc>
          <w:tcPr>
            <w:tcW w:w="630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660" w:type="dxa"/>
            <w:vAlign w:val="bottom"/>
            <w:vMerge w:val="continue"/>
          </w:tcPr>
          <w:p>
            <w:pPr>
              <w:spacing w:after="0"/>
              <w:rPr>
                <w:sz w:val="18"/>
                <w:szCs w:val="18"/>
                <w:color w:val="auto"/>
              </w:rPr>
            </w:pPr>
          </w:p>
        </w:tc>
        <w:tc>
          <w:tcPr>
            <w:tcW w:w="6300" w:type="dxa"/>
            <w:vAlign w:val="bottom"/>
            <w:shd w:val="clear" w:color="auto" w:fill="CCEEFF"/>
          </w:tcPr>
          <w:p>
            <w:pPr>
              <w:spacing w:after="0"/>
              <w:rPr>
                <w:sz w:val="20"/>
                <w:szCs w:val="20"/>
                <w:color w:val="auto"/>
              </w:rPr>
            </w:pPr>
            <w:r>
              <w:rPr>
                <w:rFonts w:ascii="Arial" w:cs="Arial" w:eastAsia="Arial" w:hAnsi="Arial"/>
                <w:sz w:val="18"/>
                <w:szCs w:val="18"/>
                <w:color w:val="auto"/>
              </w:rPr>
              <w:t>Total inventories on first-in, first-out method</w:t>
            </w:r>
          </w:p>
        </w:tc>
        <w:tc>
          <w:tcPr>
            <w:tcW w:w="200" w:type="dxa"/>
            <w:vAlign w:val="bottom"/>
            <w:shd w:val="clear" w:color="auto" w:fill="CCEEFF"/>
          </w:tcPr>
          <w:p>
            <w:pPr>
              <w:spacing w:after="0"/>
              <w:rPr>
                <w:sz w:val="18"/>
                <w:szCs w:val="18"/>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73,806</w:t>
            </w:r>
          </w:p>
        </w:tc>
        <w:tc>
          <w:tcPr>
            <w:tcW w:w="1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64,514</w:t>
            </w:r>
          </w:p>
        </w:tc>
        <w:tc>
          <w:tcPr>
            <w:tcW w:w="0" w:type="dxa"/>
            <w:vAlign w:val="bottom"/>
          </w:tcPr>
          <w:p>
            <w:pPr>
              <w:spacing w:after="0"/>
              <w:rPr>
                <w:sz w:val="1"/>
                <w:szCs w:val="1"/>
                <w:color w:val="auto"/>
              </w:rPr>
            </w:pPr>
          </w:p>
        </w:tc>
      </w:tr>
      <w:tr>
        <w:trPr>
          <w:trHeight w:val="215"/>
        </w:trPr>
        <w:tc>
          <w:tcPr>
            <w:tcW w:w="660" w:type="dxa"/>
            <w:vAlign w:val="bottom"/>
          </w:tcPr>
          <w:p>
            <w:pPr>
              <w:spacing w:after="0"/>
              <w:rPr>
                <w:sz w:val="18"/>
                <w:szCs w:val="18"/>
                <w:color w:val="auto"/>
              </w:rPr>
            </w:pPr>
          </w:p>
        </w:tc>
        <w:tc>
          <w:tcPr>
            <w:tcW w:w="6300" w:type="dxa"/>
            <w:vAlign w:val="bottom"/>
          </w:tcPr>
          <w:p>
            <w:pPr>
              <w:spacing w:after="0"/>
              <w:rPr>
                <w:sz w:val="20"/>
                <w:szCs w:val="20"/>
                <w:color w:val="auto"/>
              </w:rPr>
            </w:pPr>
            <w:r>
              <w:rPr>
                <w:rFonts w:ascii="Arial" w:cs="Arial" w:eastAsia="Arial" w:hAnsi="Arial"/>
                <w:sz w:val="18"/>
                <w:szCs w:val="18"/>
                <w:color w:val="auto"/>
              </w:rPr>
              <w:t>LIFO adjustment</w:t>
            </w:r>
          </w:p>
        </w:tc>
        <w:tc>
          <w:tcPr>
            <w:tcW w:w="200" w:type="dxa"/>
            <w:vAlign w:val="bottom"/>
          </w:tcPr>
          <w:p>
            <w:pPr>
              <w:spacing w:after="0"/>
              <w:rPr>
                <w:sz w:val="18"/>
                <w:szCs w:val="18"/>
                <w:color w:val="auto"/>
              </w:rPr>
            </w:pPr>
          </w:p>
        </w:tc>
        <w:tc>
          <w:tcPr>
            <w:tcW w:w="1540" w:type="dxa"/>
            <w:vAlign w:val="bottom"/>
            <w:gridSpan w:val="2"/>
          </w:tcPr>
          <w:p>
            <w:pPr>
              <w:jc w:val="right"/>
              <w:ind w:right="120"/>
              <w:spacing w:after="0"/>
              <w:rPr>
                <w:sz w:val="20"/>
                <w:szCs w:val="20"/>
                <w:color w:val="auto"/>
              </w:rPr>
            </w:pPr>
            <w:r>
              <w:rPr>
                <w:rFonts w:ascii="Arial" w:cs="Arial" w:eastAsia="Arial" w:hAnsi="Arial"/>
                <w:sz w:val="18"/>
                <w:szCs w:val="18"/>
                <w:color w:val="auto"/>
              </w:rPr>
              <w:t>(8,238)</w:t>
            </w:r>
          </w:p>
        </w:tc>
        <w:tc>
          <w:tcPr>
            <w:tcW w:w="180" w:type="dxa"/>
            <w:vAlign w:val="bottom"/>
          </w:tcPr>
          <w:p>
            <w:pPr>
              <w:spacing w:after="0"/>
              <w:rPr>
                <w:sz w:val="18"/>
                <w:szCs w:val="18"/>
                <w:color w:val="auto"/>
              </w:rPr>
            </w:pPr>
          </w:p>
        </w:tc>
        <w:tc>
          <w:tcPr>
            <w:tcW w:w="1460" w:type="dxa"/>
            <w:vAlign w:val="bottom"/>
            <w:gridSpan w:val="2"/>
          </w:tcPr>
          <w:p>
            <w:pPr>
              <w:jc w:val="right"/>
              <w:ind w:right="40"/>
              <w:spacing w:after="0"/>
              <w:rPr>
                <w:sz w:val="20"/>
                <w:szCs w:val="20"/>
                <w:color w:val="auto"/>
              </w:rPr>
            </w:pPr>
            <w:r>
              <w:rPr>
                <w:rFonts w:ascii="Arial" w:cs="Arial" w:eastAsia="Arial" w:hAnsi="Arial"/>
                <w:sz w:val="18"/>
                <w:szCs w:val="18"/>
                <w:color w:val="auto"/>
              </w:rPr>
              <w:t>(8,143)</w:t>
            </w:r>
          </w:p>
        </w:tc>
        <w:tc>
          <w:tcPr>
            <w:tcW w:w="0" w:type="dxa"/>
            <w:vAlign w:val="bottom"/>
          </w:tcPr>
          <w:p>
            <w:pPr>
              <w:spacing w:after="0"/>
              <w:rPr>
                <w:sz w:val="1"/>
                <w:szCs w:val="1"/>
                <w:color w:val="auto"/>
              </w:rPr>
            </w:pPr>
          </w:p>
        </w:tc>
      </w:tr>
      <w:tr>
        <w:trPr>
          <w:trHeight w:val="215"/>
        </w:trPr>
        <w:tc>
          <w:tcPr>
            <w:tcW w:w="660" w:type="dxa"/>
            <w:vAlign w:val="bottom"/>
          </w:tcPr>
          <w:p>
            <w:pPr>
              <w:spacing w:after="0"/>
              <w:rPr>
                <w:sz w:val="18"/>
                <w:szCs w:val="18"/>
                <w:color w:val="auto"/>
              </w:rPr>
            </w:pPr>
          </w:p>
        </w:tc>
        <w:tc>
          <w:tcPr>
            <w:tcW w:w="6300" w:type="dxa"/>
            <w:vAlign w:val="bottom"/>
            <w:shd w:val="clear" w:color="auto" w:fill="CCEEFF"/>
          </w:tcPr>
          <w:p>
            <w:pPr>
              <w:spacing w:after="0"/>
              <w:rPr>
                <w:sz w:val="20"/>
                <w:szCs w:val="20"/>
                <w:color w:val="auto"/>
              </w:rPr>
            </w:pPr>
            <w:r>
              <w:rPr>
                <w:rFonts w:ascii="Arial" w:cs="Arial" w:eastAsia="Arial" w:hAnsi="Arial"/>
                <w:sz w:val="18"/>
                <w:szCs w:val="18"/>
                <w:color w:val="auto"/>
              </w:rPr>
              <w:t>Reserve for excess and obsolete inventory</w:t>
            </w:r>
          </w:p>
        </w:tc>
        <w:tc>
          <w:tcPr>
            <w:tcW w:w="20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(1,899)</w:t>
            </w:r>
          </w:p>
        </w:tc>
        <w:tc>
          <w:tcPr>
            <w:tcW w:w="18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(1,895)</w:t>
            </w:r>
          </w:p>
        </w:tc>
        <w:tc>
          <w:tcPr>
            <w:tcW w:w="0" w:type="dxa"/>
            <w:vAlign w:val="bottom"/>
          </w:tcPr>
          <w:p>
            <w:pPr>
              <w:spacing w:after="0"/>
              <w:rPr>
                <w:sz w:val="1"/>
                <w:szCs w:val="1"/>
                <w:color w:val="auto"/>
              </w:rPr>
            </w:pPr>
          </w:p>
        </w:tc>
      </w:tr>
      <w:tr>
        <w:trPr>
          <w:trHeight w:val="20"/>
        </w:trPr>
        <w:tc>
          <w:tcPr>
            <w:tcW w:w="660" w:type="dxa"/>
            <w:vAlign w:val="bottom"/>
          </w:tcPr>
          <w:p>
            <w:pPr>
              <w:spacing w:after="0" w:line="20" w:lineRule="exact"/>
              <w:rPr>
                <w:sz w:val="1"/>
                <w:szCs w:val="1"/>
                <w:color w:val="auto"/>
              </w:rPr>
            </w:pPr>
          </w:p>
        </w:tc>
        <w:tc>
          <w:tcPr>
            <w:tcW w:w="6300" w:type="dxa"/>
            <w:vAlign w:val="bottom"/>
            <w:shd w:val="clear" w:color="auto" w:fill="CCEEFF"/>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660" w:type="dxa"/>
            <w:vAlign w:val="bottom"/>
          </w:tcPr>
          <w:p>
            <w:pPr>
              <w:spacing w:after="0"/>
              <w:rPr>
                <w:sz w:val="18"/>
                <w:szCs w:val="18"/>
                <w:color w:val="auto"/>
              </w:rPr>
            </w:pPr>
          </w:p>
        </w:tc>
        <w:tc>
          <w:tcPr>
            <w:tcW w:w="6300" w:type="dxa"/>
            <w:vAlign w:val="bottom"/>
          </w:tcPr>
          <w:p>
            <w:pPr>
              <w:spacing w:after="0"/>
              <w:rPr>
                <w:sz w:val="18"/>
                <w:szCs w:val="18"/>
                <w:color w:val="auto"/>
              </w:rPr>
            </w:pP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360" w:type="dxa"/>
            <w:vAlign w:val="bottom"/>
          </w:tcPr>
          <w:p>
            <w:pPr>
              <w:jc w:val="right"/>
              <w:spacing w:after="0"/>
              <w:rPr>
                <w:sz w:val="20"/>
                <w:szCs w:val="20"/>
                <w:color w:val="auto"/>
              </w:rPr>
            </w:pPr>
            <w:r>
              <w:rPr>
                <w:rFonts w:ascii="Arial" w:cs="Arial" w:eastAsia="Arial" w:hAnsi="Arial"/>
                <w:sz w:val="18"/>
                <w:szCs w:val="18"/>
                <w:color w:val="auto"/>
              </w:rPr>
              <w:t>63,669</w:t>
            </w:r>
          </w:p>
        </w:tc>
        <w:tc>
          <w:tcPr>
            <w:tcW w:w="180" w:type="dxa"/>
            <w:vAlign w:val="bottom"/>
          </w:tcPr>
          <w:p>
            <w:pPr>
              <w:spacing w:after="0"/>
              <w:rPr>
                <w:sz w:val="18"/>
                <w:szCs w:val="18"/>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460" w:type="dxa"/>
            <w:vAlign w:val="bottom"/>
            <w:gridSpan w:val="2"/>
          </w:tcPr>
          <w:p>
            <w:pPr>
              <w:jc w:val="right"/>
              <w:ind w:right="100"/>
              <w:spacing w:after="0"/>
              <w:rPr>
                <w:sz w:val="20"/>
                <w:szCs w:val="20"/>
                <w:color w:val="auto"/>
              </w:rPr>
            </w:pPr>
            <w:r>
              <w:rPr>
                <w:rFonts w:ascii="Arial" w:cs="Arial" w:eastAsia="Arial" w:hAnsi="Arial"/>
                <w:sz w:val="18"/>
                <w:szCs w:val="18"/>
                <w:color w:val="auto"/>
              </w:rPr>
              <w:t>54,476</w:t>
            </w:r>
          </w:p>
        </w:tc>
        <w:tc>
          <w:tcPr>
            <w:tcW w:w="0" w:type="dxa"/>
            <w:vAlign w:val="bottom"/>
          </w:tcPr>
          <w:p>
            <w:pPr>
              <w:spacing w:after="0"/>
              <w:rPr>
                <w:sz w:val="1"/>
                <w:szCs w:val="1"/>
                <w:color w:val="auto"/>
              </w:rPr>
            </w:pPr>
          </w:p>
        </w:tc>
      </w:tr>
      <w:tr>
        <w:trPr>
          <w:trHeight w:val="20"/>
        </w:trPr>
        <w:tc>
          <w:tcPr>
            <w:tcW w:w="660" w:type="dxa"/>
            <w:vAlign w:val="bottom"/>
          </w:tcPr>
          <w:p>
            <w:pPr>
              <w:spacing w:after="0" w:line="20" w:lineRule="exact"/>
              <w:rPr>
                <w:sz w:val="1"/>
                <w:szCs w:val="1"/>
                <w:color w:val="auto"/>
              </w:rPr>
            </w:pPr>
          </w:p>
        </w:tc>
        <w:tc>
          <w:tcPr>
            <w:tcW w:w="630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1"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We estimate an inventory reserve for excess quantities and obsolete items based on specific identification and historical write-offs, taking into account future demand, market conditions and the respective valuations at LIFO. The need for these reserves is primarily driven by the normal product life cycle. As products mature and sales volumes decline, we rationalize our product offerings to respond to consumer tastes and keep our product lines fresh. If actual demand or market conditions in the future are less favorable than those estimated, additional inventory write-downs may be required. In determining reserves, we calculate separate reserves on our wholesale and retail inventories. Our wholesale inventories tend to carry the majority of the reserves for excess quantities and obsolete inventory due to the nature of our distribution model. These wholesale reserves primarily represent design and/or style obsolescence. Typically, product is not shipped to our retail warehouses until a consumer has ordered and paid a deposit for the product. We do not typically hold retail inventory for stock purposes. Consequently, floor sample inventory and inventory for delivery to customers account for the majority of our inventory at retail. Retail reserves are based on accessory and clearance floor sample inventory in our stores and any inventory that is not associated with a specific customer order in our retail warehouses.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color w:val="auto"/>
        </w:rPr>
        <w:t>Activity in the reserves for excess quantities and obsolete inventory by segment are as follows:</w:t>
      </w:r>
    </w:p>
    <w:p>
      <w:pPr>
        <w:spacing w:after="0" w:line="224" w:lineRule="exact"/>
        <w:rPr>
          <w:sz w:val="20"/>
          <w:szCs w:val="20"/>
          <w:color w:val="auto"/>
        </w:rPr>
      </w:pPr>
    </w:p>
    <w:tbl>
      <w:tblPr>
        <w:tblLayout w:type="fixed"/>
        <w:tblInd w:w="0" w:type="dxa"/>
        <w:tblCellMar>
          <w:top w:w="0" w:type="dxa"/>
          <w:left w:w="0" w:type="dxa"/>
          <w:bottom w:w="0" w:type="dxa"/>
          <w:right w:w="0" w:type="dxa"/>
        </w:tblCellMar>
      </w:tblPr>
      <w:tr>
        <w:trPr>
          <w:trHeight w:val="215"/>
        </w:trPr>
        <w:tc>
          <w:tcPr>
            <w:tcW w:w="20" w:type="dxa"/>
            <w:vAlign w:val="bottom"/>
          </w:tcPr>
          <w:p>
            <w:pPr>
              <w:spacing w:after="0"/>
              <w:rPr>
                <w:sz w:val="18"/>
                <w:szCs w:val="18"/>
                <w:color w:val="auto"/>
              </w:rPr>
            </w:pPr>
          </w:p>
        </w:tc>
        <w:tc>
          <w:tcPr>
            <w:tcW w:w="428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500" w:type="dxa"/>
            <w:vAlign w:val="bottom"/>
            <w:gridSpan w:val="2"/>
          </w:tcPr>
          <w:p>
            <w:pPr>
              <w:jc w:val="right"/>
              <w:ind w:right="600"/>
              <w:spacing w:after="0"/>
              <w:rPr>
                <w:sz w:val="20"/>
                <w:szCs w:val="20"/>
                <w:color w:val="auto"/>
              </w:rPr>
            </w:pPr>
            <w:r>
              <w:rPr>
                <w:rFonts w:ascii="Arial" w:cs="Arial" w:eastAsia="Arial" w:hAnsi="Arial"/>
                <w:sz w:val="18"/>
                <w:szCs w:val="18"/>
                <w:color w:val="auto"/>
              </w:rPr>
              <w:t>Wholesale</w:t>
            </w:r>
          </w:p>
        </w:tc>
        <w:tc>
          <w:tcPr>
            <w:tcW w:w="16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280" w:type="dxa"/>
            <w:vAlign w:val="bottom"/>
          </w:tcPr>
          <w:p>
            <w:pPr>
              <w:spacing w:after="0"/>
              <w:rPr>
                <w:sz w:val="19"/>
                <w:szCs w:val="19"/>
                <w:color w:val="auto"/>
              </w:rPr>
            </w:pPr>
          </w:p>
        </w:tc>
        <w:tc>
          <w:tcPr>
            <w:tcW w:w="14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500" w:type="dxa"/>
            <w:vAlign w:val="bottom"/>
            <w:gridSpan w:val="2"/>
          </w:tcPr>
          <w:p>
            <w:pPr>
              <w:jc w:val="right"/>
              <w:ind w:right="660"/>
              <w:spacing w:after="0"/>
              <w:rPr>
                <w:sz w:val="20"/>
                <w:szCs w:val="20"/>
                <w:color w:val="auto"/>
              </w:rPr>
            </w:pPr>
            <w:r>
              <w:rPr>
                <w:rFonts w:ascii="Arial" w:cs="Arial" w:eastAsia="Arial" w:hAnsi="Arial"/>
                <w:sz w:val="18"/>
                <w:szCs w:val="18"/>
                <w:color w:val="auto"/>
              </w:rPr>
              <w:t>Segment</w:t>
            </w:r>
          </w:p>
        </w:tc>
        <w:tc>
          <w:tcPr>
            <w:tcW w:w="160" w:type="dxa"/>
            <w:vAlign w:val="bottom"/>
          </w:tcPr>
          <w:p>
            <w:pPr>
              <w:spacing w:after="0"/>
              <w:rPr>
                <w:sz w:val="19"/>
                <w:szCs w:val="19"/>
                <w:color w:val="auto"/>
              </w:rPr>
            </w:pPr>
          </w:p>
        </w:tc>
        <w:tc>
          <w:tcPr>
            <w:tcW w:w="1480" w:type="dxa"/>
            <w:vAlign w:val="bottom"/>
            <w:gridSpan w:val="2"/>
          </w:tcPr>
          <w:p>
            <w:pPr>
              <w:jc w:val="right"/>
              <w:ind w:right="340"/>
              <w:spacing w:after="0"/>
              <w:rPr>
                <w:sz w:val="20"/>
                <w:szCs w:val="20"/>
                <w:color w:val="auto"/>
              </w:rPr>
            </w:pPr>
            <w:r>
              <w:rPr>
                <w:rFonts w:ascii="Arial" w:cs="Arial" w:eastAsia="Arial" w:hAnsi="Arial"/>
                <w:sz w:val="18"/>
                <w:szCs w:val="18"/>
                <w:color w:val="auto"/>
                <w:w w:val="90"/>
              </w:rPr>
              <w:t>Retail Segment</w:t>
            </w:r>
          </w:p>
        </w:tc>
        <w:tc>
          <w:tcPr>
            <w:tcW w:w="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280" w:type="dxa"/>
            <w:vAlign w:val="bottom"/>
            <w:gridSpan w:val="2"/>
          </w:tcPr>
          <w:p>
            <w:pPr>
              <w:jc w:val="right"/>
              <w:ind w:right="680"/>
              <w:spacing w:after="0"/>
              <w:rPr>
                <w:sz w:val="20"/>
                <w:szCs w:val="20"/>
                <w:color w:val="auto"/>
              </w:rPr>
            </w:pPr>
            <w:r>
              <w:rPr>
                <w:rFonts w:ascii="Arial" w:cs="Arial" w:eastAsia="Arial" w:hAnsi="Arial"/>
                <w:sz w:val="18"/>
                <w:szCs w:val="18"/>
                <w:color w:val="auto"/>
              </w:rPr>
              <w:t>Total</w:t>
            </w:r>
          </w:p>
        </w:tc>
        <w:tc>
          <w:tcPr>
            <w:tcW w:w="0" w:type="dxa"/>
            <w:vAlign w:val="bottom"/>
          </w:tcPr>
          <w:p>
            <w:pPr>
              <w:spacing w:after="0"/>
              <w:rPr>
                <w:sz w:val="1"/>
                <w:szCs w:val="1"/>
                <w:color w:val="auto"/>
              </w:rPr>
            </w:pPr>
          </w:p>
        </w:tc>
      </w:tr>
      <w:tr>
        <w:trPr>
          <w:trHeight w:val="209"/>
        </w:trPr>
        <w:tc>
          <w:tcPr>
            <w:tcW w:w="20" w:type="dxa"/>
            <w:vAlign w:val="bottom"/>
            <w:vMerge w:val="restart"/>
          </w:tcPr>
          <w:p>
            <w:pPr>
              <w:spacing w:after="0"/>
              <w:rPr>
                <w:sz w:val="18"/>
                <w:szCs w:val="18"/>
                <w:color w:val="auto"/>
              </w:rPr>
            </w:pPr>
          </w:p>
        </w:tc>
        <w:tc>
          <w:tcPr>
            <w:tcW w:w="428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128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36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vMerge w:val="continue"/>
          </w:tcPr>
          <w:p>
            <w:pPr>
              <w:spacing w:after="0"/>
              <w:rPr>
                <w:sz w:val="18"/>
                <w:szCs w:val="18"/>
                <w:color w:val="auto"/>
              </w:rPr>
            </w:pPr>
          </w:p>
        </w:tc>
        <w:tc>
          <w:tcPr>
            <w:tcW w:w="4280" w:type="dxa"/>
            <w:vAlign w:val="bottom"/>
            <w:shd w:val="clear" w:color="auto" w:fill="CCEEFF"/>
          </w:tcPr>
          <w:p>
            <w:pPr>
              <w:spacing w:after="0"/>
              <w:rPr>
                <w:sz w:val="20"/>
                <w:szCs w:val="20"/>
                <w:color w:val="auto"/>
              </w:rPr>
            </w:pPr>
            <w:r>
              <w:rPr>
                <w:rFonts w:ascii="Arial" w:cs="Arial" w:eastAsia="Arial" w:hAnsi="Arial"/>
                <w:sz w:val="18"/>
                <w:szCs w:val="18"/>
                <w:color w:val="auto"/>
              </w:rPr>
              <w:t>Balance at November 25, 2017</w:t>
            </w:r>
          </w:p>
        </w:tc>
        <w:tc>
          <w:tcPr>
            <w:tcW w:w="1700" w:type="dxa"/>
            <w:vAlign w:val="bottom"/>
            <w:gridSpan w:val="2"/>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1,618</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4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277</w:t>
            </w:r>
          </w:p>
        </w:tc>
        <w:tc>
          <w:tcPr>
            <w:tcW w:w="420" w:type="dxa"/>
            <w:vAlign w:val="bottom"/>
            <w:gridSpan w:val="2"/>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12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1,895</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4280" w:type="dxa"/>
            <w:vAlign w:val="bottom"/>
          </w:tcPr>
          <w:p>
            <w:pPr>
              <w:spacing w:after="0"/>
              <w:rPr>
                <w:sz w:val="20"/>
                <w:szCs w:val="20"/>
                <w:color w:val="auto"/>
              </w:rPr>
            </w:pPr>
            <w:r>
              <w:rPr>
                <w:rFonts w:ascii="Arial" w:cs="Arial" w:eastAsia="Arial" w:hAnsi="Arial"/>
                <w:sz w:val="18"/>
                <w:szCs w:val="18"/>
                <w:color w:val="auto"/>
              </w:rPr>
              <w:t>Acquired reserve on inventory (Note 3)</w:t>
            </w:r>
          </w:p>
        </w:tc>
        <w:tc>
          <w:tcPr>
            <w:tcW w:w="14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500" w:type="dxa"/>
            <w:vAlign w:val="bottom"/>
            <w:gridSpan w:val="2"/>
          </w:tcPr>
          <w:p>
            <w:pPr>
              <w:jc w:val="right"/>
              <w:ind w:right="220"/>
              <w:spacing w:after="0"/>
              <w:rPr>
                <w:sz w:val="20"/>
                <w:szCs w:val="20"/>
                <w:color w:val="auto"/>
              </w:rPr>
            </w:pPr>
            <w:r>
              <w:rPr>
                <w:rFonts w:ascii="Arial" w:cs="Arial" w:eastAsia="Arial" w:hAnsi="Arial"/>
                <w:sz w:val="18"/>
                <w:szCs w:val="18"/>
                <w:color w:val="auto"/>
              </w:rPr>
              <w:t>400</w:t>
            </w:r>
          </w:p>
        </w:tc>
        <w:tc>
          <w:tcPr>
            <w:tcW w:w="160" w:type="dxa"/>
            <w:vAlign w:val="bottom"/>
          </w:tcPr>
          <w:p>
            <w:pPr>
              <w:spacing w:after="0"/>
              <w:rPr>
                <w:sz w:val="18"/>
                <w:szCs w:val="18"/>
                <w:color w:val="auto"/>
              </w:rPr>
            </w:pPr>
          </w:p>
        </w:tc>
        <w:tc>
          <w:tcPr>
            <w:tcW w:w="14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80" w:type="dxa"/>
            <w:vAlign w:val="bottom"/>
            <w:gridSpan w:val="2"/>
          </w:tcPr>
          <w:p>
            <w:pPr>
              <w:jc w:val="right"/>
              <w:ind w:right="100"/>
              <w:spacing w:after="0"/>
              <w:rPr>
                <w:sz w:val="20"/>
                <w:szCs w:val="20"/>
                <w:color w:val="auto"/>
              </w:rPr>
            </w:pPr>
            <w:r>
              <w:rPr>
                <w:rFonts w:ascii="Arial" w:cs="Arial" w:eastAsia="Arial" w:hAnsi="Arial"/>
                <w:sz w:val="18"/>
                <w:szCs w:val="18"/>
                <w:color w:val="auto"/>
              </w:rPr>
              <w:t>400</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4280" w:type="dxa"/>
            <w:vAlign w:val="bottom"/>
            <w:shd w:val="clear" w:color="auto" w:fill="CCEEFF"/>
          </w:tcPr>
          <w:p>
            <w:pPr>
              <w:spacing w:after="0"/>
              <w:rPr>
                <w:sz w:val="20"/>
                <w:szCs w:val="20"/>
                <w:color w:val="auto"/>
              </w:rPr>
            </w:pPr>
            <w:r>
              <w:rPr>
                <w:rFonts w:ascii="Arial" w:cs="Arial" w:eastAsia="Arial" w:hAnsi="Arial"/>
                <w:sz w:val="18"/>
                <w:szCs w:val="18"/>
                <w:color w:val="auto"/>
              </w:rPr>
              <w:t>Additions charged to expense</w:t>
            </w:r>
          </w:p>
        </w:tc>
        <w:tc>
          <w:tcPr>
            <w:tcW w:w="14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5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355</w:t>
            </w:r>
          </w:p>
        </w:tc>
        <w:tc>
          <w:tcPr>
            <w:tcW w:w="16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142</w:t>
            </w: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497</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4280" w:type="dxa"/>
            <w:vAlign w:val="bottom"/>
          </w:tcPr>
          <w:p>
            <w:pPr>
              <w:spacing w:after="0"/>
              <w:rPr>
                <w:sz w:val="20"/>
                <w:szCs w:val="20"/>
                <w:color w:val="auto"/>
              </w:rPr>
            </w:pPr>
            <w:r>
              <w:rPr>
                <w:rFonts w:ascii="Arial" w:cs="Arial" w:eastAsia="Arial" w:hAnsi="Arial"/>
                <w:sz w:val="18"/>
                <w:szCs w:val="18"/>
                <w:color w:val="auto"/>
              </w:rPr>
              <w:t>Write-offs</w:t>
            </w:r>
          </w:p>
        </w:tc>
        <w:tc>
          <w:tcPr>
            <w:tcW w:w="14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500" w:type="dxa"/>
            <w:vAlign w:val="bottom"/>
            <w:gridSpan w:val="2"/>
          </w:tcPr>
          <w:p>
            <w:pPr>
              <w:jc w:val="right"/>
              <w:ind w:right="160"/>
              <w:spacing w:after="0"/>
              <w:rPr>
                <w:sz w:val="20"/>
                <w:szCs w:val="20"/>
                <w:color w:val="auto"/>
              </w:rPr>
            </w:pPr>
            <w:r>
              <w:rPr>
                <w:rFonts w:ascii="Arial" w:cs="Arial" w:eastAsia="Arial" w:hAnsi="Arial"/>
                <w:sz w:val="18"/>
                <w:szCs w:val="18"/>
                <w:color w:val="auto"/>
              </w:rPr>
              <w:t>(788)</w:t>
            </w:r>
          </w:p>
        </w:tc>
        <w:tc>
          <w:tcPr>
            <w:tcW w:w="160" w:type="dxa"/>
            <w:vAlign w:val="bottom"/>
          </w:tcPr>
          <w:p>
            <w:pPr>
              <w:spacing w:after="0"/>
              <w:rPr>
                <w:sz w:val="18"/>
                <w:szCs w:val="18"/>
                <w:color w:val="auto"/>
              </w:rPr>
            </w:pPr>
          </w:p>
        </w:tc>
        <w:tc>
          <w:tcPr>
            <w:tcW w:w="1480" w:type="dxa"/>
            <w:vAlign w:val="bottom"/>
            <w:gridSpan w:val="2"/>
          </w:tcPr>
          <w:p>
            <w:pPr>
              <w:jc w:val="right"/>
              <w:ind w:right="60"/>
              <w:spacing w:after="0"/>
              <w:rPr>
                <w:sz w:val="20"/>
                <w:szCs w:val="20"/>
                <w:color w:val="auto"/>
              </w:rPr>
            </w:pPr>
            <w:r>
              <w:rPr>
                <w:rFonts w:ascii="Arial" w:cs="Arial" w:eastAsia="Arial" w:hAnsi="Arial"/>
                <w:sz w:val="18"/>
                <w:szCs w:val="18"/>
                <w:color w:val="auto"/>
              </w:rPr>
              <w:t>(105)</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80" w:type="dxa"/>
            <w:vAlign w:val="bottom"/>
            <w:gridSpan w:val="2"/>
          </w:tcPr>
          <w:p>
            <w:pPr>
              <w:jc w:val="right"/>
              <w:ind w:right="40"/>
              <w:spacing w:after="0"/>
              <w:rPr>
                <w:sz w:val="20"/>
                <w:szCs w:val="20"/>
                <w:color w:val="auto"/>
              </w:rPr>
            </w:pPr>
            <w:r>
              <w:rPr>
                <w:rFonts w:ascii="Arial" w:cs="Arial" w:eastAsia="Arial" w:hAnsi="Arial"/>
                <w:sz w:val="18"/>
                <w:szCs w:val="18"/>
                <w:color w:val="auto"/>
              </w:rPr>
              <w:t>(893)</w:t>
            </w:r>
          </w:p>
        </w:tc>
        <w:tc>
          <w:tcPr>
            <w:tcW w:w="0" w:type="dxa"/>
            <w:vAlign w:val="bottom"/>
          </w:tcPr>
          <w:p>
            <w:pPr>
              <w:spacing w:after="0"/>
              <w:rPr>
                <w:sz w:val="1"/>
                <w:szCs w:val="1"/>
                <w:color w:val="auto"/>
              </w:rPr>
            </w:pPr>
          </w:p>
        </w:tc>
      </w:tr>
      <w:tr>
        <w:trPr>
          <w:trHeight w:val="249"/>
        </w:trPr>
        <w:tc>
          <w:tcPr>
            <w:tcW w:w="20" w:type="dxa"/>
            <w:vAlign w:val="bottom"/>
          </w:tcPr>
          <w:p>
            <w:pPr>
              <w:spacing w:after="0"/>
              <w:rPr>
                <w:sz w:val="21"/>
                <w:szCs w:val="21"/>
                <w:color w:val="auto"/>
              </w:rPr>
            </w:pPr>
          </w:p>
        </w:tc>
        <w:tc>
          <w:tcPr>
            <w:tcW w:w="42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Balance at February 24, 2018</w:t>
            </w:r>
          </w:p>
        </w:tc>
        <w:tc>
          <w:tcPr>
            <w:tcW w:w="146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top w:val="single" w:sz="8" w:color="auto"/>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2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1,585</w:t>
            </w:r>
          </w:p>
        </w:tc>
        <w:tc>
          <w:tcPr>
            <w:tcW w:w="2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314</w:t>
            </w:r>
          </w:p>
        </w:tc>
        <w:tc>
          <w:tcPr>
            <w:tcW w:w="12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top w:val="single" w:sz="8" w:color="auto"/>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1,899</w:t>
            </w:r>
          </w:p>
        </w:tc>
        <w:tc>
          <w:tcPr>
            <w:tcW w:w="1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bl>
    <w:p>
      <w:pPr>
        <w:spacing w:after="0" w:line="201" w:lineRule="exact"/>
        <w:rPr>
          <w:sz w:val="20"/>
          <w:szCs w:val="20"/>
          <w:color w:val="auto"/>
        </w:rPr>
      </w:pPr>
    </w:p>
    <w:p>
      <w:pPr>
        <w:spacing w:after="0" w:line="276" w:lineRule="auto"/>
        <w:rPr>
          <w:sz w:val="20"/>
          <w:szCs w:val="20"/>
          <w:color w:val="auto"/>
        </w:rPr>
      </w:pPr>
      <w:r>
        <w:rPr>
          <w:rFonts w:ascii="Arial" w:cs="Arial" w:eastAsia="Arial" w:hAnsi="Arial"/>
          <w:sz w:val="18"/>
          <w:szCs w:val="18"/>
          <w:color w:val="auto"/>
        </w:rPr>
        <w:t>Our estimates and assumptions have been reasonably accurate in the past. We have not made any significant changes to our methodology for determining inventory reserves in 2018 and do not anticipate that our methodology is likely to change in the future.</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82550</wp:posOffset>
            </wp:positionV>
            <wp:extent cx="7247255" cy="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47255" cy="17145"/>
                    </a:xfrm>
                    <a:prstGeom prst="rect">
                      <a:avLst/>
                    </a:prstGeom>
                    <a:noFill/>
                  </pic:spPr>
                </pic:pic>
              </a:graphicData>
            </a:graphic>
          </wp:anchor>
        </w:drawing>
      </w:r>
    </w:p>
    <w:p>
      <w:pPr>
        <w:sectPr>
          <w:pgSz w:w="11900" w:h="16838" w:orient="portrait"/>
          <w:cols w:equalWidth="0" w:num="1">
            <w:col w:w="11420"/>
          </w:cols>
          <w:pgMar w:left="240" w:top="583" w:right="239" w:bottom="1440" w:gutter="0" w:footer="0" w:header="0"/>
        </w:sectPr>
      </w:pPr>
    </w:p>
    <w:bookmarkStart w:id="12" w:name="page13"/>
    <w:bookmarkEnd w:id="12"/>
    <w:p>
      <w:pPr>
        <w:jc w:val="center"/>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NOTES TO CONDENSED CONSOLIDATED FINANCIAL STATEMENTS-UNAUDITED</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FEBRUARY 24, 2018</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00" w:lineRule="exact"/>
        <w:rPr>
          <w:sz w:val="20"/>
          <w:szCs w:val="20"/>
          <w:color w:val="auto"/>
        </w:rPr>
      </w:pPr>
    </w:p>
    <w:p>
      <w:pPr>
        <w:spacing w:after="0" w:line="24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920" w:type="dxa"/>
            <w:vAlign w:val="bottom"/>
            <w:gridSpan w:val="2"/>
          </w:tcPr>
          <w:p>
            <w:pPr>
              <w:spacing w:after="0"/>
              <w:rPr>
                <w:sz w:val="20"/>
                <w:szCs w:val="20"/>
                <w:color w:val="auto"/>
              </w:rPr>
            </w:pPr>
            <w:r>
              <w:rPr>
                <w:rFonts w:ascii="Arial" w:cs="Arial" w:eastAsia="Arial" w:hAnsi="Arial"/>
                <w:sz w:val="18"/>
                <w:szCs w:val="18"/>
                <w:b w:val="1"/>
                <w:bCs w:val="1"/>
                <w:color w:val="auto"/>
              </w:rPr>
              <w:t>7. Goodwill and Other Intangible Assets</w:t>
            </w:r>
          </w:p>
        </w:tc>
        <w:tc>
          <w:tcPr>
            <w:tcW w:w="1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1"/>
        </w:trPr>
        <w:tc>
          <w:tcPr>
            <w:tcW w:w="5920" w:type="dxa"/>
            <w:vAlign w:val="bottom"/>
            <w:gridSpan w:val="2"/>
          </w:tcPr>
          <w:p>
            <w:pPr>
              <w:spacing w:after="0"/>
              <w:rPr>
                <w:sz w:val="20"/>
                <w:szCs w:val="20"/>
                <w:color w:val="auto"/>
              </w:rPr>
            </w:pPr>
            <w:r>
              <w:rPr>
                <w:rFonts w:ascii="Arial" w:cs="Arial" w:eastAsia="Arial" w:hAnsi="Arial"/>
                <w:sz w:val="18"/>
                <w:szCs w:val="18"/>
                <w:color w:val="auto"/>
              </w:rPr>
              <w:t>Goodwill and other intangible assets consisted of the following:</w:t>
            </w:r>
          </w:p>
        </w:tc>
        <w:tc>
          <w:tcPr>
            <w:tcW w:w="1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0"/>
        </w:trPr>
        <w:tc>
          <w:tcPr>
            <w:tcW w:w="20" w:type="dxa"/>
            <w:vAlign w:val="bottom"/>
          </w:tcPr>
          <w:p>
            <w:pPr>
              <w:spacing w:after="0"/>
              <w:rPr>
                <w:sz w:val="24"/>
                <w:szCs w:val="24"/>
                <w:color w:val="auto"/>
              </w:rPr>
            </w:pPr>
          </w:p>
        </w:tc>
        <w:tc>
          <w:tcPr>
            <w:tcW w:w="59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620" w:type="dxa"/>
            <w:vAlign w:val="bottom"/>
            <w:tcBorders>
              <w:bottom w:val="single" w:sz="8" w:color="auto"/>
            </w:tcBorders>
            <w:gridSpan w:val="5"/>
          </w:tcPr>
          <w:p>
            <w:pPr>
              <w:jc w:val="right"/>
              <w:ind w:right="200"/>
              <w:spacing w:after="0"/>
              <w:rPr>
                <w:sz w:val="20"/>
                <w:szCs w:val="20"/>
                <w:color w:val="auto"/>
              </w:rPr>
            </w:pPr>
            <w:r>
              <w:rPr>
                <w:rFonts w:ascii="Arial" w:cs="Arial" w:eastAsia="Arial" w:hAnsi="Arial"/>
                <w:sz w:val="18"/>
                <w:szCs w:val="18"/>
                <w:b w:val="1"/>
                <w:bCs w:val="1"/>
                <w:color w:val="auto"/>
                <w:w w:val="92"/>
              </w:rPr>
              <w:t>February 24, 2018</w:t>
            </w: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59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580" w:type="dxa"/>
            <w:vAlign w:val="bottom"/>
            <w:gridSpan w:val="4"/>
          </w:tcPr>
          <w:p>
            <w:pPr>
              <w:jc w:val="center"/>
              <w:ind w:right="100"/>
              <w:spacing w:after="0" w:line="190" w:lineRule="exact"/>
              <w:rPr>
                <w:sz w:val="20"/>
                <w:szCs w:val="20"/>
                <w:color w:val="auto"/>
              </w:rPr>
            </w:pPr>
            <w:r>
              <w:rPr>
                <w:rFonts w:ascii="Arial" w:cs="Arial" w:eastAsia="Arial" w:hAnsi="Arial"/>
                <w:sz w:val="18"/>
                <w:szCs w:val="18"/>
                <w:b w:val="1"/>
                <w:bCs w:val="1"/>
                <w:color w:val="auto"/>
                <w:w w:val="84"/>
              </w:rPr>
              <w:t>Gross</w:t>
            </w:r>
          </w:p>
        </w:tc>
        <w:tc>
          <w:tcPr>
            <w:tcW w:w="14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59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580" w:type="dxa"/>
            <w:vAlign w:val="bottom"/>
            <w:gridSpan w:val="4"/>
          </w:tcPr>
          <w:p>
            <w:pPr>
              <w:jc w:val="center"/>
              <w:ind w:right="100"/>
              <w:spacing w:after="0"/>
              <w:rPr>
                <w:sz w:val="20"/>
                <w:szCs w:val="20"/>
                <w:color w:val="auto"/>
              </w:rPr>
            </w:pPr>
            <w:r>
              <w:rPr>
                <w:rFonts w:ascii="Arial" w:cs="Arial" w:eastAsia="Arial" w:hAnsi="Arial"/>
                <w:sz w:val="18"/>
                <w:szCs w:val="18"/>
                <w:b w:val="1"/>
                <w:bCs w:val="1"/>
                <w:color w:val="auto"/>
                <w:w w:val="97"/>
              </w:rPr>
              <w:t>Carrying</w:t>
            </w:r>
          </w:p>
        </w:tc>
        <w:tc>
          <w:tcPr>
            <w:tcW w:w="140" w:type="dxa"/>
            <w:vAlign w:val="bottom"/>
          </w:tcPr>
          <w:p>
            <w:pPr>
              <w:spacing w:after="0"/>
              <w:rPr>
                <w:sz w:val="18"/>
                <w:szCs w:val="18"/>
                <w:color w:val="auto"/>
              </w:rPr>
            </w:pPr>
          </w:p>
        </w:tc>
        <w:tc>
          <w:tcPr>
            <w:tcW w:w="1620" w:type="dxa"/>
            <w:vAlign w:val="bottom"/>
            <w:gridSpan w:val="5"/>
          </w:tcPr>
          <w:p>
            <w:pPr>
              <w:jc w:val="right"/>
              <w:ind w:right="360"/>
              <w:spacing w:after="0"/>
              <w:rPr>
                <w:sz w:val="20"/>
                <w:szCs w:val="20"/>
                <w:color w:val="auto"/>
              </w:rPr>
            </w:pPr>
            <w:r>
              <w:rPr>
                <w:rFonts w:ascii="Arial" w:cs="Arial" w:eastAsia="Arial" w:hAnsi="Arial"/>
                <w:sz w:val="18"/>
                <w:szCs w:val="18"/>
                <w:b w:val="1"/>
                <w:bCs w:val="1"/>
                <w:color w:val="auto"/>
              </w:rPr>
              <w:t>Accumulated</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320" w:type="dxa"/>
            <w:vAlign w:val="bottom"/>
            <w:gridSpan w:val="3"/>
          </w:tcPr>
          <w:p>
            <w:pPr>
              <w:jc w:val="center"/>
              <w:ind w:right="360"/>
              <w:spacing w:after="0"/>
              <w:rPr>
                <w:sz w:val="20"/>
                <w:szCs w:val="20"/>
                <w:color w:val="auto"/>
              </w:rPr>
            </w:pPr>
            <w:r>
              <w:rPr>
                <w:rFonts w:ascii="Arial" w:cs="Arial" w:eastAsia="Arial" w:hAnsi="Arial"/>
                <w:sz w:val="18"/>
                <w:szCs w:val="18"/>
                <w:b w:val="1"/>
                <w:bCs w:val="1"/>
                <w:color w:val="auto"/>
                <w:w w:val="94"/>
              </w:rPr>
              <w:t>Intangible</w:t>
            </w: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59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580" w:type="dxa"/>
            <w:vAlign w:val="bottom"/>
            <w:gridSpan w:val="4"/>
          </w:tcPr>
          <w:p>
            <w:pPr>
              <w:jc w:val="center"/>
              <w:ind w:right="100"/>
              <w:spacing w:after="0"/>
              <w:rPr>
                <w:sz w:val="20"/>
                <w:szCs w:val="20"/>
                <w:color w:val="auto"/>
              </w:rPr>
            </w:pPr>
            <w:r>
              <w:rPr>
                <w:rFonts w:ascii="Arial" w:cs="Arial" w:eastAsia="Arial" w:hAnsi="Arial"/>
                <w:sz w:val="18"/>
                <w:szCs w:val="18"/>
                <w:b w:val="1"/>
                <w:bCs w:val="1"/>
                <w:color w:val="auto"/>
                <w:w w:val="94"/>
              </w:rPr>
              <w:t>Amount</w:t>
            </w:r>
          </w:p>
        </w:tc>
        <w:tc>
          <w:tcPr>
            <w:tcW w:w="140" w:type="dxa"/>
            <w:vAlign w:val="bottom"/>
          </w:tcPr>
          <w:p>
            <w:pPr>
              <w:spacing w:after="0"/>
              <w:rPr>
                <w:sz w:val="20"/>
                <w:szCs w:val="20"/>
                <w:color w:val="auto"/>
              </w:rPr>
            </w:pPr>
          </w:p>
        </w:tc>
        <w:tc>
          <w:tcPr>
            <w:tcW w:w="1620" w:type="dxa"/>
            <w:vAlign w:val="bottom"/>
            <w:gridSpan w:val="5"/>
          </w:tcPr>
          <w:p>
            <w:pPr>
              <w:jc w:val="right"/>
              <w:ind w:right="360"/>
              <w:spacing w:after="0"/>
              <w:rPr>
                <w:sz w:val="20"/>
                <w:szCs w:val="20"/>
                <w:color w:val="auto"/>
              </w:rPr>
            </w:pPr>
            <w:r>
              <w:rPr>
                <w:rFonts w:ascii="Arial" w:cs="Arial" w:eastAsia="Arial" w:hAnsi="Arial"/>
                <w:sz w:val="18"/>
                <w:szCs w:val="18"/>
                <w:b w:val="1"/>
                <w:bCs w:val="1"/>
                <w:color w:val="auto"/>
              </w:rPr>
              <w:t>Amortization</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320" w:type="dxa"/>
            <w:vAlign w:val="bottom"/>
            <w:gridSpan w:val="3"/>
          </w:tcPr>
          <w:p>
            <w:pPr>
              <w:jc w:val="center"/>
              <w:ind w:right="360"/>
              <w:spacing w:after="0"/>
              <w:rPr>
                <w:sz w:val="20"/>
                <w:szCs w:val="20"/>
                <w:color w:val="auto"/>
              </w:rPr>
            </w:pPr>
            <w:r>
              <w:rPr>
                <w:rFonts w:ascii="Arial" w:cs="Arial" w:eastAsia="Arial" w:hAnsi="Arial"/>
                <w:sz w:val="18"/>
                <w:szCs w:val="18"/>
                <w:b w:val="1"/>
                <w:bCs w:val="1"/>
                <w:color w:val="auto"/>
                <w:w w:val="85"/>
              </w:rPr>
              <w:t>Assets, Net</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5900" w:type="dxa"/>
            <w:vAlign w:val="bottom"/>
            <w:shd w:val="clear" w:color="auto" w:fill="CCEEFF"/>
          </w:tcPr>
          <w:p>
            <w:pPr>
              <w:spacing w:after="0"/>
              <w:rPr>
                <w:sz w:val="20"/>
                <w:szCs w:val="20"/>
                <w:color w:val="auto"/>
              </w:rPr>
            </w:pPr>
            <w:r>
              <w:rPr>
                <w:rFonts w:ascii="Arial" w:cs="Arial" w:eastAsia="Arial" w:hAnsi="Arial"/>
                <w:sz w:val="18"/>
                <w:szCs w:val="18"/>
                <w:color w:val="auto"/>
              </w:rPr>
              <w:t>Intangibles subject to amortization</w:t>
            </w: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340" w:type="dxa"/>
            <w:vAlign w:val="bottom"/>
            <w:tcBorders>
              <w:top w:val="single" w:sz="8" w:color="auto"/>
            </w:tcBorders>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760" w:type="dxa"/>
            <w:vAlign w:val="bottom"/>
            <w:tcBorders>
              <w:top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tcBorders>
              <w:right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spacing w:after="0"/>
              <w:rPr>
                <w:sz w:val="18"/>
                <w:szCs w:val="18"/>
                <w:color w:val="auto"/>
              </w:rPr>
            </w:pPr>
          </w:p>
        </w:tc>
        <w:tc>
          <w:tcPr>
            <w:tcW w:w="960" w:type="dxa"/>
            <w:vAlign w:val="bottom"/>
            <w:tcBorders>
              <w:top w:val="single" w:sz="8" w:color="auto"/>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5900" w:type="dxa"/>
            <w:vAlign w:val="bottom"/>
          </w:tcPr>
          <w:p>
            <w:pPr>
              <w:ind w:left="140"/>
              <w:spacing w:after="0"/>
              <w:rPr>
                <w:sz w:val="20"/>
                <w:szCs w:val="20"/>
                <w:color w:val="auto"/>
              </w:rPr>
            </w:pPr>
            <w:r>
              <w:rPr>
                <w:rFonts w:ascii="Arial" w:cs="Arial" w:eastAsia="Arial" w:hAnsi="Arial"/>
                <w:sz w:val="18"/>
                <w:szCs w:val="18"/>
                <w:color w:val="auto"/>
              </w:rPr>
              <w:t>Customer relationships</w:t>
            </w:r>
          </w:p>
        </w:tc>
        <w:tc>
          <w:tcPr>
            <w:tcW w:w="160" w:type="dxa"/>
            <w:vAlign w:val="bottom"/>
          </w:tcPr>
          <w:p>
            <w:pPr>
              <w:spacing w:after="0"/>
              <w:rPr>
                <w:sz w:val="18"/>
                <w:szCs w:val="18"/>
                <w:color w:val="auto"/>
              </w:rPr>
            </w:pPr>
          </w:p>
        </w:tc>
        <w:tc>
          <w:tcPr>
            <w:tcW w:w="1020" w:type="dxa"/>
            <w:vAlign w:val="bottom"/>
            <w:gridSpan w:val="2"/>
          </w:tcPr>
          <w:p>
            <w:pPr>
              <w:jc w:val="right"/>
              <w:ind w:right="510"/>
              <w:spacing w:after="0"/>
              <w:rPr>
                <w:sz w:val="20"/>
                <w:szCs w:val="20"/>
                <w:color w:val="auto"/>
              </w:rPr>
            </w:pPr>
            <w:r>
              <w:rPr>
                <w:rFonts w:ascii="Arial" w:cs="Arial" w:eastAsia="Arial" w:hAnsi="Arial"/>
                <w:sz w:val="18"/>
                <w:szCs w:val="18"/>
                <w:color w:val="auto"/>
              </w:rPr>
              <w:t>$</w:t>
            </w:r>
          </w:p>
        </w:tc>
        <w:tc>
          <w:tcPr>
            <w:tcW w:w="900" w:type="dxa"/>
            <w:vAlign w:val="bottom"/>
            <w:gridSpan w:val="3"/>
          </w:tcPr>
          <w:p>
            <w:pPr>
              <w:jc w:val="right"/>
              <w:ind w:right="100"/>
              <w:spacing w:after="0"/>
              <w:rPr>
                <w:sz w:val="20"/>
                <w:szCs w:val="20"/>
                <w:color w:val="auto"/>
              </w:rPr>
            </w:pPr>
            <w:r>
              <w:rPr>
                <w:rFonts w:ascii="Arial" w:cs="Arial" w:eastAsia="Arial" w:hAnsi="Arial"/>
                <w:sz w:val="18"/>
                <w:szCs w:val="18"/>
                <w:color w:val="auto"/>
              </w:rPr>
              <w:t>3,550</w:t>
            </w:r>
          </w:p>
        </w:tc>
        <w:tc>
          <w:tcPr>
            <w:tcW w:w="480" w:type="dxa"/>
            <w:vAlign w:val="bottom"/>
            <w:gridSpan w:val="2"/>
          </w:tcPr>
          <w:p>
            <w:pPr>
              <w:jc w:val="right"/>
              <w:ind w:right="15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80" w:type="dxa"/>
            <w:vAlign w:val="bottom"/>
            <w:gridSpan w:val="2"/>
          </w:tcPr>
          <w:p>
            <w:pPr>
              <w:jc w:val="right"/>
              <w:ind w:right="60"/>
              <w:spacing w:after="0"/>
              <w:rPr>
                <w:sz w:val="20"/>
                <w:szCs w:val="20"/>
                <w:color w:val="auto"/>
              </w:rPr>
            </w:pPr>
            <w:r>
              <w:rPr>
                <w:rFonts w:ascii="Arial" w:cs="Arial" w:eastAsia="Arial" w:hAnsi="Arial"/>
                <w:sz w:val="18"/>
                <w:szCs w:val="18"/>
                <w:color w:val="auto"/>
              </w:rPr>
              <w:t>(634)</w:t>
            </w:r>
          </w:p>
        </w:tc>
        <w:tc>
          <w:tcPr>
            <w:tcW w:w="26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2,916</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5900" w:type="dxa"/>
            <w:vAlign w:val="bottom"/>
            <w:shd w:val="clear" w:color="auto" w:fill="CCEEFF"/>
          </w:tcPr>
          <w:p>
            <w:pPr>
              <w:ind w:left="140"/>
              <w:spacing w:after="0"/>
              <w:rPr>
                <w:sz w:val="20"/>
                <w:szCs w:val="20"/>
                <w:color w:val="auto"/>
              </w:rPr>
            </w:pPr>
            <w:r>
              <w:rPr>
                <w:rFonts w:ascii="Arial" w:cs="Arial" w:eastAsia="Arial" w:hAnsi="Arial"/>
                <w:sz w:val="18"/>
                <w:szCs w:val="18"/>
                <w:color w:val="auto"/>
              </w:rPr>
              <w:t>Technology - customized applications</w:t>
            </w: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9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834</w:t>
            </w:r>
          </w:p>
        </w:tc>
        <w:tc>
          <w:tcPr>
            <w:tcW w:w="1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(367)</w:t>
            </w:r>
          </w:p>
        </w:tc>
        <w:tc>
          <w:tcPr>
            <w:tcW w:w="120" w:type="dxa"/>
            <w:vAlign w:val="bottom"/>
            <w:tcBorders>
              <w:right w:val="single" w:sz="8" w:color="CCEEFF"/>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467</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5900" w:type="dxa"/>
            <w:vAlign w:val="bottom"/>
            <w:tcBorders>
              <w:top w:val="single" w:sz="8" w:color="CCEEFF"/>
            </w:tcBorders>
          </w:tcPr>
          <w:p>
            <w:pPr>
              <w:spacing w:after="0"/>
              <w:rPr>
                <w:sz w:val="18"/>
                <w:szCs w:val="18"/>
                <w:color w:val="auto"/>
              </w:rPr>
            </w:pPr>
          </w:p>
        </w:tc>
        <w:tc>
          <w:tcPr>
            <w:tcW w:w="160" w:type="dxa"/>
            <w:vAlign w:val="bottom"/>
            <w:tcBorders>
              <w:top w:val="single" w:sz="8" w:color="CCEEFF"/>
            </w:tcBorders>
          </w:tcPr>
          <w:p>
            <w:pPr>
              <w:spacing w:after="0"/>
              <w:rPr>
                <w:sz w:val="18"/>
                <w:szCs w:val="18"/>
                <w:color w:val="auto"/>
              </w:rPr>
            </w:pPr>
          </w:p>
        </w:tc>
        <w:tc>
          <w:tcPr>
            <w:tcW w:w="340" w:type="dxa"/>
            <w:vAlign w:val="bottom"/>
            <w:tcBorders>
              <w:top w:val="single" w:sz="8" w:color="CCEEFF"/>
            </w:tcBorders>
          </w:tcPr>
          <w:p>
            <w:pPr>
              <w:spacing w:after="0"/>
              <w:rPr>
                <w:sz w:val="18"/>
                <w:szCs w:val="18"/>
                <w:color w:val="auto"/>
              </w:rPr>
            </w:pPr>
          </w:p>
        </w:tc>
        <w:tc>
          <w:tcPr>
            <w:tcW w:w="680" w:type="dxa"/>
            <w:vAlign w:val="bottom"/>
            <w:tcBorders>
              <w:top w:val="single" w:sz="8" w:color="auto"/>
            </w:tcBorders>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5900" w:type="dxa"/>
            <w:vAlign w:val="bottom"/>
            <w:shd w:val="clear" w:color="auto" w:fill="CCEEFF"/>
          </w:tcPr>
          <w:p>
            <w:pPr>
              <w:ind w:left="320"/>
              <w:spacing w:after="0"/>
              <w:rPr>
                <w:sz w:val="20"/>
                <w:szCs w:val="20"/>
                <w:color w:val="auto"/>
              </w:rPr>
            </w:pPr>
            <w:r>
              <w:rPr>
                <w:rFonts w:ascii="Arial" w:cs="Arial" w:eastAsia="Arial" w:hAnsi="Arial"/>
                <w:sz w:val="18"/>
                <w:szCs w:val="18"/>
                <w:color w:val="auto"/>
              </w:rPr>
              <w:t>Total intangible assets subject to amortization</w:t>
            </w: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9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4,384</w:t>
            </w:r>
          </w:p>
        </w:tc>
        <w:tc>
          <w:tcPr>
            <w:tcW w:w="1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(1,001)</w:t>
            </w:r>
          </w:p>
        </w:tc>
        <w:tc>
          <w:tcPr>
            <w:tcW w:w="120" w:type="dxa"/>
            <w:vAlign w:val="bottom"/>
            <w:tcBorders>
              <w:right w:val="single" w:sz="8" w:color="CCEEFF"/>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3,383</w:t>
            </w:r>
          </w:p>
        </w:tc>
        <w:tc>
          <w:tcPr>
            <w:tcW w:w="0" w:type="dxa"/>
            <w:vAlign w:val="bottom"/>
          </w:tcPr>
          <w:p>
            <w:pPr>
              <w:spacing w:after="0"/>
              <w:rPr>
                <w:sz w:val="1"/>
                <w:szCs w:val="1"/>
                <w:color w:val="auto"/>
              </w:rPr>
            </w:pPr>
          </w:p>
        </w:tc>
      </w:tr>
      <w:tr>
        <w:trPr>
          <w:trHeight w:val="215"/>
        </w:trPr>
        <w:tc>
          <w:tcPr>
            <w:tcW w:w="20" w:type="dxa"/>
            <w:vAlign w:val="bottom"/>
            <w:vMerge w:val="restart"/>
          </w:tcPr>
          <w:p>
            <w:pPr>
              <w:spacing w:after="0"/>
              <w:rPr>
                <w:sz w:val="18"/>
                <w:szCs w:val="18"/>
                <w:color w:val="auto"/>
              </w:rPr>
            </w:pPr>
          </w:p>
        </w:tc>
        <w:tc>
          <w:tcPr>
            <w:tcW w:w="59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vMerge w:val="continue"/>
          </w:tcPr>
          <w:p>
            <w:pPr>
              <w:spacing w:after="0"/>
              <w:rPr>
                <w:sz w:val="18"/>
                <w:szCs w:val="18"/>
                <w:color w:val="auto"/>
              </w:rPr>
            </w:pPr>
          </w:p>
        </w:tc>
        <w:tc>
          <w:tcPr>
            <w:tcW w:w="5900" w:type="dxa"/>
            <w:vAlign w:val="bottom"/>
            <w:shd w:val="clear" w:color="auto" w:fill="CCEEFF"/>
          </w:tcPr>
          <w:p>
            <w:pPr>
              <w:spacing w:after="0"/>
              <w:rPr>
                <w:sz w:val="20"/>
                <w:szCs w:val="20"/>
                <w:color w:val="auto"/>
              </w:rPr>
            </w:pPr>
            <w:r>
              <w:rPr>
                <w:rFonts w:ascii="Arial" w:cs="Arial" w:eastAsia="Arial" w:hAnsi="Arial"/>
                <w:sz w:val="18"/>
                <w:szCs w:val="18"/>
                <w:color w:val="auto"/>
              </w:rPr>
              <w:t>Intangibles not subject to amortization:</w:t>
            </w: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tcBorders>
              <w:right w:val="single" w:sz="8" w:color="CCEEFF"/>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6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5900" w:type="dxa"/>
            <w:vAlign w:val="bottom"/>
          </w:tcPr>
          <w:p>
            <w:pPr>
              <w:ind w:left="140"/>
              <w:spacing w:after="0"/>
              <w:rPr>
                <w:sz w:val="20"/>
                <w:szCs w:val="20"/>
                <w:color w:val="auto"/>
              </w:rPr>
            </w:pPr>
            <w:r>
              <w:rPr>
                <w:rFonts w:ascii="Arial" w:cs="Arial" w:eastAsia="Arial" w:hAnsi="Arial"/>
                <w:sz w:val="18"/>
                <w:szCs w:val="18"/>
                <w:color w:val="auto"/>
              </w:rPr>
              <w:t>Trade names</w:t>
            </w:r>
          </w:p>
        </w:tc>
        <w:tc>
          <w:tcPr>
            <w:tcW w:w="1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900" w:type="dxa"/>
            <w:vAlign w:val="bottom"/>
            <w:gridSpan w:val="3"/>
          </w:tcPr>
          <w:p>
            <w:pPr>
              <w:jc w:val="right"/>
              <w:ind w:right="100"/>
              <w:spacing w:after="0"/>
              <w:rPr>
                <w:sz w:val="20"/>
                <w:szCs w:val="20"/>
                <w:color w:val="auto"/>
              </w:rPr>
            </w:pPr>
            <w:r>
              <w:rPr>
                <w:rFonts w:ascii="Arial" w:cs="Arial" w:eastAsia="Arial" w:hAnsi="Arial"/>
                <w:sz w:val="18"/>
                <w:szCs w:val="18"/>
                <w:color w:val="auto"/>
              </w:rPr>
              <w:t>9,338</w:t>
            </w:r>
          </w:p>
        </w:tc>
        <w:tc>
          <w:tcPr>
            <w:tcW w:w="1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9,338</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5900" w:type="dxa"/>
            <w:vAlign w:val="bottom"/>
            <w:shd w:val="clear" w:color="auto" w:fill="CCEEFF"/>
          </w:tcPr>
          <w:p>
            <w:pPr>
              <w:ind w:left="140"/>
              <w:spacing w:after="0"/>
              <w:rPr>
                <w:sz w:val="20"/>
                <w:szCs w:val="20"/>
                <w:color w:val="auto"/>
              </w:rPr>
            </w:pPr>
            <w:r>
              <w:rPr>
                <w:rFonts w:ascii="Arial" w:cs="Arial" w:eastAsia="Arial" w:hAnsi="Arial"/>
                <w:sz w:val="18"/>
                <w:szCs w:val="18"/>
                <w:color w:val="auto"/>
              </w:rPr>
              <w:t>Goodwill</w:t>
            </w: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9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16,119</w:t>
            </w:r>
          </w:p>
        </w:tc>
        <w:tc>
          <w:tcPr>
            <w:tcW w:w="1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20" w:type="dxa"/>
            <w:vAlign w:val="bottom"/>
            <w:tcBorders>
              <w:right w:val="single" w:sz="8" w:color="CCEEFF"/>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6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16,119</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5900" w:type="dxa"/>
            <w:vAlign w:val="bottom"/>
            <w:tcBorders>
              <w:top w:val="single" w:sz="8" w:color="CCEEFF"/>
            </w:tcBorders>
          </w:tcPr>
          <w:p>
            <w:pPr>
              <w:spacing w:after="0"/>
              <w:rPr>
                <w:sz w:val="18"/>
                <w:szCs w:val="18"/>
                <w:color w:val="auto"/>
              </w:rPr>
            </w:pPr>
          </w:p>
        </w:tc>
        <w:tc>
          <w:tcPr>
            <w:tcW w:w="160" w:type="dxa"/>
            <w:vAlign w:val="bottom"/>
            <w:tcBorders>
              <w:top w:val="single" w:sz="8" w:color="CCEEFF"/>
            </w:tcBorders>
          </w:tcPr>
          <w:p>
            <w:pPr>
              <w:spacing w:after="0"/>
              <w:rPr>
                <w:sz w:val="18"/>
                <w:szCs w:val="18"/>
                <w:color w:val="auto"/>
              </w:rPr>
            </w:pPr>
          </w:p>
        </w:tc>
        <w:tc>
          <w:tcPr>
            <w:tcW w:w="340" w:type="dxa"/>
            <w:vAlign w:val="bottom"/>
            <w:tcBorders>
              <w:top w:val="single" w:sz="8" w:color="CCEEFF"/>
            </w:tcBorders>
          </w:tcPr>
          <w:p>
            <w:pPr>
              <w:spacing w:after="0"/>
              <w:rPr>
                <w:sz w:val="18"/>
                <w:szCs w:val="18"/>
                <w:color w:val="auto"/>
              </w:rPr>
            </w:pPr>
          </w:p>
        </w:tc>
        <w:tc>
          <w:tcPr>
            <w:tcW w:w="680" w:type="dxa"/>
            <w:vAlign w:val="bottom"/>
            <w:tcBorders>
              <w:top w:val="single" w:sz="8" w:color="auto"/>
            </w:tcBorders>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35"/>
        </w:trPr>
        <w:tc>
          <w:tcPr>
            <w:tcW w:w="20" w:type="dxa"/>
            <w:vAlign w:val="bottom"/>
          </w:tcPr>
          <w:p>
            <w:pPr>
              <w:spacing w:after="0"/>
              <w:rPr>
                <w:sz w:val="20"/>
                <w:szCs w:val="20"/>
                <w:color w:val="auto"/>
              </w:rPr>
            </w:pPr>
          </w:p>
        </w:tc>
        <w:tc>
          <w:tcPr>
            <w:tcW w:w="5900" w:type="dxa"/>
            <w:vAlign w:val="bottom"/>
            <w:shd w:val="clear" w:color="auto" w:fill="CCEEFF"/>
          </w:tcPr>
          <w:p>
            <w:pPr>
              <w:spacing w:after="0"/>
              <w:rPr>
                <w:sz w:val="20"/>
                <w:szCs w:val="20"/>
                <w:color w:val="auto"/>
              </w:rPr>
            </w:pPr>
            <w:r>
              <w:rPr>
                <w:rFonts w:ascii="Arial" w:cs="Arial" w:eastAsia="Arial" w:hAnsi="Arial"/>
                <w:sz w:val="18"/>
                <w:szCs w:val="18"/>
                <w:color w:val="auto"/>
              </w:rPr>
              <w:t>Total goodwill and other intangible assets</w:t>
            </w:r>
          </w:p>
        </w:tc>
        <w:tc>
          <w:tcPr>
            <w:tcW w:w="160" w:type="dxa"/>
            <w:vAlign w:val="bottom"/>
            <w:shd w:val="clear" w:color="auto" w:fill="CCEEFF"/>
          </w:tcPr>
          <w:p>
            <w:pPr>
              <w:spacing w:after="0"/>
              <w:rPr>
                <w:sz w:val="20"/>
                <w:szCs w:val="20"/>
                <w:color w:val="auto"/>
              </w:rPr>
            </w:pPr>
          </w:p>
        </w:tc>
        <w:tc>
          <w:tcPr>
            <w:tcW w:w="1020" w:type="dxa"/>
            <w:vAlign w:val="bottom"/>
            <w:gridSpan w:val="2"/>
            <w:shd w:val="clear" w:color="auto" w:fill="CCEEFF"/>
          </w:tcPr>
          <w:p>
            <w:pPr>
              <w:jc w:val="right"/>
              <w:ind w:right="510"/>
              <w:spacing w:after="0"/>
              <w:rPr>
                <w:sz w:val="20"/>
                <w:szCs w:val="20"/>
                <w:color w:val="auto"/>
              </w:rPr>
            </w:pPr>
            <w:r>
              <w:rPr>
                <w:rFonts w:ascii="Arial" w:cs="Arial" w:eastAsia="Arial" w:hAnsi="Arial"/>
                <w:sz w:val="18"/>
                <w:szCs w:val="18"/>
                <w:color w:val="auto"/>
              </w:rPr>
              <w:t>$</w:t>
            </w:r>
          </w:p>
        </w:tc>
        <w:tc>
          <w:tcPr>
            <w:tcW w:w="9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29,841</w:t>
            </w:r>
          </w:p>
        </w:tc>
        <w:tc>
          <w:tcPr>
            <w:tcW w:w="480" w:type="dxa"/>
            <w:vAlign w:val="bottom"/>
            <w:gridSpan w:val="2"/>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8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(1,001)</w:t>
            </w:r>
          </w:p>
        </w:tc>
        <w:tc>
          <w:tcPr>
            <w:tcW w:w="2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28,840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900" w:type="dxa"/>
            <w:vAlign w:val="bottom"/>
            <w:tcBorders>
              <w:top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340" w:type="dxa"/>
            <w:vAlign w:val="bottom"/>
            <w:tcBorders>
              <w:top w:val="single" w:sz="8" w:color="CCEEFF"/>
            </w:tcBorders>
            <w:shd w:val="clear" w:color="auto" w:fill="CCEEFF"/>
          </w:tcPr>
          <w:p>
            <w:pPr>
              <w:spacing w:after="0" w:line="20" w:lineRule="exact"/>
              <w:rPr>
                <w:sz w:val="1"/>
                <w:szCs w:val="1"/>
                <w:color w:val="auto"/>
              </w:rPr>
            </w:pPr>
          </w:p>
        </w:tc>
        <w:tc>
          <w:tcPr>
            <w:tcW w:w="68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auto"/>
            </w:tcBorders>
            <w:shd w:val="clear" w:color="auto" w:fill="000000"/>
          </w:tcPr>
          <w:p>
            <w:pPr>
              <w:spacing w:after="0" w:line="20" w:lineRule="exact"/>
              <w:rPr>
                <w:sz w:val="1"/>
                <w:szCs w:val="1"/>
                <w:color w:val="auto"/>
              </w:rPr>
            </w:pPr>
          </w:p>
        </w:tc>
        <w:tc>
          <w:tcPr>
            <w:tcW w:w="58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34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auto"/>
            </w:tcBorders>
            <w:shd w:val="clear" w:color="auto" w:fill="000000"/>
          </w:tcPr>
          <w:p>
            <w:pPr>
              <w:spacing w:after="0" w:line="20" w:lineRule="exact"/>
              <w:rPr>
                <w:sz w:val="1"/>
                <w:szCs w:val="1"/>
                <w:color w:val="auto"/>
              </w:rPr>
            </w:pPr>
          </w:p>
        </w:tc>
        <w:tc>
          <w:tcPr>
            <w:tcW w:w="180" w:type="dxa"/>
            <w:vAlign w:val="bottom"/>
            <w:tcBorders>
              <w:top w:val="single" w:sz="8" w:color="auto"/>
            </w:tcBorders>
            <w:shd w:val="clear" w:color="auto" w:fill="000000"/>
          </w:tcPr>
          <w:p>
            <w:pPr>
              <w:spacing w:after="0" w:line="20" w:lineRule="exact"/>
              <w:rPr>
                <w:sz w:val="1"/>
                <w:szCs w:val="1"/>
                <w:color w:val="auto"/>
              </w:rPr>
            </w:pPr>
          </w:p>
        </w:tc>
        <w:tc>
          <w:tcPr>
            <w:tcW w:w="760" w:type="dxa"/>
            <w:vAlign w:val="bottom"/>
            <w:tcBorders>
              <w:top w:val="single" w:sz="8" w:color="auto"/>
            </w:tcBorders>
            <w:shd w:val="clear" w:color="auto" w:fill="000000"/>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right w:val="single" w:sz="8" w:color="auto"/>
            </w:tcBorders>
            <w:shd w:val="clear" w:color="auto" w:fill="CCEEFF"/>
          </w:tcPr>
          <w:p>
            <w:pPr>
              <w:spacing w:after="0" w:line="20" w:lineRule="exact"/>
              <w:rPr>
                <w:sz w:val="1"/>
                <w:szCs w:val="1"/>
                <w:color w:val="auto"/>
              </w:rPr>
            </w:pPr>
          </w:p>
        </w:tc>
        <w:tc>
          <w:tcPr>
            <w:tcW w:w="14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auto"/>
            </w:tcBorders>
            <w:shd w:val="clear" w:color="auto" w:fill="000000"/>
          </w:tcPr>
          <w:p>
            <w:pPr>
              <w:spacing w:after="0" w:line="20" w:lineRule="exact"/>
              <w:rPr>
                <w:sz w:val="1"/>
                <w:szCs w:val="1"/>
                <w:color w:val="auto"/>
              </w:rPr>
            </w:pPr>
          </w:p>
        </w:tc>
        <w:tc>
          <w:tcPr>
            <w:tcW w:w="260" w:type="dxa"/>
            <w:vAlign w:val="bottom"/>
            <w:tcBorders>
              <w:top w:val="single" w:sz="8" w:color="auto"/>
            </w:tcBorders>
            <w:shd w:val="clear" w:color="auto" w:fill="000000"/>
          </w:tcPr>
          <w:p>
            <w:pPr>
              <w:spacing w:after="0" w:line="20" w:lineRule="exact"/>
              <w:rPr>
                <w:sz w:val="1"/>
                <w:szCs w:val="1"/>
                <w:color w:val="auto"/>
              </w:rPr>
            </w:pPr>
          </w:p>
        </w:tc>
        <w:tc>
          <w:tcPr>
            <w:tcW w:w="960" w:type="dxa"/>
            <w:vAlign w:val="bottom"/>
            <w:tcBorders>
              <w:top w:val="single" w:sz="8" w:color="auto"/>
              <w:right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8"/>
        </w:trPr>
        <w:tc>
          <w:tcPr>
            <w:tcW w:w="20" w:type="dxa"/>
            <w:vAlign w:val="bottom"/>
          </w:tcPr>
          <w:p>
            <w:pPr>
              <w:spacing w:after="0"/>
              <w:rPr>
                <w:sz w:val="24"/>
                <w:szCs w:val="24"/>
                <w:color w:val="auto"/>
              </w:rPr>
            </w:pPr>
          </w:p>
        </w:tc>
        <w:tc>
          <w:tcPr>
            <w:tcW w:w="59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760" w:type="dxa"/>
            <w:vAlign w:val="bottom"/>
            <w:tcBorders>
              <w:bottom w:val="single" w:sz="8" w:color="auto"/>
            </w:tcBorders>
            <w:gridSpan w:val="6"/>
          </w:tcPr>
          <w:p>
            <w:pPr>
              <w:jc w:val="right"/>
              <w:ind w:right="160"/>
              <w:spacing w:after="0"/>
              <w:rPr>
                <w:sz w:val="20"/>
                <w:szCs w:val="20"/>
                <w:color w:val="auto"/>
              </w:rPr>
            </w:pPr>
            <w:r>
              <w:rPr>
                <w:rFonts w:ascii="Arial" w:cs="Arial" w:eastAsia="Arial" w:hAnsi="Arial"/>
                <w:sz w:val="18"/>
                <w:szCs w:val="18"/>
                <w:b w:val="1"/>
                <w:bCs w:val="1"/>
                <w:color w:val="auto"/>
                <w:w w:val="96"/>
              </w:rPr>
              <w:t>November 25, 2017</w:t>
            </w: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59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580" w:type="dxa"/>
            <w:vAlign w:val="bottom"/>
            <w:gridSpan w:val="4"/>
          </w:tcPr>
          <w:p>
            <w:pPr>
              <w:jc w:val="center"/>
              <w:ind w:right="100"/>
              <w:spacing w:after="0" w:line="190" w:lineRule="exact"/>
              <w:rPr>
                <w:sz w:val="20"/>
                <w:szCs w:val="20"/>
                <w:color w:val="auto"/>
              </w:rPr>
            </w:pPr>
            <w:r>
              <w:rPr>
                <w:rFonts w:ascii="Arial" w:cs="Arial" w:eastAsia="Arial" w:hAnsi="Arial"/>
                <w:sz w:val="18"/>
                <w:szCs w:val="18"/>
                <w:b w:val="1"/>
                <w:bCs w:val="1"/>
                <w:color w:val="auto"/>
                <w:w w:val="84"/>
              </w:rPr>
              <w:t>Gross</w:t>
            </w:r>
          </w:p>
        </w:tc>
        <w:tc>
          <w:tcPr>
            <w:tcW w:w="14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59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580" w:type="dxa"/>
            <w:vAlign w:val="bottom"/>
            <w:gridSpan w:val="4"/>
          </w:tcPr>
          <w:p>
            <w:pPr>
              <w:jc w:val="center"/>
              <w:ind w:right="100"/>
              <w:spacing w:after="0"/>
              <w:rPr>
                <w:sz w:val="20"/>
                <w:szCs w:val="20"/>
                <w:color w:val="auto"/>
              </w:rPr>
            </w:pPr>
            <w:r>
              <w:rPr>
                <w:rFonts w:ascii="Arial" w:cs="Arial" w:eastAsia="Arial" w:hAnsi="Arial"/>
                <w:sz w:val="18"/>
                <w:szCs w:val="18"/>
                <w:b w:val="1"/>
                <w:bCs w:val="1"/>
                <w:color w:val="auto"/>
                <w:w w:val="97"/>
              </w:rPr>
              <w:t>Carrying</w:t>
            </w:r>
          </w:p>
        </w:tc>
        <w:tc>
          <w:tcPr>
            <w:tcW w:w="140" w:type="dxa"/>
            <w:vAlign w:val="bottom"/>
          </w:tcPr>
          <w:p>
            <w:pPr>
              <w:spacing w:after="0"/>
              <w:rPr>
                <w:sz w:val="18"/>
                <w:szCs w:val="18"/>
                <w:color w:val="auto"/>
              </w:rPr>
            </w:pPr>
          </w:p>
        </w:tc>
        <w:tc>
          <w:tcPr>
            <w:tcW w:w="1620" w:type="dxa"/>
            <w:vAlign w:val="bottom"/>
            <w:gridSpan w:val="5"/>
          </w:tcPr>
          <w:p>
            <w:pPr>
              <w:jc w:val="right"/>
              <w:ind w:right="360"/>
              <w:spacing w:after="0"/>
              <w:rPr>
                <w:sz w:val="20"/>
                <w:szCs w:val="20"/>
                <w:color w:val="auto"/>
              </w:rPr>
            </w:pPr>
            <w:r>
              <w:rPr>
                <w:rFonts w:ascii="Arial" w:cs="Arial" w:eastAsia="Arial" w:hAnsi="Arial"/>
                <w:sz w:val="18"/>
                <w:szCs w:val="18"/>
                <w:b w:val="1"/>
                <w:bCs w:val="1"/>
                <w:color w:val="auto"/>
              </w:rPr>
              <w:t>Accumulated</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320" w:type="dxa"/>
            <w:vAlign w:val="bottom"/>
            <w:gridSpan w:val="3"/>
          </w:tcPr>
          <w:p>
            <w:pPr>
              <w:jc w:val="center"/>
              <w:ind w:right="360"/>
              <w:spacing w:after="0"/>
              <w:rPr>
                <w:sz w:val="20"/>
                <w:szCs w:val="20"/>
                <w:color w:val="auto"/>
              </w:rPr>
            </w:pPr>
            <w:r>
              <w:rPr>
                <w:rFonts w:ascii="Arial" w:cs="Arial" w:eastAsia="Arial" w:hAnsi="Arial"/>
                <w:sz w:val="18"/>
                <w:szCs w:val="18"/>
                <w:b w:val="1"/>
                <w:bCs w:val="1"/>
                <w:color w:val="auto"/>
                <w:w w:val="94"/>
              </w:rPr>
              <w:t>Intangible</w:t>
            </w: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59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580" w:type="dxa"/>
            <w:vAlign w:val="bottom"/>
            <w:gridSpan w:val="4"/>
          </w:tcPr>
          <w:p>
            <w:pPr>
              <w:jc w:val="center"/>
              <w:ind w:right="100"/>
              <w:spacing w:after="0"/>
              <w:rPr>
                <w:sz w:val="20"/>
                <w:szCs w:val="20"/>
                <w:color w:val="auto"/>
              </w:rPr>
            </w:pPr>
            <w:r>
              <w:rPr>
                <w:rFonts w:ascii="Arial" w:cs="Arial" w:eastAsia="Arial" w:hAnsi="Arial"/>
                <w:sz w:val="18"/>
                <w:szCs w:val="18"/>
                <w:b w:val="1"/>
                <w:bCs w:val="1"/>
                <w:color w:val="auto"/>
                <w:w w:val="94"/>
              </w:rPr>
              <w:t>Amount</w:t>
            </w:r>
          </w:p>
        </w:tc>
        <w:tc>
          <w:tcPr>
            <w:tcW w:w="140" w:type="dxa"/>
            <w:vAlign w:val="bottom"/>
          </w:tcPr>
          <w:p>
            <w:pPr>
              <w:spacing w:after="0"/>
              <w:rPr>
                <w:sz w:val="20"/>
                <w:szCs w:val="20"/>
                <w:color w:val="auto"/>
              </w:rPr>
            </w:pPr>
          </w:p>
        </w:tc>
        <w:tc>
          <w:tcPr>
            <w:tcW w:w="1620" w:type="dxa"/>
            <w:vAlign w:val="bottom"/>
            <w:gridSpan w:val="5"/>
          </w:tcPr>
          <w:p>
            <w:pPr>
              <w:jc w:val="right"/>
              <w:ind w:right="360"/>
              <w:spacing w:after="0"/>
              <w:rPr>
                <w:sz w:val="20"/>
                <w:szCs w:val="20"/>
                <w:color w:val="auto"/>
              </w:rPr>
            </w:pPr>
            <w:r>
              <w:rPr>
                <w:rFonts w:ascii="Arial" w:cs="Arial" w:eastAsia="Arial" w:hAnsi="Arial"/>
                <w:sz w:val="18"/>
                <w:szCs w:val="18"/>
                <w:b w:val="1"/>
                <w:bCs w:val="1"/>
                <w:color w:val="auto"/>
              </w:rPr>
              <w:t>Amortization</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320" w:type="dxa"/>
            <w:vAlign w:val="bottom"/>
            <w:gridSpan w:val="3"/>
          </w:tcPr>
          <w:p>
            <w:pPr>
              <w:jc w:val="center"/>
              <w:ind w:right="360"/>
              <w:spacing w:after="0"/>
              <w:rPr>
                <w:sz w:val="20"/>
                <w:szCs w:val="20"/>
                <w:color w:val="auto"/>
              </w:rPr>
            </w:pPr>
            <w:r>
              <w:rPr>
                <w:rFonts w:ascii="Arial" w:cs="Arial" w:eastAsia="Arial" w:hAnsi="Arial"/>
                <w:sz w:val="18"/>
                <w:szCs w:val="18"/>
                <w:b w:val="1"/>
                <w:bCs w:val="1"/>
                <w:color w:val="auto"/>
                <w:w w:val="85"/>
              </w:rPr>
              <w:t>Assets, Net</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5900" w:type="dxa"/>
            <w:vAlign w:val="bottom"/>
            <w:shd w:val="clear" w:color="auto" w:fill="CCEEFF"/>
          </w:tcPr>
          <w:p>
            <w:pPr>
              <w:spacing w:after="0"/>
              <w:rPr>
                <w:sz w:val="20"/>
                <w:szCs w:val="20"/>
                <w:color w:val="auto"/>
              </w:rPr>
            </w:pPr>
            <w:r>
              <w:rPr>
                <w:rFonts w:ascii="Arial" w:cs="Arial" w:eastAsia="Arial" w:hAnsi="Arial"/>
                <w:sz w:val="18"/>
                <w:szCs w:val="18"/>
                <w:color w:val="auto"/>
              </w:rPr>
              <w:t>Intangibles subject to amortization</w:t>
            </w: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340" w:type="dxa"/>
            <w:vAlign w:val="bottom"/>
            <w:tcBorders>
              <w:top w:val="single" w:sz="8" w:color="auto"/>
            </w:tcBorders>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760" w:type="dxa"/>
            <w:vAlign w:val="bottom"/>
            <w:tcBorders>
              <w:top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tcBorders>
              <w:right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spacing w:after="0"/>
              <w:rPr>
                <w:sz w:val="18"/>
                <w:szCs w:val="18"/>
                <w:color w:val="auto"/>
              </w:rPr>
            </w:pPr>
          </w:p>
        </w:tc>
        <w:tc>
          <w:tcPr>
            <w:tcW w:w="960" w:type="dxa"/>
            <w:vAlign w:val="bottom"/>
            <w:tcBorders>
              <w:top w:val="single" w:sz="8" w:color="auto"/>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5900" w:type="dxa"/>
            <w:vAlign w:val="bottom"/>
          </w:tcPr>
          <w:p>
            <w:pPr>
              <w:ind w:left="140"/>
              <w:spacing w:after="0"/>
              <w:rPr>
                <w:sz w:val="20"/>
                <w:szCs w:val="20"/>
                <w:color w:val="auto"/>
              </w:rPr>
            </w:pPr>
            <w:r>
              <w:rPr>
                <w:rFonts w:ascii="Arial" w:cs="Arial" w:eastAsia="Arial" w:hAnsi="Arial"/>
                <w:sz w:val="18"/>
                <w:szCs w:val="18"/>
                <w:color w:val="auto"/>
              </w:rPr>
              <w:t>Customer relationships</w:t>
            </w:r>
          </w:p>
        </w:tc>
        <w:tc>
          <w:tcPr>
            <w:tcW w:w="160" w:type="dxa"/>
            <w:vAlign w:val="bottom"/>
          </w:tcPr>
          <w:p>
            <w:pPr>
              <w:spacing w:after="0"/>
              <w:rPr>
                <w:sz w:val="18"/>
                <w:szCs w:val="18"/>
                <w:color w:val="auto"/>
              </w:rPr>
            </w:pPr>
          </w:p>
        </w:tc>
        <w:tc>
          <w:tcPr>
            <w:tcW w:w="1020" w:type="dxa"/>
            <w:vAlign w:val="bottom"/>
            <w:gridSpan w:val="2"/>
          </w:tcPr>
          <w:p>
            <w:pPr>
              <w:jc w:val="right"/>
              <w:ind w:right="510"/>
              <w:spacing w:after="0"/>
              <w:rPr>
                <w:sz w:val="20"/>
                <w:szCs w:val="20"/>
                <w:color w:val="auto"/>
              </w:rPr>
            </w:pPr>
            <w:r>
              <w:rPr>
                <w:rFonts w:ascii="Arial" w:cs="Arial" w:eastAsia="Arial" w:hAnsi="Arial"/>
                <w:sz w:val="18"/>
                <w:szCs w:val="18"/>
                <w:color w:val="auto"/>
              </w:rPr>
              <w:t>$</w:t>
            </w:r>
          </w:p>
        </w:tc>
        <w:tc>
          <w:tcPr>
            <w:tcW w:w="900" w:type="dxa"/>
            <w:vAlign w:val="bottom"/>
            <w:gridSpan w:val="3"/>
          </w:tcPr>
          <w:p>
            <w:pPr>
              <w:jc w:val="right"/>
              <w:ind w:right="100"/>
              <w:spacing w:after="0"/>
              <w:rPr>
                <w:sz w:val="20"/>
                <w:szCs w:val="20"/>
                <w:color w:val="auto"/>
              </w:rPr>
            </w:pPr>
            <w:r>
              <w:rPr>
                <w:rFonts w:ascii="Arial" w:cs="Arial" w:eastAsia="Arial" w:hAnsi="Arial"/>
                <w:sz w:val="18"/>
                <w:szCs w:val="18"/>
                <w:color w:val="auto"/>
              </w:rPr>
              <w:t>3,038</w:t>
            </w:r>
          </w:p>
        </w:tc>
        <w:tc>
          <w:tcPr>
            <w:tcW w:w="480" w:type="dxa"/>
            <w:vAlign w:val="bottom"/>
            <w:gridSpan w:val="2"/>
          </w:tcPr>
          <w:p>
            <w:pPr>
              <w:jc w:val="right"/>
              <w:ind w:right="15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80" w:type="dxa"/>
            <w:vAlign w:val="bottom"/>
            <w:gridSpan w:val="2"/>
          </w:tcPr>
          <w:p>
            <w:pPr>
              <w:jc w:val="right"/>
              <w:ind w:right="60"/>
              <w:spacing w:after="0"/>
              <w:rPr>
                <w:sz w:val="20"/>
                <w:szCs w:val="20"/>
                <w:color w:val="auto"/>
              </w:rPr>
            </w:pPr>
            <w:r>
              <w:rPr>
                <w:rFonts w:ascii="Arial" w:cs="Arial" w:eastAsia="Arial" w:hAnsi="Arial"/>
                <w:sz w:val="18"/>
                <w:szCs w:val="18"/>
                <w:color w:val="auto"/>
              </w:rPr>
              <w:t>(574)</w:t>
            </w:r>
          </w:p>
        </w:tc>
        <w:tc>
          <w:tcPr>
            <w:tcW w:w="26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2,464</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5900" w:type="dxa"/>
            <w:vAlign w:val="bottom"/>
            <w:shd w:val="clear" w:color="auto" w:fill="CCEEFF"/>
          </w:tcPr>
          <w:p>
            <w:pPr>
              <w:ind w:left="140"/>
              <w:spacing w:after="0"/>
              <w:rPr>
                <w:sz w:val="20"/>
                <w:szCs w:val="20"/>
                <w:color w:val="auto"/>
              </w:rPr>
            </w:pPr>
            <w:r>
              <w:rPr>
                <w:rFonts w:ascii="Arial" w:cs="Arial" w:eastAsia="Arial" w:hAnsi="Arial"/>
                <w:sz w:val="18"/>
                <w:szCs w:val="18"/>
                <w:color w:val="auto"/>
              </w:rPr>
              <w:t>Technology - customized applications</w:t>
            </w: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9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834</w:t>
            </w:r>
          </w:p>
        </w:tc>
        <w:tc>
          <w:tcPr>
            <w:tcW w:w="1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(337)</w:t>
            </w:r>
          </w:p>
        </w:tc>
        <w:tc>
          <w:tcPr>
            <w:tcW w:w="120" w:type="dxa"/>
            <w:vAlign w:val="bottom"/>
            <w:tcBorders>
              <w:right w:val="single" w:sz="8" w:color="CCEEFF"/>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497</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5900" w:type="dxa"/>
            <w:vAlign w:val="bottom"/>
            <w:tcBorders>
              <w:top w:val="single" w:sz="8" w:color="CCEEFF"/>
            </w:tcBorders>
          </w:tcPr>
          <w:p>
            <w:pPr>
              <w:spacing w:after="0"/>
              <w:rPr>
                <w:sz w:val="18"/>
                <w:szCs w:val="18"/>
                <w:color w:val="auto"/>
              </w:rPr>
            </w:pPr>
          </w:p>
        </w:tc>
        <w:tc>
          <w:tcPr>
            <w:tcW w:w="160" w:type="dxa"/>
            <w:vAlign w:val="bottom"/>
            <w:tcBorders>
              <w:top w:val="single" w:sz="8" w:color="CCEEFF"/>
            </w:tcBorders>
          </w:tcPr>
          <w:p>
            <w:pPr>
              <w:spacing w:after="0"/>
              <w:rPr>
                <w:sz w:val="18"/>
                <w:szCs w:val="18"/>
                <w:color w:val="auto"/>
              </w:rPr>
            </w:pPr>
          </w:p>
        </w:tc>
        <w:tc>
          <w:tcPr>
            <w:tcW w:w="340" w:type="dxa"/>
            <w:vAlign w:val="bottom"/>
            <w:tcBorders>
              <w:top w:val="single" w:sz="8" w:color="CCEEFF"/>
            </w:tcBorders>
          </w:tcPr>
          <w:p>
            <w:pPr>
              <w:spacing w:after="0"/>
              <w:rPr>
                <w:sz w:val="18"/>
                <w:szCs w:val="18"/>
                <w:color w:val="auto"/>
              </w:rPr>
            </w:pPr>
          </w:p>
        </w:tc>
        <w:tc>
          <w:tcPr>
            <w:tcW w:w="680" w:type="dxa"/>
            <w:vAlign w:val="bottom"/>
            <w:tcBorders>
              <w:top w:val="single" w:sz="8" w:color="auto"/>
            </w:tcBorders>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5900" w:type="dxa"/>
            <w:vAlign w:val="bottom"/>
            <w:shd w:val="clear" w:color="auto" w:fill="CCEEFF"/>
          </w:tcPr>
          <w:p>
            <w:pPr>
              <w:ind w:left="320"/>
              <w:spacing w:after="0"/>
              <w:rPr>
                <w:sz w:val="20"/>
                <w:szCs w:val="20"/>
                <w:color w:val="auto"/>
              </w:rPr>
            </w:pPr>
            <w:r>
              <w:rPr>
                <w:rFonts w:ascii="Arial" w:cs="Arial" w:eastAsia="Arial" w:hAnsi="Arial"/>
                <w:sz w:val="18"/>
                <w:szCs w:val="18"/>
                <w:color w:val="auto"/>
              </w:rPr>
              <w:t>Total intangible assets subject to amortization</w:t>
            </w: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9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3,872</w:t>
            </w:r>
          </w:p>
        </w:tc>
        <w:tc>
          <w:tcPr>
            <w:tcW w:w="1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(911)</w:t>
            </w:r>
          </w:p>
        </w:tc>
        <w:tc>
          <w:tcPr>
            <w:tcW w:w="120" w:type="dxa"/>
            <w:vAlign w:val="bottom"/>
            <w:tcBorders>
              <w:right w:val="single" w:sz="8" w:color="CCEEFF"/>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2,961</w:t>
            </w:r>
          </w:p>
        </w:tc>
        <w:tc>
          <w:tcPr>
            <w:tcW w:w="0" w:type="dxa"/>
            <w:vAlign w:val="bottom"/>
          </w:tcPr>
          <w:p>
            <w:pPr>
              <w:spacing w:after="0"/>
              <w:rPr>
                <w:sz w:val="1"/>
                <w:szCs w:val="1"/>
                <w:color w:val="auto"/>
              </w:rPr>
            </w:pPr>
          </w:p>
        </w:tc>
      </w:tr>
      <w:tr>
        <w:trPr>
          <w:trHeight w:val="215"/>
        </w:trPr>
        <w:tc>
          <w:tcPr>
            <w:tcW w:w="20" w:type="dxa"/>
            <w:vAlign w:val="bottom"/>
            <w:vMerge w:val="restart"/>
          </w:tcPr>
          <w:p>
            <w:pPr>
              <w:spacing w:after="0"/>
              <w:rPr>
                <w:sz w:val="18"/>
                <w:szCs w:val="18"/>
                <w:color w:val="auto"/>
              </w:rPr>
            </w:pPr>
          </w:p>
        </w:tc>
        <w:tc>
          <w:tcPr>
            <w:tcW w:w="59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vMerge w:val="continue"/>
          </w:tcPr>
          <w:p>
            <w:pPr>
              <w:spacing w:after="0"/>
              <w:rPr>
                <w:sz w:val="18"/>
                <w:szCs w:val="18"/>
                <w:color w:val="auto"/>
              </w:rPr>
            </w:pPr>
          </w:p>
        </w:tc>
        <w:tc>
          <w:tcPr>
            <w:tcW w:w="5900" w:type="dxa"/>
            <w:vAlign w:val="bottom"/>
            <w:shd w:val="clear" w:color="auto" w:fill="CCEEFF"/>
          </w:tcPr>
          <w:p>
            <w:pPr>
              <w:spacing w:after="0"/>
              <w:rPr>
                <w:sz w:val="20"/>
                <w:szCs w:val="20"/>
                <w:color w:val="auto"/>
              </w:rPr>
            </w:pPr>
            <w:r>
              <w:rPr>
                <w:rFonts w:ascii="Arial" w:cs="Arial" w:eastAsia="Arial" w:hAnsi="Arial"/>
                <w:sz w:val="18"/>
                <w:szCs w:val="18"/>
                <w:color w:val="auto"/>
              </w:rPr>
              <w:t>Intangibles not subject to amortization:</w:t>
            </w: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tcBorders>
              <w:right w:val="single" w:sz="8" w:color="CCEEFF"/>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6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5900" w:type="dxa"/>
            <w:vAlign w:val="bottom"/>
          </w:tcPr>
          <w:p>
            <w:pPr>
              <w:ind w:left="140"/>
              <w:spacing w:after="0"/>
              <w:rPr>
                <w:sz w:val="20"/>
                <w:szCs w:val="20"/>
                <w:color w:val="auto"/>
              </w:rPr>
            </w:pPr>
            <w:r>
              <w:rPr>
                <w:rFonts w:ascii="Arial" w:cs="Arial" w:eastAsia="Arial" w:hAnsi="Arial"/>
                <w:sz w:val="18"/>
                <w:szCs w:val="18"/>
                <w:color w:val="auto"/>
              </w:rPr>
              <w:t>Trade names</w:t>
            </w:r>
          </w:p>
        </w:tc>
        <w:tc>
          <w:tcPr>
            <w:tcW w:w="1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900" w:type="dxa"/>
            <w:vAlign w:val="bottom"/>
            <w:gridSpan w:val="3"/>
          </w:tcPr>
          <w:p>
            <w:pPr>
              <w:jc w:val="right"/>
              <w:ind w:right="100"/>
              <w:spacing w:after="0"/>
              <w:rPr>
                <w:sz w:val="20"/>
                <w:szCs w:val="20"/>
                <w:color w:val="auto"/>
              </w:rPr>
            </w:pPr>
            <w:r>
              <w:rPr>
                <w:rFonts w:ascii="Arial" w:cs="Arial" w:eastAsia="Arial" w:hAnsi="Arial"/>
                <w:sz w:val="18"/>
                <w:szCs w:val="18"/>
                <w:color w:val="auto"/>
              </w:rPr>
              <w:t>2,490</w:t>
            </w:r>
          </w:p>
        </w:tc>
        <w:tc>
          <w:tcPr>
            <w:tcW w:w="1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2,490</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5900" w:type="dxa"/>
            <w:vAlign w:val="bottom"/>
            <w:shd w:val="clear" w:color="auto" w:fill="CCEEFF"/>
          </w:tcPr>
          <w:p>
            <w:pPr>
              <w:ind w:left="140"/>
              <w:spacing w:after="0"/>
              <w:rPr>
                <w:sz w:val="20"/>
                <w:szCs w:val="20"/>
                <w:color w:val="auto"/>
              </w:rPr>
            </w:pPr>
            <w:r>
              <w:rPr>
                <w:rFonts w:ascii="Arial" w:cs="Arial" w:eastAsia="Arial" w:hAnsi="Arial"/>
                <w:sz w:val="18"/>
                <w:szCs w:val="18"/>
                <w:color w:val="auto"/>
              </w:rPr>
              <w:t>Goodwill</w:t>
            </w: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9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11,900</w:t>
            </w:r>
          </w:p>
        </w:tc>
        <w:tc>
          <w:tcPr>
            <w:tcW w:w="1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20" w:type="dxa"/>
            <w:vAlign w:val="bottom"/>
            <w:tcBorders>
              <w:right w:val="single" w:sz="8" w:color="CCEEFF"/>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6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11,900</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5900" w:type="dxa"/>
            <w:vAlign w:val="bottom"/>
            <w:tcBorders>
              <w:top w:val="single" w:sz="8" w:color="CCEEFF"/>
            </w:tcBorders>
          </w:tcPr>
          <w:p>
            <w:pPr>
              <w:spacing w:after="0"/>
              <w:rPr>
                <w:sz w:val="18"/>
                <w:szCs w:val="18"/>
                <w:color w:val="auto"/>
              </w:rPr>
            </w:pPr>
          </w:p>
        </w:tc>
        <w:tc>
          <w:tcPr>
            <w:tcW w:w="160" w:type="dxa"/>
            <w:vAlign w:val="bottom"/>
            <w:tcBorders>
              <w:top w:val="single" w:sz="8" w:color="CCEEFF"/>
            </w:tcBorders>
          </w:tcPr>
          <w:p>
            <w:pPr>
              <w:spacing w:after="0"/>
              <w:rPr>
                <w:sz w:val="18"/>
                <w:szCs w:val="18"/>
                <w:color w:val="auto"/>
              </w:rPr>
            </w:pPr>
          </w:p>
        </w:tc>
        <w:tc>
          <w:tcPr>
            <w:tcW w:w="340" w:type="dxa"/>
            <w:vAlign w:val="bottom"/>
            <w:tcBorders>
              <w:top w:val="single" w:sz="8" w:color="CCEEFF"/>
            </w:tcBorders>
          </w:tcPr>
          <w:p>
            <w:pPr>
              <w:spacing w:after="0"/>
              <w:rPr>
                <w:sz w:val="18"/>
                <w:szCs w:val="18"/>
                <w:color w:val="auto"/>
              </w:rPr>
            </w:pPr>
          </w:p>
        </w:tc>
        <w:tc>
          <w:tcPr>
            <w:tcW w:w="680" w:type="dxa"/>
            <w:vAlign w:val="bottom"/>
            <w:tcBorders>
              <w:top w:val="single" w:sz="8" w:color="auto"/>
            </w:tcBorders>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35"/>
        </w:trPr>
        <w:tc>
          <w:tcPr>
            <w:tcW w:w="20" w:type="dxa"/>
            <w:vAlign w:val="bottom"/>
          </w:tcPr>
          <w:p>
            <w:pPr>
              <w:spacing w:after="0"/>
              <w:rPr>
                <w:sz w:val="20"/>
                <w:szCs w:val="20"/>
                <w:color w:val="auto"/>
              </w:rPr>
            </w:pPr>
          </w:p>
        </w:tc>
        <w:tc>
          <w:tcPr>
            <w:tcW w:w="5900" w:type="dxa"/>
            <w:vAlign w:val="bottom"/>
            <w:shd w:val="clear" w:color="auto" w:fill="CCEEFF"/>
          </w:tcPr>
          <w:p>
            <w:pPr>
              <w:spacing w:after="0"/>
              <w:rPr>
                <w:sz w:val="20"/>
                <w:szCs w:val="20"/>
                <w:color w:val="auto"/>
              </w:rPr>
            </w:pPr>
            <w:r>
              <w:rPr>
                <w:rFonts w:ascii="Arial" w:cs="Arial" w:eastAsia="Arial" w:hAnsi="Arial"/>
                <w:sz w:val="18"/>
                <w:szCs w:val="18"/>
                <w:color w:val="auto"/>
              </w:rPr>
              <w:t>Total goodwill and other intangible assets</w:t>
            </w:r>
          </w:p>
        </w:tc>
        <w:tc>
          <w:tcPr>
            <w:tcW w:w="160" w:type="dxa"/>
            <w:vAlign w:val="bottom"/>
            <w:shd w:val="clear" w:color="auto" w:fill="CCEEFF"/>
          </w:tcPr>
          <w:p>
            <w:pPr>
              <w:spacing w:after="0"/>
              <w:rPr>
                <w:sz w:val="20"/>
                <w:szCs w:val="20"/>
                <w:color w:val="auto"/>
              </w:rPr>
            </w:pPr>
          </w:p>
        </w:tc>
        <w:tc>
          <w:tcPr>
            <w:tcW w:w="1020" w:type="dxa"/>
            <w:vAlign w:val="bottom"/>
            <w:gridSpan w:val="2"/>
            <w:shd w:val="clear" w:color="auto" w:fill="CCEEFF"/>
          </w:tcPr>
          <w:p>
            <w:pPr>
              <w:jc w:val="right"/>
              <w:ind w:right="510"/>
              <w:spacing w:after="0"/>
              <w:rPr>
                <w:sz w:val="20"/>
                <w:szCs w:val="20"/>
                <w:color w:val="auto"/>
              </w:rPr>
            </w:pPr>
            <w:r>
              <w:rPr>
                <w:rFonts w:ascii="Arial" w:cs="Arial" w:eastAsia="Arial" w:hAnsi="Arial"/>
                <w:sz w:val="18"/>
                <w:szCs w:val="18"/>
                <w:color w:val="auto"/>
              </w:rPr>
              <w:t>$</w:t>
            </w:r>
          </w:p>
        </w:tc>
        <w:tc>
          <w:tcPr>
            <w:tcW w:w="9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18,262</w:t>
            </w:r>
          </w:p>
        </w:tc>
        <w:tc>
          <w:tcPr>
            <w:tcW w:w="480" w:type="dxa"/>
            <w:vAlign w:val="bottom"/>
            <w:gridSpan w:val="2"/>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8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(911)</w:t>
            </w:r>
          </w:p>
        </w:tc>
        <w:tc>
          <w:tcPr>
            <w:tcW w:w="2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17,351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900" w:type="dxa"/>
            <w:vAlign w:val="bottom"/>
            <w:tcBorders>
              <w:top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340" w:type="dxa"/>
            <w:vAlign w:val="bottom"/>
            <w:tcBorders>
              <w:top w:val="single" w:sz="8" w:color="CCEEFF"/>
            </w:tcBorders>
            <w:shd w:val="clear" w:color="auto" w:fill="CCEEFF"/>
          </w:tcPr>
          <w:p>
            <w:pPr>
              <w:spacing w:after="0" w:line="20" w:lineRule="exact"/>
              <w:rPr>
                <w:sz w:val="1"/>
                <w:szCs w:val="1"/>
                <w:color w:val="auto"/>
              </w:rPr>
            </w:pPr>
          </w:p>
        </w:tc>
        <w:tc>
          <w:tcPr>
            <w:tcW w:w="68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auto"/>
            </w:tcBorders>
            <w:shd w:val="clear" w:color="auto" w:fill="000000"/>
          </w:tcPr>
          <w:p>
            <w:pPr>
              <w:spacing w:after="0" w:line="20" w:lineRule="exact"/>
              <w:rPr>
                <w:sz w:val="1"/>
                <w:szCs w:val="1"/>
                <w:color w:val="auto"/>
              </w:rPr>
            </w:pPr>
          </w:p>
        </w:tc>
        <w:tc>
          <w:tcPr>
            <w:tcW w:w="58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34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auto"/>
            </w:tcBorders>
            <w:shd w:val="clear" w:color="auto" w:fill="000000"/>
          </w:tcPr>
          <w:p>
            <w:pPr>
              <w:spacing w:after="0" w:line="20" w:lineRule="exact"/>
              <w:rPr>
                <w:sz w:val="1"/>
                <w:szCs w:val="1"/>
                <w:color w:val="auto"/>
              </w:rPr>
            </w:pPr>
          </w:p>
        </w:tc>
        <w:tc>
          <w:tcPr>
            <w:tcW w:w="180" w:type="dxa"/>
            <w:vAlign w:val="bottom"/>
            <w:tcBorders>
              <w:top w:val="single" w:sz="8" w:color="auto"/>
            </w:tcBorders>
            <w:shd w:val="clear" w:color="auto" w:fill="000000"/>
          </w:tcPr>
          <w:p>
            <w:pPr>
              <w:spacing w:after="0" w:line="20" w:lineRule="exact"/>
              <w:rPr>
                <w:sz w:val="1"/>
                <w:szCs w:val="1"/>
                <w:color w:val="auto"/>
              </w:rPr>
            </w:pPr>
          </w:p>
        </w:tc>
        <w:tc>
          <w:tcPr>
            <w:tcW w:w="760" w:type="dxa"/>
            <w:vAlign w:val="bottom"/>
            <w:tcBorders>
              <w:top w:val="single" w:sz="8" w:color="auto"/>
            </w:tcBorders>
            <w:shd w:val="clear" w:color="auto" w:fill="000000"/>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right w:val="single" w:sz="8" w:color="auto"/>
            </w:tcBorders>
            <w:shd w:val="clear" w:color="auto" w:fill="CCEEFF"/>
          </w:tcPr>
          <w:p>
            <w:pPr>
              <w:spacing w:after="0" w:line="20" w:lineRule="exact"/>
              <w:rPr>
                <w:sz w:val="1"/>
                <w:szCs w:val="1"/>
                <w:color w:val="auto"/>
              </w:rPr>
            </w:pPr>
          </w:p>
        </w:tc>
        <w:tc>
          <w:tcPr>
            <w:tcW w:w="14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auto"/>
            </w:tcBorders>
            <w:shd w:val="clear" w:color="auto" w:fill="000000"/>
          </w:tcPr>
          <w:p>
            <w:pPr>
              <w:spacing w:after="0" w:line="20" w:lineRule="exact"/>
              <w:rPr>
                <w:sz w:val="1"/>
                <w:szCs w:val="1"/>
                <w:color w:val="auto"/>
              </w:rPr>
            </w:pPr>
          </w:p>
        </w:tc>
        <w:tc>
          <w:tcPr>
            <w:tcW w:w="260" w:type="dxa"/>
            <w:vAlign w:val="bottom"/>
            <w:tcBorders>
              <w:top w:val="single" w:sz="8" w:color="auto"/>
            </w:tcBorders>
            <w:shd w:val="clear" w:color="auto" w:fill="000000"/>
          </w:tcPr>
          <w:p>
            <w:pPr>
              <w:spacing w:after="0" w:line="20" w:lineRule="exact"/>
              <w:rPr>
                <w:sz w:val="1"/>
                <w:szCs w:val="1"/>
                <w:color w:val="auto"/>
              </w:rPr>
            </w:pPr>
          </w:p>
        </w:tc>
        <w:tc>
          <w:tcPr>
            <w:tcW w:w="960" w:type="dxa"/>
            <w:vAlign w:val="bottom"/>
            <w:tcBorders>
              <w:top w:val="single" w:sz="8" w:color="auto"/>
              <w:right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1"/>
        </w:trPr>
        <w:tc>
          <w:tcPr>
            <w:tcW w:w="9760" w:type="dxa"/>
            <w:vAlign w:val="bottom"/>
            <w:gridSpan w:val="14"/>
          </w:tcPr>
          <w:p>
            <w:pPr>
              <w:spacing w:after="0"/>
              <w:rPr>
                <w:sz w:val="20"/>
                <w:szCs w:val="20"/>
                <w:color w:val="auto"/>
              </w:rPr>
            </w:pPr>
            <w:r>
              <w:rPr>
                <w:rFonts w:ascii="Arial" w:cs="Arial" w:eastAsia="Arial" w:hAnsi="Arial"/>
                <w:sz w:val="18"/>
                <w:szCs w:val="18"/>
                <w:color w:val="auto"/>
                <w:w w:val="94"/>
              </w:rPr>
              <w:t>Changes in the carrying amounts of goodwill by reportable segment during the quarters ended February 24, 2018 were as follows:</w:t>
            </w: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0"/>
        </w:trPr>
        <w:tc>
          <w:tcPr>
            <w:tcW w:w="20" w:type="dxa"/>
            <w:vAlign w:val="bottom"/>
          </w:tcPr>
          <w:p>
            <w:pPr>
              <w:spacing w:after="0"/>
              <w:rPr>
                <w:sz w:val="24"/>
                <w:szCs w:val="24"/>
                <w:color w:val="auto"/>
              </w:rPr>
            </w:pPr>
          </w:p>
        </w:tc>
        <w:tc>
          <w:tcPr>
            <w:tcW w:w="59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20" w:type="dxa"/>
            <w:vAlign w:val="bottom"/>
            <w:gridSpan w:val="2"/>
          </w:tcPr>
          <w:p>
            <w:pPr>
              <w:jc w:val="right"/>
              <w:ind w:right="110"/>
              <w:spacing w:after="0"/>
              <w:rPr>
                <w:sz w:val="20"/>
                <w:szCs w:val="20"/>
                <w:color w:val="auto"/>
              </w:rPr>
            </w:pPr>
            <w:r>
              <w:rPr>
                <w:rFonts w:ascii="Arial" w:cs="Arial" w:eastAsia="Arial" w:hAnsi="Arial"/>
                <w:sz w:val="18"/>
                <w:szCs w:val="18"/>
                <w:color w:val="auto"/>
                <w:w w:val="95"/>
              </w:rPr>
              <w:t>Wholesale</w:t>
            </w:r>
          </w:p>
        </w:tc>
        <w:tc>
          <w:tcPr>
            <w:tcW w:w="220" w:type="dxa"/>
            <w:vAlign w:val="bottom"/>
          </w:tcPr>
          <w:p>
            <w:pPr>
              <w:spacing w:after="0"/>
              <w:rPr>
                <w:sz w:val="24"/>
                <w:szCs w:val="24"/>
                <w:color w:val="auto"/>
              </w:rPr>
            </w:pPr>
          </w:p>
        </w:tc>
        <w:tc>
          <w:tcPr>
            <w:tcW w:w="1160" w:type="dxa"/>
            <w:vAlign w:val="bottom"/>
            <w:gridSpan w:val="4"/>
          </w:tcPr>
          <w:p>
            <w:pPr>
              <w:jc w:val="right"/>
              <w:ind w:right="270"/>
              <w:spacing w:after="0"/>
              <w:rPr>
                <w:sz w:val="20"/>
                <w:szCs w:val="20"/>
                <w:color w:val="auto"/>
              </w:rPr>
            </w:pPr>
            <w:r>
              <w:rPr>
                <w:rFonts w:ascii="Arial" w:cs="Arial" w:eastAsia="Arial" w:hAnsi="Arial"/>
                <w:sz w:val="18"/>
                <w:szCs w:val="18"/>
                <w:color w:val="auto"/>
              </w:rPr>
              <w:t>Retail</w:t>
            </w: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80" w:type="dxa"/>
            <w:vAlign w:val="bottom"/>
            <w:gridSpan w:val="2"/>
          </w:tcPr>
          <w:p>
            <w:pPr>
              <w:jc w:val="right"/>
              <w:ind w:right="140"/>
              <w:spacing w:after="0"/>
              <w:rPr>
                <w:sz w:val="20"/>
                <w:szCs w:val="20"/>
                <w:color w:val="auto"/>
              </w:rPr>
            </w:pPr>
            <w:r>
              <w:rPr>
                <w:rFonts w:ascii="Arial" w:cs="Arial" w:eastAsia="Arial" w:hAnsi="Arial"/>
                <w:sz w:val="18"/>
                <w:szCs w:val="18"/>
                <w:color w:val="auto"/>
              </w:rPr>
              <w:t>Logistics</w:t>
            </w: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60" w:type="dxa"/>
            <w:vAlign w:val="bottom"/>
            <w:gridSpan w:val="2"/>
          </w:tcPr>
          <w:p>
            <w:pPr>
              <w:ind w:left="160"/>
              <w:spacing w:after="0"/>
              <w:rPr>
                <w:sz w:val="20"/>
                <w:szCs w:val="20"/>
                <w:color w:val="auto"/>
              </w:rPr>
            </w:pPr>
            <w:r>
              <w:rPr>
                <w:rFonts w:ascii="Arial" w:cs="Arial" w:eastAsia="Arial" w:hAnsi="Arial"/>
                <w:sz w:val="18"/>
                <w:szCs w:val="18"/>
                <w:color w:val="auto"/>
              </w:rPr>
              <w:t>Total</w:t>
            </w:r>
          </w:p>
        </w:tc>
        <w:tc>
          <w:tcPr>
            <w:tcW w:w="0" w:type="dxa"/>
            <w:vAlign w:val="bottom"/>
          </w:tcPr>
          <w:p>
            <w:pPr>
              <w:spacing w:after="0"/>
              <w:rPr>
                <w:sz w:val="1"/>
                <w:szCs w:val="1"/>
                <w:color w:val="auto"/>
              </w:rPr>
            </w:pPr>
          </w:p>
        </w:tc>
      </w:tr>
      <w:tr>
        <w:trPr>
          <w:trHeight w:val="209"/>
        </w:trPr>
        <w:tc>
          <w:tcPr>
            <w:tcW w:w="20" w:type="dxa"/>
            <w:vAlign w:val="bottom"/>
            <w:vMerge w:val="restart"/>
          </w:tcPr>
          <w:p>
            <w:pPr>
              <w:spacing w:after="0"/>
              <w:rPr>
                <w:sz w:val="18"/>
                <w:szCs w:val="18"/>
                <w:color w:val="auto"/>
              </w:rPr>
            </w:pPr>
          </w:p>
        </w:tc>
        <w:tc>
          <w:tcPr>
            <w:tcW w:w="590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vMerge w:val="continue"/>
          </w:tcPr>
          <w:p>
            <w:pPr>
              <w:spacing w:after="0"/>
              <w:rPr>
                <w:sz w:val="18"/>
                <w:szCs w:val="18"/>
                <w:color w:val="auto"/>
              </w:rPr>
            </w:pPr>
          </w:p>
        </w:tc>
        <w:tc>
          <w:tcPr>
            <w:tcW w:w="5900" w:type="dxa"/>
            <w:vAlign w:val="bottom"/>
            <w:shd w:val="clear" w:color="auto" w:fill="CCEEFF"/>
          </w:tcPr>
          <w:p>
            <w:pPr>
              <w:spacing w:after="0"/>
              <w:rPr>
                <w:sz w:val="20"/>
                <w:szCs w:val="20"/>
                <w:color w:val="auto"/>
              </w:rPr>
            </w:pPr>
            <w:r>
              <w:rPr>
                <w:rFonts w:ascii="Arial" w:cs="Arial" w:eastAsia="Arial" w:hAnsi="Arial"/>
                <w:sz w:val="18"/>
                <w:szCs w:val="18"/>
                <w:color w:val="auto"/>
              </w:rPr>
              <w:t>Balance as of November 25, 2017</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5,045</w:t>
            </w:r>
          </w:p>
        </w:tc>
        <w:tc>
          <w:tcPr>
            <w:tcW w:w="800" w:type="dxa"/>
            <w:vAlign w:val="bottom"/>
            <w:gridSpan w:val="2"/>
            <w:shd w:val="clear" w:color="auto" w:fill="CCEEFF"/>
          </w:tcPr>
          <w:p>
            <w:pPr>
              <w:jc w:val="right"/>
              <w:ind w:right="41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4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1,926</w:t>
            </w:r>
          </w:p>
        </w:tc>
        <w:tc>
          <w:tcPr>
            <w:tcW w:w="4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140" w:type="dxa"/>
            <w:vAlign w:val="bottom"/>
            <w:gridSpan w:val="4"/>
            <w:shd w:val="clear" w:color="auto" w:fill="CCEEFF"/>
          </w:tcPr>
          <w:p>
            <w:pPr>
              <w:jc w:val="right"/>
              <w:ind w:right="140"/>
              <w:spacing w:after="0"/>
              <w:rPr>
                <w:sz w:val="20"/>
                <w:szCs w:val="20"/>
                <w:color w:val="auto"/>
              </w:rPr>
            </w:pPr>
            <w:r>
              <w:rPr>
                <w:rFonts w:ascii="Arial" w:cs="Arial" w:eastAsia="Arial" w:hAnsi="Arial"/>
                <w:sz w:val="18"/>
                <w:szCs w:val="18"/>
                <w:color w:val="auto"/>
              </w:rPr>
              <w:t>4,929</w:t>
            </w:r>
          </w:p>
        </w:tc>
        <w:tc>
          <w:tcPr>
            <w:tcW w:w="340" w:type="dxa"/>
            <w:vAlign w:val="bottom"/>
            <w:gridSpan w:val="2"/>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96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11,900</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5900" w:type="dxa"/>
            <w:vAlign w:val="bottom"/>
          </w:tcPr>
          <w:p>
            <w:pPr>
              <w:ind w:left="140"/>
              <w:spacing w:after="0"/>
              <w:rPr>
                <w:sz w:val="20"/>
                <w:szCs w:val="20"/>
                <w:color w:val="auto"/>
              </w:rPr>
            </w:pPr>
            <w:r>
              <w:rPr>
                <w:rFonts w:ascii="Arial" w:cs="Arial" w:eastAsia="Arial" w:hAnsi="Arial"/>
                <w:sz w:val="18"/>
                <w:szCs w:val="18"/>
                <w:color w:val="auto"/>
              </w:rPr>
              <w:t>Goodwill arising from acquisition of Lane Venture (Note 3)</w:t>
            </w:r>
          </w:p>
        </w:tc>
        <w:tc>
          <w:tcPr>
            <w:tcW w:w="160" w:type="dxa"/>
            <w:vAlign w:val="bottom"/>
          </w:tcPr>
          <w:p>
            <w:pPr>
              <w:spacing w:after="0"/>
              <w:rPr>
                <w:sz w:val="18"/>
                <w:szCs w:val="18"/>
                <w:color w:val="auto"/>
              </w:rPr>
            </w:pPr>
          </w:p>
        </w:tc>
        <w:tc>
          <w:tcPr>
            <w:tcW w:w="1020" w:type="dxa"/>
            <w:vAlign w:val="bottom"/>
            <w:gridSpan w:val="2"/>
          </w:tcPr>
          <w:p>
            <w:pPr>
              <w:jc w:val="right"/>
              <w:spacing w:after="0"/>
              <w:rPr>
                <w:sz w:val="20"/>
                <w:szCs w:val="20"/>
                <w:color w:val="auto"/>
              </w:rPr>
            </w:pPr>
            <w:r>
              <w:rPr>
                <w:rFonts w:ascii="Arial" w:cs="Arial" w:eastAsia="Arial" w:hAnsi="Arial"/>
                <w:sz w:val="18"/>
                <w:szCs w:val="18"/>
                <w:color w:val="auto"/>
              </w:rPr>
              <w:t>4,219</w:t>
            </w:r>
          </w:p>
        </w:tc>
        <w:tc>
          <w:tcPr>
            <w:tcW w:w="2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6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4,219</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590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1020" w:type="dxa"/>
            <w:vAlign w:val="bottom"/>
            <w:tcBorders>
              <w:top w:val="single" w:sz="8" w:color="auto"/>
            </w:tcBorders>
            <w:gridSpan w:val="2"/>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80" w:type="dxa"/>
            <w:vAlign w:val="bottom"/>
            <w:tcBorders>
              <w:top w:val="single" w:sz="8" w:color="auto"/>
            </w:tcBorders>
            <w:gridSpan w:val="2"/>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1000" w:type="dxa"/>
            <w:vAlign w:val="bottom"/>
            <w:tcBorders>
              <w:top w:val="single" w:sz="8" w:color="auto"/>
              <w:right w:val="single" w:sz="8" w:color="CCEEFF"/>
            </w:tcBorders>
            <w:gridSpan w:val="3"/>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spacing w:after="0"/>
              <w:rPr>
                <w:sz w:val="18"/>
                <w:szCs w:val="18"/>
                <w:color w:val="auto"/>
              </w:rPr>
            </w:pPr>
          </w:p>
        </w:tc>
        <w:tc>
          <w:tcPr>
            <w:tcW w:w="960" w:type="dxa"/>
            <w:vAlign w:val="bottom"/>
            <w:tcBorders>
              <w:top w:val="single" w:sz="8" w:color="auto"/>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5920" w:type="dxa"/>
            <w:vAlign w:val="bottom"/>
            <w:gridSpan w:val="2"/>
          </w:tcPr>
          <w:p>
            <w:pPr>
              <w:spacing w:after="0"/>
              <w:rPr>
                <w:sz w:val="20"/>
                <w:szCs w:val="20"/>
                <w:color w:val="auto"/>
              </w:rPr>
            </w:pPr>
            <w:r>
              <w:rPr>
                <w:rFonts w:ascii="Arial" w:cs="Arial" w:eastAsia="Arial" w:hAnsi="Arial"/>
                <w:sz w:val="18"/>
                <w:szCs w:val="18"/>
                <w:color w:val="auto"/>
              </w:rPr>
              <w:t>Balance as of February 24, 2018</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20" w:type="dxa"/>
            <w:vAlign w:val="bottom"/>
            <w:gridSpan w:val="2"/>
          </w:tcPr>
          <w:p>
            <w:pPr>
              <w:jc w:val="right"/>
              <w:spacing w:after="0"/>
              <w:rPr>
                <w:sz w:val="20"/>
                <w:szCs w:val="20"/>
                <w:color w:val="auto"/>
              </w:rPr>
            </w:pPr>
            <w:r>
              <w:rPr>
                <w:rFonts w:ascii="Arial" w:cs="Arial" w:eastAsia="Arial" w:hAnsi="Arial"/>
                <w:sz w:val="18"/>
                <w:szCs w:val="18"/>
                <w:color w:val="auto"/>
              </w:rPr>
              <w:t>9,264</w:t>
            </w:r>
          </w:p>
        </w:tc>
        <w:tc>
          <w:tcPr>
            <w:tcW w:w="800" w:type="dxa"/>
            <w:vAlign w:val="bottom"/>
            <w:gridSpan w:val="2"/>
          </w:tcPr>
          <w:p>
            <w:pPr>
              <w:jc w:val="right"/>
              <w:ind w:right="41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480" w:type="dxa"/>
            <w:vAlign w:val="bottom"/>
            <w:gridSpan w:val="2"/>
          </w:tcPr>
          <w:p>
            <w:pPr>
              <w:jc w:val="right"/>
              <w:spacing w:after="0"/>
              <w:rPr>
                <w:sz w:val="20"/>
                <w:szCs w:val="20"/>
                <w:color w:val="auto"/>
              </w:rPr>
            </w:pPr>
            <w:r>
              <w:rPr>
                <w:rFonts w:ascii="Arial" w:cs="Arial" w:eastAsia="Arial" w:hAnsi="Arial"/>
                <w:sz w:val="18"/>
                <w:szCs w:val="18"/>
                <w:color w:val="auto"/>
              </w:rPr>
              <w:t>1,926</w:t>
            </w:r>
          </w:p>
        </w:tc>
        <w:tc>
          <w:tcPr>
            <w:tcW w:w="40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140" w:type="dxa"/>
            <w:vAlign w:val="bottom"/>
            <w:gridSpan w:val="4"/>
          </w:tcPr>
          <w:p>
            <w:pPr>
              <w:jc w:val="right"/>
              <w:ind w:right="140"/>
              <w:spacing w:after="0"/>
              <w:rPr>
                <w:sz w:val="20"/>
                <w:szCs w:val="20"/>
                <w:color w:val="auto"/>
              </w:rPr>
            </w:pPr>
            <w:r>
              <w:rPr>
                <w:rFonts w:ascii="Arial" w:cs="Arial" w:eastAsia="Arial" w:hAnsi="Arial"/>
                <w:sz w:val="18"/>
                <w:szCs w:val="18"/>
                <w:color w:val="auto"/>
              </w:rPr>
              <w:t>4,929</w:t>
            </w:r>
          </w:p>
        </w:tc>
        <w:tc>
          <w:tcPr>
            <w:tcW w:w="340" w:type="dxa"/>
            <w:vAlign w:val="bottom"/>
            <w:gridSpan w:val="2"/>
          </w:tcPr>
          <w:p>
            <w:pPr>
              <w:jc w:val="right"/>
              <w:ind w:right="70"/>
              <w:spacing w:after="0"/>
              <w:rPr>
                <w:sz w:val="20"/>
                <w:szCs w:val="20"/>
                <w:color w:val="auto"/>
              </w:rPr>
            </w:pPr>
            <w:r>
              <w:rPr>
                <w:rFonts w:ascii="Arial" w:cs="Arial" w:eastAsia="Arial" w:hAnsi="Arial"/>
                <w:sz w:val="18"/>
                <w:szCs w:val="18"/>
                <w:color w:val="auto"/>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16,119</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9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1" w:lineRule="exact"/>
        <w:rPr>
          <w:sz w:val="20"/>
          <w:szCs w:val="20"/>
          <w:color w:val="auto"/>
        </w:rPr>
      </w:pPr>
    </w:p>
    <w:p>
      <w:pPr>
        <w:jc w:val="both"/>
        <w:spacing w:after="0" w:line="262" w:lineRule="auto"/>
        <w:rPr>
          <w:sz w:val="20"/>
          <w:szCs w:val="20"/>
          <w:color w:val="auto"/>
        </w:rPr>
      </w:pPr>
      <w:r>
        <w:rPr>
          <w:rFonts w:ascii="Arial" w:cs="Arial" w:eastAsia="Arial" w:hAnsi="Arial"/>
          <w:sz w:val="18"/>
          <w:szCs w:val="18"/>
          <w:color w:val="auto"/>
        </w:rPr>
        <w:t>The goodwill recognized in connection with our acquisition of Lane Venture remains subject to future adjustments before the close of the measurement period in the first quarter of fiscal 2019. See Note 3, Business Combinations, for additional information regarding the acquisition of Lane Venture. There were no accumulated impairment losses on goodwill as of February 24, 2018 or November 25, 2017.</w:t>
      </w:r>
    </w:p>
    <w:p>
      <w:pPr>
        <w:spacing w:after="0" w:line="18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82550</wp:posOffset>
            </wp:positionV>
            <wp:extent cx="7247255" cy="171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47255" cy="17145"/>
                    </a:xfrm>
                    <a:prstGeom prst="rect">
                      <a:avLst/>
                    </a:prstGeom>
                    <a:noFill/>
                  </pic:spPr>
                </pic:pic>
              </a:graphicData>
            </a:graphic>
          </wp:anchor>
        </w:drawing>
      </w:r>
    </w:p>
    <w:p>
      <w:pPr>
        <w:sectPr>
          <w:pgSz w:w="11900" w:h="16838" w:orient="portrait"/>
          <w:cols w:equalWidth="0" w:num="1">
            <w:col w:w="11420"/>
          </w:cols>
          <w:pgMar w:left="240" w:top="583" w:right="239" w:bottom="1440" w:gutter="0" w:footer="0" w:header="0"/>
        </w:sectPr>
      </w:pPr>
    </w:p>
    <w:bookmarkStart w:id="13" w:name="page14"/>
    <w:bookmarkEnd w:id="13"/>
    <w:p>
      <w:pPr>
        <w:jc w:val="center"/>
        <w:ind w:right="-19"/>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ind w:right="-19"/>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8" w:lineRule="exact"/>
        <w:rPr>
          <w:sz w:val="20"/>
          <w:szCs w:val="20"/>
          <w:color w:val="auto"/>
        </w:rPr>
      </w:pPr>
    </w:p>
    <w:p>
      <w:pPr>
        <w:jc w:val="center"/>
        <w:ind w:right="-19"/>
        <w:spacing w:after="0"/>
        <w:rPr>
          <w:sz w:val="20"/>
          <w:szCs w:val="20"/>
          <w:color w:val="auto"/>
        </w:rPr>
      </w:pPr>
      <w:r>
        <w:rPr>
          <w:rFonts w:ascii="Arial" w:cs="Arial" w:eastAsia="Arial" w:hAnsi="Arial"/>
          <w:sz w:val="18"/>
          <w:szCs w:val="18"/>
          <w:u w:val="single" w:color="auto"/>
          <w:color w:val="auto"/>
        </w:rPr>
        <w:t>NOTES TO CONDENSED CONSOLIDATED FINANCIAL STATEMENTS-UNAUDITED</w:t>
      </w:r>
    </w:p>
    <w:p>
      <w:pPr>
        <w:spacing w:after="0" w:line="8" w:lineRule="exact"/>
        <w:rPr>
          <w:sz w:val="20"/>
          <w:szCs w:val="20"/>
          <w:color w:val="auto"/>
        </w:rPr>
      </w:pPr>
    </w:p>
    <w:p>
      <w:pPr>
        <w:jc w:val="center"/>
        <w:ind w:right="-19"/>
        <w:spacing w:after="0"/>
        <w:rPr>
          <w:sz w:val="20"/>
          <w:szCs w:val="20"/>
          <w:color w:val="auto"/>
        </w:rPr>
      </w:pPr>
      <w:r>
        <w:rPr>
          <w:rFonts w:ascii="Arial" w:cs="Arial" w:eastAsia="Arial" w:hAnsi="Arial"/>
          <w:sz w:val="18"/>
          <w:szCs w:val="18"/>
          <w:u w:val="single" w:color="auto"/>
          <w:color w:val="auto"/>
        </w:rPr>
        <w:t>FEBRUARY 24, 2018</w:t>
      </w:r>
    </w:p>
    <w:p>
      <w:pPr>
        <w:spacing w:after="0" w:line="8" w:lineRule="exact"/>
        <w:rPr>
          <w:sz w:val="20"/>
          <w:szCs w:val="20"/>
          <w:color w:val="auto"/>
        </w:rPr>
      </w:pPr>
    </w:p>
    <w:p>
      <w:pPr>
        <w:jc w:val="center"/>
        <w:ind w:right="-19"/>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09" w:lineRule="exact"/>
        <w:rPr>
          <w:sz w:val="20"/>
          <w:szCs w:val="20"/>
          <w:color w:val="auto"/>
        </w:rPr>
      </w:pPr>
    </w:p>
    <w:p>
      <w:pPr>
        <w:spacing w:after="0"/>
        <w:rPr>
          <w:sz w:val="20"/>
          <w:szCs w:val="20"/>
          <w:color w:val="auto"/>
        </w:rPr>
      </w:pPr>
      <w:r>
        <w:rPr>
          <w:rFonts w:ascii="Arial" w:cs="Arial" w:eastAsia="Arial" w:hAnsi="Arial"/>
          <w:sz w:val="18"/>
          <w:szCs w:val="18"/>
          <w:color w:val="auto"/>
        </w:rPr>
        <w:t>Amortization expense associated with intangible assets during the quarters ended February 24, 2018 and February 25, 2017 was as follows:</w:t>
      </w:r>
    </w:p>
    <w:p>
      <w:pPr>
        <w:spacing w:after="0" w:line="22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1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3340" w:type="dxa"/>
            <w:vAlign w:val="bottom"/>
            <w:gridSpan w:val="5"/>
          </w:tcPr>
          <w:p>
            <w:pPr>
              <w:jc w:val="right"/>
              <w:ind w:right="1240"/>
              <w:spacing w:after="0"/>
              <w:rPr>
                <w:sz w:val="20"/>
                <w:szCs w:val="20"/>
                <w:color w:val="auto"/>
              </w:rPr>
            </w:pPr>
            <w:r>
              <w:rPr>
                <w:rFonts w:ascii="Arial" w:cs="Arial" w:eastAsia="Arial" w:hAnsi="Arial"/>
                <w:sz w:val="18"/>
                <w:szCs w:val="18"/>
                <w:b w:val="1"/>
                <w:bCs w:val="1"/>
                <w:color w:val="auto"/>
              </w:rPr>
              <w:t>Quarter Ended</w:t>
            </w:r>
          </w:p>
        </w:tc>
      </w:tr>
      <w:tr>
        <w:trPr>
          <w:trHeight w:val="190"/>
        </w:trPr>
        <w:tc>
          <w:tcPr>
            <w:tcW w:w="6160" w:type="dxa"/>
            <w:vAlign w:val="bottom"/>
          </w:tcPr>
          <w:p>
            <w:pPr>
              <w:spacing w:after="0"/>
              <w:rPr>
                <w:sz w:val="16"/>
                <w:szCs w:val="16"/>
                <w:color w:val="auto"/>
              </w:rPr>
            </w:pPr>
          </w:p>
        </w:tc>
        <w:tc>
          <w:tcPr>
            <w:tcW w:w="200" w:type="dxa"/>
            <w:vAlign w:val="bottom"/>
            <w:tcBorders>
              <w:top w:val="single" w:sz="8" w:color="auto"/>
            </w:tcBorders>
          </w:tcPr>
          <w:p>
            <w:pPr>
              <w:spacing w:after="0"/>
              <w:rPr>
                <w:sz w:val="16"/>
                <w:szCs w:val="16"/>
                <w:color w:val="auto"/>
              </w:rPr>
            </w:pPr>
          </w:p>
        </w:tc>
        <w:tc>
          <w:tcPr>
            <w:tcW w:w="1600" w:type="dxa"/>
            <w:vAlign w:val="bottom"/>
            <w:tcBorders>
              <w:top w:val="single" w:sz="8" w:color="auto"/>
            </w:tcBorders>
            <w:gridSpan w:val="2"/>
          </w:tcPr>
          <w:p>
            <w:pPr>
              <w:jc w:val="center"/>
              <w:ind w:right="400"/>
              <w:spacing w:after="0" w:line="190" w:lineRule="exact"/>
              <w:rPr>
                <w:sz w:val="20"/>
                <w:szCs w:val="20"/>
                <w:color w:val="auto"/>
              </w:rPr>
            </w:pPr>
            <w:r>
              <w:rPr>
                <w:rFonts w:ascii="Arial" w:cs="Arial" w:eastAsia="Arial" w:hAnsi="Arial"/>
                <w:sz w:val="18"/>
                <w:szCs w:val="18"/>
                <w:b w:val="1"/>
                <w:bCs w:val="1"/>
                <w:color w:val="auto"/>
                <w:w w:val="93"/>
              </w:rPr>
              <w:t>February 24,</w:t>
            </w:r>
          </w:p>
        </w:tc>
        <w:tc>
          <w:tcPr>
            <w:tcW w:w="200" w:type="dxa"/>
            <w:vAlign w:val="bottom"/>
            <w:tcBorders>
              <w:top w:val="single" w:sz="8" w:color="auto"/>
            </w:tcBorders>
          </w:tcPr>
          <w:p>
            <w:pPr>
              <w:spacing w:after="0"/>
              <w:rPr>
                <w:sz w:val="16"/>
                <w:szCs w:val="16"/>
                <w:color w:val="auto"/>
              </w:rPr>
            </w:pPr>
          </w:p>
        </w:tc>
        <w:tc>
          <w:tcPr>
            <w:tcW w:w="1420" w:type="dxa"/>
            <w:vAlign w:val="bottom"/>
            <w:tcBorders>
              <w:top w:val="single" w:sz="8" w:color="auto"/>
            </w:tcBorders>
          </w:tcPr>
          <w:p>
            <w:pPr>
              <w:jc w:val="center"/>
              <w:ind w:right="90"/>
              <w:spacing w:after="0" w:line="190" w:lineRule="exact"/>
              <w:rPr>
                <w:sz w:val="20"/>
                <w:szCs w:val="20"/>
                <w:color w:val="auto"/>
              </w:rPr>
            </w:pPr>
            <w:r>
              <w:rPr>
                <w:rFonts w:ascii="Arial" w:cs="Arial" w:eastAsia="Arial" w:hAnsi="Arial"/>
                <w:sz w:val="18"/>
                <w:szCs w:val="18"/>
                <w:b w:val="1"/>
                <w:bCs w:val="1"/>
                <w:color w:val="auto"/>
                <w:w w:val="93"/>
              </w:rPr>
              <w:t>February 25,</w:t>
            </w:r>
          </w:p>
        </w:tc>
        <w:tc>
          <w:tcPr>
            <w:tcW w:w="120" w:type="dxa"/>
            <w:vAlign w:val="bottom"/>
          </w:tcPr>
          <w:p>
            <w:pPr>
              <w:spacing w:after="0"/>
              <w:rPr>
                <w:sz w:val="16"/>
                <w:szCs w:val="16"/>
                <w:color w:val="auto"/>
              </w:rPr>
            </w:pPr>
          </w:p>
        </w:tc>
      </w:tr>
      <w:tr>
        <w:trPr>
          <w:trHeight w:val="234"/>
        </w:trPr>
        <w:tc>
          <w:tcPr>
            <w:tcW w:w="616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420" w:type="dxa"/>
            <w:vAlign w:val="bottom"/>
            <w:tcBorders>
              <w:bottom w:val="single" w:sz="8" w:color="auto"/>
            </w:tcBorders>
          </w:tcPr>
          <w:p>
            <w:pPr>
              <w:jc w:val="right"/>
              <w:ind w:right="550"/>
              <w:spacing w:after="0"/>
              <w:rPr>
                <w:sz w:val="20"/>
                <w:szCs w:val="20"/>
                <w:color w:val="auto"/>
              </w:rPr>
            </w:pPr>
            <w:r>
              <w:rPr>
                <w:rFonts w:ascii="Arial" w:cs="Arial" w:eastAsia="Arial" w:hAnsi="Arial"/>
                <w:sz w:val="18"/>
                <w:szCs w:val="18"/>
                <w:b w:val="1"/>
                <w:bCs w:val="1"/>
                <w:color w:val="auto"/>
              </w:rPr>
              <w:t>2018</w:t>
            </w:r>
          </w:p>
        </w:tc>
        <w:tc>
          <w:tcPr>
            <w:tcW w:w="18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420" w:type="dxa"/>
            <w:vAlign w:val="bottom"/>
            <w:tcBorders>
              <w:bottom w:val="single" w:sz="8" w:color="auto"/>
            </w:tcBorders>
          </w:tcPr>
          <w:p>
            <w:pPr>
              <w:jc w:val="right"/>
              <w:ind w:right="530"/>
              <w:spacing w:after="0"/>
              <w:rPr>
                <w:sz w:val="20"/>
                <w:szCs w:val="20"/>
                <w:color w:val="auto"/>
              </w:rPr>
            </w:pPr>
            <w:r>
              <w:rPr>
                <w:rFonts w:ascii="Arial" w:cs="Arial" w:eastAsia="Arial" w:hAnsi="Arial"/>
                <w:sz w:val="18"/>
                <w:szCs w:val="18"/>
                <w:b w:val="1"/>
                <w:bCs w:val="1"/>
                <w:color w:val="auto"/>
              </w:rPr>
              <w:t>2017</w:t>
            </w:r>
          </w:p>
        </w:tc>
        <w:tc>
          <w:tcPr>
            <w:tcW w:w="120" w:type="dxa"/>
            <w:vAlign w:val="bottom"/>
          </w:tcPr>
          <w:p>
            <w:pPr>
              <w:spacing w:after="0"/>
              <w:rPr>
                <w:sz w:val="20"/>
                <w:szCs w:val="20"/>
                <w:color w:val="auto"/>
              </w:rPr>
            </w:pPr>
          </w:p>
        </w:tc>
      </w:tr>
      <w:tr>
        <w:trPr>
          <w:trHeight w:val="209"/>
        </w:trPr>
        <w:tc>
          <w:tcPr>
            <w:tcW w:w="6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120" w:type="dxa"/>
            <w:vAlign w:val="bottom"/>
          </w:tcPr>
          <w:p>
            <w:pPr>
              <w:spacing w:after="0"/>
              <w:rPr>
                <w:sz w:val="18"/>
                <w:szCs w:val="18"/>
                <w:color w:val="auto"/>
              </w:rPr>
            </w:pPr>
          </w:p>
        </w:tc>
      </w:tr>
      <w:tr>
        <w:trPr>
          <w:trHeight w:val="235"/>
        </w:trPr>
        <w:tc>
          <w:tcPr>
            <w:tcW w:w="6160" w:type="dxa"/>
            <w:vAlign w:val="bottom"/>
            <w:shd w:val="clear" w:color="auto" w:fill="CCEEFF"/>
          </w:tcPr>
          <w:p>
            <w:pPr>
              <w:spacing w:after="0"/>
              <w:rPr>
                <w:sz w:val="20"/>
                <w:szCs w:val="20"/>
                <w:color w:val="auto"/>
              </w:rPr>
            </w:pPr>
            <w:r>
              <w:rPr>
                <w:rFonts w:ascii="Arial" w:cs="Arial" w:eastAsia="Arial" w:hAnsi="Arial"/>
                <w:sz w:val="18"/>
                <w:szCs w:val="18"/>
                <w:color w:val="auto"/>
              </w:rPr>
              <w:t>Intangible asset amortization expense</w:t>
            </w:r>
          </w:p>
        </w:tc>
        <w:tc>
          <w:tcPr>
            <w:tcW w:w="200" w:type="dxa"/>
            <w:vAlign w:val="bottom"/>
            <w:shd w:val="clear" w:color="auto" w:fill="CCEEFF"/>
          </w:tcPr>
          <w:p>
            <w:pPr>
              <w:jc w:val="right"/>
              <w:ind w:right="47"/>
              <w:spacing w:after="0"/>
              <w:rPr>
                <w:sz w:val="20"/>
                <w:szCs w:val="20"/>
                <w:color w:val="auto"/>
              </w:rPr>
            </w:pPr>
            <w:r>
              <w:rPr>
                <w:rFonts w:ascii="Arial" w:cs="Arial" w:eastAsia="Arial" w:hAnsi="Arial"/>
                <w:sz w:val="15"/>
                <w:szCs w:val="15"/>
                <w:color w:val="auto"/>
                <w:w w:val="71"/>
              </w:rPr>
              <w:t>$</w:t>
            </w:r>
          </w:p>
        </w:tc>
        <w:tc>
          <w:tcPr>
            <w:tcW w:w="1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90</w:t>
            </w:r>
          </w:p>
        </w:tc>
        <w:tc>
          <w:tcPr>
            <w:tcW w:w="180" w:type="dxa"/>
            <w:vAlign w:val="bottom"/>
            <w:shd w:val="clear" w:color="auto" w:fill="CCEEFF"/>
          </w:tcPr>
          <w:p>
            <w:pPr>
              <w:spacing w:after="0"/>
              <w:rPr>
                <w:sz w:val="20"/>
                <w:szCs w:val="20"/>
                <w:color w:val="auto"/>
              </w:rPr>
            </w:pP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5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80</w:t>
            </w:r>
          </w:p>
        </w:tc>
      </w:tr>
      <w:tr>
        <w:trPr>
          <w:trHeight w:val="20"/>
        </w:trPr>
        <w:tc>
          <w:tcPr>
            <w:tcW w:w="6160" w:type="dxa"/>
            <w:vAlign w:val="bottom"/>
            <w:tcBorders>
              <w:top w:val="single" w:sz="8" w:color="CCEEFF"/>
            </w:tcBorders>
            <w:shd w:val="clear" w:color="auto" w:fill="CCEEFF"/>
          </w:tcPr>
          <w:p>
            <w:pPr>
              <w:spacing w:after="0" w:line="20" w:lineRule="exact"/>
              <w:rPr>
                <w:sz w:val="1"/>
                <w:szCs w:val="1"/>
                <w:color w:val="auto"/>
              </w:rPr>
            </w:pPr>
          </w:p>
        </w:tc>
        <w:tc>
          <w:tcPr>
            <w:tcW w:w="200" w:type="dxa"/>
            <w:vAlign w:val="bottom"/>
            <w:tcBorders>
              <w:top w:val="single" w:sz="8" w:color="auto"/>
            </w:tcBorders>
            <w:shd w:val="clear" w:color="auto" w:fill="000000"/>
          </w:tcPr>
          <w:p>
            <w:pPr>
              <w:spacing w:after="0" w:line="20" w:lineRule="exact"/>
              <w:rPr>
                <w:sz w:val="1"/>
                <w:szCs w:val="1"/>
                <w:color w:val="auto"/>
              </w:rPr>
            </w:pPr>
          </w:p>
        </w:tc>
        <w:tc>
          <w:tcPr>
            <w:tcW w:w="1420" w:type="dxa"/>
            <w:vAlign w:val="bottom"/>
            <w:tcBorders>
              <w:top w:val="single" w:sz="8" w:color="auto"/>
            </w:tcBorders>
            <w:shd w:val="clear" w:color="auto" w:fill="000000"/>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200" w:type="dxa"/>
            <w:vAlign w:val="bottom"/>
            <w:tcBorders>
              <w:top w:val="single" w:sz="8" w:color="auto"/>
            </w:tcBorders>
            <w:shd w:val="clear" w:color="auto" w:fill="000000"/>
          </w:tcPr>
          <w:p>
            <w:pPr>
              <w:spacing w:after="0" w:line="20" w:lineRule="exact"/>
              <w:rPr>
                <w:sz w:val="1"/>
                <w:szCs w:val="1"/>
                <w:color w:val="auto"/>
              </w:rPr>
            </w:pPr>
          </w:p>
        </w:tc>
        <w:tc>
          <w:tcPr>
            <w:tcW w:w="1420" w:type="dxa"/>
            <w:vAlign w:val="bottom"/>
            <w:tcBorders>
              <w:top w:val="single" w:sz="8" w:color="auto"/>
            </w:tcBorders>
            <w:shd w:val="clear" w:color="auto" w:fill="000000"/>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r>
    </w:tbl>
    <w:p>
      <w:pPr>
        <w:spacing w:after="0" w:line="201" w:lineRule="exact"/>
        <w:rPr>
          <w:sz w:val="20"/>
          <w:szCs w:val="20"/>
          <w:color w:val="auto"/>
        </w:rPr>
      </w:pPr>
    </w:p>
    <w:p>
      <w:pPr>
        <w:spacing w:after="0"/>
        <w:rPr>
          <w:sz w:val="20"/>
          <w:szCs w:val="20"/>
          <w:color w:val="auto"/>
        </w:rPr>
      </w:pPr>
      <w:r>
        <w:rPr>
          <w:rFonts w:ascii="Arial" w:cs="Arial" w:eastAsia="Arial" w:hAnsi="Arial"/>
          <w:sz w:val="18"/>
          <w:szCs w:val="18"/>
          <w:color w:val="auto"/>
        </w:rPr>
        <w:t>Estimated future amortization expense for intangible assets that exist at February 24, 2018 is as follows:</w:t>
      </w:r>
    </w:p>
    <w:p>
      <w:pPr>
        <w:spacing w:after="0" w:line="238" w:lineRule="exact"/>
        <w:rPr>
          <w:sz w:val="20"/>
          <w:szCs w:val="20"/>
          <w:color w:val="auto"/>
        </w:rPr>
      </w:pPr>
    </w:p>
    <w:tbl>
      <w:tblPr>
        <w:tblLayout w:type="fixed"/>
        <w:tblInd w:w="1140" w:type="dxa"/>
        <w:tblCellMar>
          <w:top w:w="0" w:type="dxa"/>
          <w:left w:w="0" w:type="dxa"/>
          <w:bottom w:w="0" w:type="dxa"/>
          <w:right w:w="0" w:type="dxa"/>
        </w:tblCellMar>
      </w:tblPr>
      <w:tr>
        <w:trPr>
          <w:trHeight w:val="215"/>
        </w:trPr>
        <w:tc>
          <w:tcPr>
            <w:tcW w:w="20" w:type="dxa"/>
            <w:vAlign w:val="bottom"/>
          </w:tcPr>
          <w:p>
            <w:pPr>
              <w:spacing w:after="0"/>
              <w:rPr>
                <w:sz w:val="18"/>
                <w:szCs w:val="18"/>
                <w:color w:val="auto"/>
              </w:rPr>
            </w:pPr>
          </w:p>
        </w:tc>
        <w:tc>
          <w:tcPr>
            <w:tcW w:w="4600" w:type="dxa"/>
            <w:vAlign w:val="bottom"/>
            <w:shd w:val="clear" w:color="auto" w:fill="CCEEFF"/>
          </w:tcPr>
          <w:p>
            <w:pPr>
              <w:spacing w:after="0"/>
              <w:rPr>
                <w:sz w:val="20"/>
                <w:szCs w:val="20"/>
                <w:color w:val="auto"/>
              </w:rPr>
            </w:pPr>
            <w:r>
              <w:rPr>
                <w:rFonts w:ascii="Arial" w:cs="Arial" w:eastAsia="Arial" w:hAnsi="Arial"/>
                <w:sz w:val="18"/>
                <w:szCs w:val="18"/>
                <w:color w:val="auto"/>
              </w:rPr>
              <w:t>Remainder of fiscal 2018</w:t>
            </w:r>
          </w:p>
        </w:tc>
        <w:tc>
          <w:tcPr>
            <w:tcW w:w="3440" w:type="dxa"/>
            <w:vAlign w:val="bottom"/>
            <w:gridSpan w:val="2"/>
            <w:shd w:val="clear" w:color="auto" w:fill="CCEEFF"/>
          </w:tcPr>
          <w:p>
            <w:pPr>
              <w:jc w:val="right"/>
              <w:ind w:right="580"/>
              <w:spacing w:after="0"/>
              <w:rPr>
                <w:sz w:val="20"/>
                <w:szCs w:val="20"/>
                <w:color w:val="auto"/>
              </w:rPr>
            </w:pPr>
            <w:r>
              <w:rPr>
                <w:rFonts w:ascii="Arial" w:cs="Arial" w:eastAsia="Arial" w:hAnsi="Arial"/>
                <w:sz w:val="18"/>
                <w:szCs w:val="18"/>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284</w:t>
            </w:r>
          </w:p>
        </w:tc>
        <w:tc>
          <w:tcPr>
            <w:tcW w:w="100" w:type="dxa"/>
            <w:vAlign w:val="bottom"/>
            <w:shd w:val="clear" w:color="auto" w:fill="CCEEFF"/>
          </w:tcPr>
          <w:p>
            <w:pPr>
              <w:spacing w:after="0"/>
              <w:rPr>
                <w:sz w:val="18"/>
                <w:szCs w:val="18"/>
                <w:color w:val="auto"/>
              </w:rPr>
            </w:pPr>
          </w:p>
        </w:tc>
      </w:tr>
      <w:tr>
        <w:trPr>
          <w:trHeight w:val="215"/>
        </w:trPr>
        <w:tc>
          <w:tcPr>
            <w:tcW w:w="20" w:type="dxa"/>
            <w:vAlign w:val="bottom"/>
          </w:tcPr>
          <w:p>
            <w:pPr>
              <w:spacing w:after="0"/>
              <w:rPr>
                <w:sz w:val="18"/>
                <w:szCs w:val="18"/>
                <w:color w:val="auto"/>
              </w:rPr>
            </w:pPr>
          </w:p>
        </w:tc>
        <w:tc>
          <w:tcPr>
            <w:tcW w:w="4600" w:type="dxa"/>
            <w:vAlign w:val="bottom"/>
          </w:tcPr>
          <w:p>
            <w:pPr>
              <w:spacing w:after="0"/>
              <w:rPr>
                <w:sz w:val="20"/>
                <w:szCs w:val="20"/>
                <w:color w:val="auto"/>
              </w:rPr>
            </w:pPr>
            <w:r>
              <w:rPr>
                <w:rFonts w:ascii="Arial" w:cs="Arial" w:eastAsia="Arial" w:hAnsi="Arial"/>
                <w:sz w:val="18"/>
                <w:szCs w:val="18"/>
                <w:color w:val="auto"/>
              </w:rPr>
              <w:t>Fiscal 2019</w:t>
            </w:r>
          </w:p>
        </w:tc>
        <w:tc>
          <w:tcPr>
            <w:tcW w:w="27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379</w:t>
            </w:r>
          </w:p>
        </w:tc>
        <w:tc>
          <w:tcPr>
            <w:tcW w:w="100" w:type="dxa"/>
            <w:vAlign w:val="bottom"/>
          </w:tcPr>
          <w:p>
            <w:pPr>
              <w:spacing w:after="0"/>
              <w:rPr>
                <w:sz w:val="18"/>
                <w:szCs w:val="18"/>
                <w:color w:val="auto"/>
              </w:rPr>
            </w:pPr>
          </w:p>
        </w:tc>
      </w:tr>
      <w:tr>
        <w:trPr>
          <w:trHeight w:val="215"/>
        </w:trPr>
        <w:tc>
          <w:tcPr>
            <w:tcW w:w="20" w:type="dxa"/>
            <w:vAlign w:val="bottom"/>
          </w:tcPr>
          <w:p>
            <w:pPr>
              <w:spacing w:after="0"/>
              <w:rPr>
                <w:sz w:val="18"/>
                <w:szCs w:val="18"/>
                <w:color w:val="auto"/>
              </w:rPr>
            </w:pPr>
          </w:p>
        </w:tc>
        <w:tc>
          <w:tcPr>
            <w:tcW w:w="4600" w:type="dxa"/>
            <w:vAlign w:val="bottom"/>
            <w:shd w:val="clear" w:color="auto" w:fill="CCEEFF"/>
          </w:tcPr>
          <w:p>
            <w:pPr>
              <w:spacing w:after="0"/>
              <w:rPr>
                <w:sz w:val="20"/>
                <w:szCs w:val="20"/>
                <w:color w:val="auto"/>
              </w:rPr>
            </w:pPr>
            <w:r>
              <w:rPr>
                <w:rFonts w:ascii="Arial" w:cs="Arial" w:eastAsia="Arial" w:hAnsi="Arial"/>
                <w:sz w:val="18"/>
                <w:szCs w:val="18"/>
                <w:color w:val="auto"/>
              </w:rPr>
              <w:t>Fiscal 2020</w:t>
            </w:r>
          </w:p>
        </w:tc>
        <w:tc>
          <w:tcPr>
            <w:tcW w:w="278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379</w:t>
            </w:r>
          </w:p>
        </w:tc>
        <w:tc>
          <w:tcPr>
            <w:tcW w:w="100" w:type="dxa"/>
            <w:vAlign w:val="bottom"/>
            <w:shd w:val="clear" w:color="auto" w:fill="CCEEFF"/>
          </w:tcPr>
          <w:p>
            <w:pPr>
              <w:spacing w:after="0"/>
              <w:rPr>
                <w:sz w:val="18"/>
                <w:szCs w:val="18"/>
                <w:color w:val="auto"/>
              </w:rPr>
            </w:pPr>
          </w:p>
        </w:tc>
      </w:tr>
      <w:tr>
        <w:trPr>
          <w:trHeight w:val="215"/>
        </w:trPr>
        <w:tc>
          <w:tcPr>
            <w:tcW w:w="20" w:type="dxa"/>
            <w:vAlign w:val="bottom"/>
          </w:tcPr>
          <w:p>
            <w:pPr>
              <w:spacing w:after="0"/>
              <w:rPr>
                <w:sz w:val="18"/>
                <w:szCs w:val="18"/>
                <w:color w:val="auto"/>
              </w:rPr>
            </w:pPr>
          </w:p>
        </w:tc>
        <w:tc>
          <w:tcPr>
            <w:tcW w:w="4600" w:type="dxa"/>
            <w:vAlign w:val="bottom"/>
          </w:tcPr>
          <w:p>
            <w:pPr>
              <w:spacing w:after="0"/>
              <w:rPr>
                <w:sz w:val="20"/>
                <w:szCs w:val="20"/>
                <w:color w:val="auto"/>
              </w:rPr>
            </w:pPr>
            <w:r>
              <w:rPr>
                <w:rFonts w:ascii="Arial" w:cs="Arial" w:eastAsia="Arial" w:hAnsi="Arial"/>
                <w:sz w:val="18"/>
                <w:szCs w:val="18"/>
                <w:color w:val="auto"/>
              </w:rPr>
              <w:t>Fiscal 2021</w:t>
            </w:r>
          </w:p>
        </w:tc>
        <w:tc>
          <w:tcPr>
            <w:tcW w:w="27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379</w:t>
            </w:r>
          </w:p>
        </w:tc>
        <w:tc>
          <w:tcPr>
            <w:tcW w:w="100" w:type="dxa"/>
            <w:vAlign w:val="bottom"/>
          </w:tcPr>
          <w:p>
            <w:pPr>
              <w:spacing w:after="0"/>
              <w:rPr>
                <w:sz w:val="18"/>
                <w:szCs w:val="18"/>
                <w:color w:val="auto"/>
              </w:rPr>
            </w:pPr>
          </w:p>
        </w:tc>
      </w:tr>
      <w:tr>
        <w:trPr>
          <w:trHeight w:val="215"/>
        </w:trPr>
        <w:tc>
          <w:tcPr>
            <w:tcW w:w="20" w:type="dxa"/>
            <w:vAlign w:val="bottom"/>
          </w:tcPr>
          <w:p>
            <w:pPr>
              <w:spacing w:after="0"/>
              <w:rPr>
                <w:sz w:val="18"/>
                <w:szCs w:val="18"/>
                <w:color w:val="auto"/>
              </w:rPr>
            </w:pPr>
          </w:p>
        </w:tc>
        <w:tc>
          <w:tcPr>
            <w:tcW w:w="4600" w:type="dxa"/>
            <w:vAlign w:val="bottom"/>
            <w:shd w:val="clear" w:color="auto" w:fill="CCEEFF"/>
          </w:tcPr>
          <w:p>
            <w:pPr>
              <w:spacing w:after="0"/>
              <w:rPr>
                <w:sz w:val="20"/>
                <w:szCs w:val="20"/>
                <w:color w:val="auto"/>
              </w:rPr>
            </w:pPr>
            <w:r>
              <w:rPr>
                <w:rFonts w:ascii="Arial" w:cs="Arial" w:eastAsia="Arial" w:hAnsi="Arial"/>
                <w:sz w:val="18"/>
                <w:szCs w:val="18"/>
                <w:color w:val="auto"/>
              </w:rPr>
              <w:t>Fiscal 2022</w:t>
            </w:r>
          </w:p>
        </w:tc>
        <w:tc>
          <w:tcPr>
            <w:tcW w:w="278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279</w:t>
            </w:r>
          </w:p>
        </w:tc>
        <w:tc>
          <w:tcPr>
            <w:tcW w:w="100" w:type="dxa"/>
            <w:vAlign w:val="bottom"/>
            <w:shd w:val="clear" w:color="auto" w:fill="CCEEFF"/>
          </w:tcPr>
          <w:p>
            <w:pPr>
              <w:spacing w:after="0"/>
              <w:rPr>
                <w:sz w:val="18"/>
                <w:szCs w:val="18"/>
                <w:color w:val="auto"/>
              </w:rPr>
            </w:pPr>
          </w:p>
        </w:tc>
      </w:tr>
      <w:tr>
        <w:trPr>
          <w:trHeight w:val="215"/>
        </w:trPr>
        <w:tc>
          <w:tcPr>
            <w:tcW w:w="20" w:type="dxa"/>
            <w:vAlign w:val="bottom"/>
          </w:tcPr>
          <w:p>
            <w:pPr>
              <w:spacing w:after="0"/>
              <w:rPr>
                <w:sz w:val="18"/>
                <w:szCs w:val="18"/>
                <w:color w:val="auto"/>
              </w:rPr>
            </w:pPr>
          </w:p>
        </w:tc>
        <w:tc>
          <w:tcPr>
            <w:tcW w:w="4600" w:type="dxa"/>
            <w:vAlign w:val="bottom"/>
          </w:tcPr>
          <w:p>
            <w:pPr>
              <w:spacing w:after="0"/>
              <w:rPr>
                <w:sz w:val="20"/>
                <w:szCs w:val="20"/>
                <w:color w:val="auto"/>
              </w:rPr>
            </w:pPr>
            <w:r>
              <w:rPr>
                <w:rFonts w:ascii="Arial" w:cs="Arial" w:eastAsia="Arial" w:hAnsi="Arial"/>
                <w:sz w:val="18"/>
                <w:szCs w:val="18"/>
                <w:color w:val="auto"/>
              </w:rPr>
              <w:t>Fiscal 2023</w:t>
            </w:r>
          </w:p>
        </w:tc>
        <w:tc>
          <w:tcPr>
            <w:tcW w:w="27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259</w:t>
            </w:r>
          </w:p>
        </w:tc>
        <w:tc>
          <w:tcPr>
            <w:tcW w:w="100" w:type="dxa"/>
            <w:vAlign w:val="bottom"/>
          </w:tcPr>
          <w:p>
            <w:pPr>
              <w:spacing w:after="0"/>
              <w:rPr>
                <w:sz w:val="18"/>
                <w:szCs w:val="18"/>
                <w:color w:val="auto"/>
              </w:rPr>
            </w:pPr>
          </w:p>
        </w:tc>
      </w:tr>
      <w:tr>
        <w:trPr>
          <w:trHeight w:val="215"/>
        </w:trPr>
        <w:tc>
          <w:tcPr>
            <w:tcW w:w="20" w:type="dxa"/>
            <w:vAlign w:val="bottom"/>
          </w:tcPr>
          <w:p>
            <w:pPr>
              <w:spacing w:after="0"/>
              <w:rPr>
                <w:sz w:val="18"/>
                <w:szCs w:val="18"/>
                <w:color w:val="auto"/>
              </w:rPr>
            </w:pPr>
          </w:p>
        </w:tc>
        <w:tc>
          <w:tcPr>
            <w:tcW w:w="46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Thereafter</w:t>
            </w:r>
          </w:p>
        </w:tc>
        <w:tc>
          <w:tcPr>
            <w:tcW w:w="2780" w:type="dxa"/>
            <w:vAlign w:val="bottom"/>
            <w:tcBorders>
              <w:bottom w:val="single" w:sz="8" w:color="CCEEFF"/>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1,424</w:t>
            </w:r>
          </w:p>
        </w:tc>
        <w:tc>
          <w:tcPr>
            <w:tcW w:w="100" w:type="dxa"/>
            <w:vAlign w:val="bottom"/>
            <w:tcBorders>
              <w:bottom w:val="single" w:sz="8" w:color="CCEEFF"/>
            </w:tcBorders>
            <w:shd w:val="clear" w:color="auto" w:fill="CCEEFF"/>
          </w:tcPr>
          <w:p>
            <w:pPr>
              <w:spacing w:after="0"/>
              <w:rPr>
                <w:sz w:val="18"/>
                <w:szCs w:val="18"/>
                <w:color w:val="auto"/>
              </w:rPr>
            </w:pPr>
          </w:p>
        </w:tc>
      </w:tr>
      <w:tr>
        <w:trPr>
          <w:trHeight w:val="209"/>
        </w:trPr>
        <w:tc>
          <w:tcPr>
            <w:tcW w:w="4620" w:type="dxa"/>
            <w:vAlign w:val="bottom"/>
            <w:gridSpan w:val="2"/>
          </w:tcPr>
          <w:p>
            <w:pPr>
              <w:spacing w:after="0"/>
              <w:rPr>
                <w:sz w:val="18"/>
                <w:szCs w:val="18"/>
                <w:color w:val="auto"/>
              </w:rPr>
            </w:pPr>
          </w:p>
        </w:tc>
        <w:tc>
          <w:tcPr>
            <w:tcW w:w="27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35"/>
        </w:trPr>
        <w:tc>
          <w:tcPr>
            <w:tcW w:w="20" w:type="dxa"/>
            <w:vAlign w:val="bottom"/>
          </w:tcPr>
          <w:p>
            <w:pPr>
              <w:spacing w:after="0"/>
              <w:rPr>
                <w:sz w:val="20"/>
                <w:szCs w:val="20"/>
                <w:color w:val="auto"/>
              </w:rPr>
            </w:pPr>
          </w:p>
        </w:tc>
        <w:tc>
          <w:tcPr>
            <w:tcW w:w="4600" w:type="dxa"/>
            <w:vAlign w:val="bottom"/>
            <w:shd w:val="clear" w:color="auto" w:fill="CCEEFF"/>
          </w:tcPr>
          <w:p>
            <w:pPr>
              <w:spacing w:after="0"/>
              <w:rPr>
                <w:sz w:val="20"/>
                <w:szCs w:val="20"/>
                <w:color w:val="auto"/>
              </w:rPr>
            </w:pPr>
            <w:r>
              <w:rPr>
                <w:rFonts w:ascii="Arial" w:cs="Arial" w:eastAsia="Arial" w:hAnsi="Arial"/>
                <w:sz w:val="18"/>
                <w:szCs w:val="18"/>
                <w:color w:val="auto"/>
              </w:rPr>
              <w:t>Total</w:t>
            </w:r>
          </w:p>
        </w:tc>
        <w:tc>
          <w:tcPr>
            <w:tcW w:w="3440" w:type="dxa"/>
            <w:vAlign w:val="bottom"/>
            <w:gridSpan w:val="2"/>
            <w:shd w:val="clear" w:color="auto" w:fill="CCEEFF"/>
          </w:tcPr>
          <w:p>
            <w:pPr>
              <w:jc w:val="right"/>
              <w:ind w:right="580"/>
              <w:spacing w:after="0"/>
              <w:rPr>
                <w:sz w:val="20"/>
                <w:szCs w:val="20"/>
                <w:color w:val="auto"/>
              </w:rPr>
            </w:pPr>
            <w:r>
              <w:rPr>
                <w:rFonts w:ascii="Arial" w:cs="Arial" w:eastAsia="Arial" w:hAnsi="Arial"/>
                <w:sz w:val="18"/>
                <w:szCs w:val="18"/>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3,383</w:t>
            </w:r>
          </w:p>
        </w:tc>
        <w:tc>
          <w:tcPr>
            <w:tcW w:w="100" w:type="dxa"/>
            <w:vAlign w:val="bottom"/>
            <w:shd w:val="clear" w:color="auto" w:fill="CCEEFF"/>
          </w:tcPr>
          <w:p>
            <w:pPr>
              <w:spacing w:after="0"/>
              <w:rPr>
                <w:sz w:val="20"/>
                <w:szCs w:val="20"/>
                <w:color w:val="auto"/>
              </w:rPr>
            </w:pPr>
          </w:p>
        </w:tc>
      </w:tr>
      <w:tr>
        <w:trPr>
          <w:trHeight w:val="20"/>
        </w:trPr>
        <w:tc>
          <w:tcPr>
            <w:tcW w:w="20" w:type="dxa"/>
            <w:vAlign w:val="bottom"/>
          </w:tcPr>
          <w:p>
            <w:pPr>
              <w:spacing w:after="0" w:line="20" w:lineRule="exact"/>
              <w:rPr>
                <w:sz w:val="1"/>
                <w:szCs w:val="1"/>
                <w:color w:val="auto"/>
              </w:rPr>
            </w:pPr>
          </w:p>
        </w:tc>
        <w:tc>
          <w:tcPr>
            <w:tcW w:w="4600" w:type="dxa"/>
            <w:vAlign w:val="bottom"/>
            <w:tcBorders>
              <w:top w:val="single" w:sz="8" w:color="CCEEFF"/>
            </w:tcBorders>
            <w:shd w:val="clear" w:color="auto" w:fill="CCEEFF"/>
          </w:tcPr>
          <w:p>
            <w:pPr>
              <w:spacing w:after="0" w:line="20" w:lineRule="exact"/>
              <w:rPr>
                <w:sz w:val="1"/>
                <w:szCs w:val="1"/>
                <w:color w:val="auto"/>
              </w:rPr>
            </w:pPr>
          </w:p>
        </w:tc>
        <w:tc>
          <w:tcPr>
            <w:tcW w:w="2780" w:type="dxa"/>
            <w:vAlign w:val="bottom"/>
            <w:tcBorders>
              <w:top w:val="single" w:sz="8" w:color="CCEEFF"/>
            </w:tcBorders>
            <w:shd w:val="clear" w:color="auto" w:fill="CCEEFF"/>
          </w:tcPr>
          <w:p>
            <w:pPr>
              <w:spacing w:after="0" w:line="20" w:lineRule="exact"/>
              <w:rPr>
                <w:sz w:val="1"/>
                <w:szCs w:val="1"/>
                <w:color w:val="auto"/>
              </w:rPr>
            </w:pPr>
          </w:p>
        </w:tc>
        <w:tc>
          <w:tcPr>
            <w:tcW w:w="660" w:type="dxa"/>
            <w:vAlign w:val="bottom"/>
            <w:tcBorders>
              <w:top w:val="single" w:sz="8" w:color="auto"/>
            </w:tcBorders>
            <w:shd w:val="clear" w:color="auto" w:fill="000000"/>
          </w:tcPr>
          <w:p>
            <w:pPr>
              <w:spacing w:after="0" w:line="20" w:lineRule="exact"/>
              <w:rPr>
                <w:sz w:val="1"/>
                <w:szCs w:val="1"/>
                <w:color w:val="auto"/>
              </w:rPr>
            </w:pPr>
          </w:p>
        </w:tc>
        <w:tc>
          <w:tcPr>
            <w:tcW w:w="98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r>
    </w:tbl>
    <w:p>
      <w:pPr>
        <w:spacing w:after="0" w:line="200" w:lineRule="exact"/>
        <w:rPr>
          <w:sz w:val="20"/>
          <w:szCs w:val="20"/>
          <w:color w:val="auto"/>
        </w:rPr>
      </w:pPr>
    </w:p>
    <w:p>
      <w:pPr>
        <w:spacing w:after="0" w:line="23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500" w:type="dxa"/>
            <w:vAlign w:val="bottom"/>
            <w:gridSpan w:val="2"/>
          </w:tcPr>
          <w:p>
            <w:pPr>
              <w:spacing w:after="0"/>
              <w:rPr>
                <w:sz w:val="20"/>
                <w:szCs w:val="20"/>
                <w:color w:val="auto"/>
              </w:rPr>
            </w:pPr>
            <w:r>
              <w:rPr>
                <w:rFonts w:ascii="Arial" w:cs="Arial" w:eastAsia="Arial" w:hAnsi="Arial"/>
                <w:sz w:val="18"/>
                <w:szCs w:val="18"/>
                <w:b w:val="1"/>
                <w:bCs w:val="1"/>
                <w:color w:val="auto"/>
              </w:rPr>
              <w:t>8. Notes Payable and Bank Credit Facility</w:t>
            </w:r>
          </w:p>
        </w:tc>
        <w:tc>
          <w:tcPr>
            <w:tcW w:w="12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1"/>
        </w:trPr>
        <w:tc>
          <w:tcPr>
            <w:tcW w:w="4500" w:type="dxa"/>
            <w:vAlign w:val="bottom"/>
            <w:gridSpan w:val="2"/>
          </w:tcPr>
          <w:p>
            <w:pPr>
              <w:spacing w:after="0"/>
              <w:rPr>
                <w:sz w:val="20"/>
                <w:szCs w:val="20"/>
                <w:color w:val="auto"/>
              </w:rPr>
            </w:pPr>
            <w:r>
              <w:rPr>
                <w:rFonts w:ascii="Arial" w:cs="Arial" w:eastAsia="Arial" w:hAnsi="Arial"/>
                <w:sz w:val="18"/>
                <w:szCs w:val="18"/>
                <w:color w:val="auto"/>
              </w:rPr>
              <w:t>Our notes payable consist of the following:</w:t>
            </w:r>
          </w:p>
        </w:tc>
        <w:tc>
          <w:tcPr>
            <w:tcW w:w="12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2"/>
        </w:trPr>
        <w:tc>
          <w:tcPr>
            <w:tcW w:w="20" w:type="dxa"/>
            <w:vAlign w:val="bottom"/>
          </w:tcPr>
          <w:p>
            <w:pPr>
              <w:spacing w:after="0"/>
              <w:rPr>
                <w:sz w:val="24"/>
                <w:szCs w:val="24"/>
                <w:color w:val="auto"/>
              </w:rPr>
            </w:pPr>
          </w:p>
        </w:tc>
        <w:tc>
          <w:tcPr>
            <w:tcW w:w="44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6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93"/>
              </w:rPr>
              <w:t>February 24,</w:t>
            </w: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448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380" w:type="dxa"/>
            <w:vAlign w:val="bottom"/>
            <w:tcBorders>
              <w:bottom w:val="single" w:sz="8" w:color="auto"/>
            </w:tcBorders>
          </w:tcPr>
          <w:p>
            <w:pPr>
              <w:jc w:val="center"/>
              <w:ind w:right="90"/>
              <w:spacing w:after="0"/>
              <w:rPr>
                <w:sz w:val="20"/>
                <w:szCs w:val="20"/>
                <w:color w:val="auto"/>
              </w:rPr>
            </w:pPr>
            <w:r>
              <w:rPr>
                <w:rFonts w:ascii="Arial" w:cs="Arial" w:eastAsia="Arial" w:hAnsi="Arial"/>
                <w:sz w:val="18"/>
                <w:szCs w:val="18"/>
                <w:b w:val="1"/>
                <w:bCs w:val="1"/>
                <w:color w:val="auto"/>
                <w:w w:val="89"/>
              </w:rPr>
              <w:t>2018</w:t>
            </w: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9"/>
        </w:trPr>
        <w:tc>
          <w:tcPr>
            <w:tcW w:w="20" w:type="dxa"/>
            <w:vAlign w:val="bottom"/>
            <w:vMerge w:val="restart"/>
          </w:tcPr>
          <w:p>
            <w:pPr>
              <w:spacing w:after="0"/>
              <w:rPr>
                <w:sz w:val="18"/>
                <w:szCs w:val="18"/>
                <w:color w:val="auto"/>
              </w:rPr>
            </w:pPr>
          </w:p>
        </w:tc>
        <w:tc>
          <w:tcPr>
            <w:tcW w:w="448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vMerge w:val="continue"/>
          </w:tcPr>
          <w:p>
            <w:pPr>
              <w:spacing w:after="0"/>
              <w:rPr>
                <w:sz w:val="18"/>
                <w:szCs w:val="18"/>
                <w:color w:val="auto"/>
              </w:rPr>
            </w:pPr>
          </w:p>
        </w:tc>
        <w:tc>
          <w:tcPr>
            <w:tcW w:w="4480" w:type="dxa"/>
            <w:vAlign w:val="bottom"/>
            <w:shd w:val="clear" w:color="auto" w:fill="CCEEFF"/>
          </w:tcPr>
          <w:p>
            <w:pPr>
              <w:spacing w:after="0"/>
              <w:rPr>
                <w:sz w:val="20"/>
                <w:szCs w:val="20"/>
                <w:color w:val="auto"/>
              </w:rPr>
            </w:pPr>
            <w:r>
              <w:rPr>
                <w:rFonts w:ascii="Arial" w:cs="Arial" w:eastAsia="Arial" w:hAnsi="Arial"/>
                <w:sz w:val="18"/>
                <w:szCs w:val="18"/>
                <w:color w:val="auto"/>
              </w:rPr>
              <w:t>Real estate notes payable</w:t>
            </w:r>
          </w:p>
        </w:tc>
        <w:tc>
          <w:tcPr>
            <w:tcW w:w="12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4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645</w:t>
            </w: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4480" w:type="dxa"/>
            <w:vAlign w:val="bottom"/>
          </w:tcPr>
          <w:p>
            <w:pPr>
              <w:spacing w:after="0"/>
              <w:rPr>
                <w:sz w:val="20"/>
                <w:szCs w:val="20"/>
                <w:color w:val="auto"/>
              </w:rPr>
            </w:pPr>
            <w:r>
              <w:rPr>
                <w:rFonts w:ascii="Arial" w:cs="Arial" w:eastAsia="Arial" w:hAnsi="Arial"/>
                <w:sz w:val="18"/>
                <w:szCs w:val="18"/>
                <w:color w:val="auto"/>
              </w:rPr>
              <w:t>Less current portion</w:t>
            </w:r>
          </w:p>
        </w:tc>
        <w:tc>
          <w:tcPr>
            <w:tcW w:w="1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60" w:type="dxa"/>
            <w:vAlign w:val="bottom"/>
            <w:gridSpan w:val="2"/>
          </w:tcPr>
          <w:p>
            <w:pPr>
              <w:jc w:val="right"/>
              <w:ind w:right="20"/>
              <w:spacing w:after="0"/>
              <w:rPr>
                <w:sz w:val="20"/>
                <w:szCs w:val="20"/>
                <w:color w:val="auto"/>
              </w:rPr>
            </w:pPr>
            <w:r>
              <w:rPr>
                <w:rFonts w:ascii="Arial" w:cs="Arial" w:eastAsia="Arial" w:hAnsi="Arial"/>
                <w:sz w:val="18"/>
                <w:szCs w:val="18"/>
                <w:color w:val="auto"/>
              </w:rPr>
              <w:t>(425)</w:t>
            </w: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448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1380" w:type="dxa"/>
            <w:vAlign w:val="bottom"/>
            <w:tcBorders>
              <w:top w:val="single" w:sz="8" w:color="auto"/>
              <w:right w:val="single" w:sz="8" w:color="CCEEFF"/>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4480" w:type="dxa"/>
            <w:vAlign w:val="bottom"/>
          </w:tcPr>
          <w:p>
            <w:pPr>
              <w:ind w:left="140"/>
              <w:spacing w:after="0"/>
              <w:rPr>
                <w:sz w:val="20"/>
                <w:szCs w:val="20"/>
                <w:color w:val="auto"/>
              </w:rPr>
            </w:pPr>
            <w:r>
              <w:rPr>
                <w:rFonts w:ascii="Arial" w:cs="Arial" w:eastAsia="Arial" w:hAnsi="Arial"/>
                <w:sz w:val="18"/>
                <w:szCs w:val="18"/>
                <w:color w:val="auto"/>
              </w:rPr>
              <w:t>Total long-term notes payable</w:t>
            </w:r>
          </w:p>
        </w:tc>
        <w:tc>
          <w:tcPr>
            <w:tcW w:w="1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w:t>
            </w:r>
          </w:p>
        </w:tc>
        <w:tc>
          <w:tcPr>
            <w:tcW w:w="13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220</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48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560" w:type="dxa"/>
            <w:vAlign w:val="bottom"/>
            <w:tcBorders>
              <w:bottom w:val="single" w:sz="8" w:color="auto"/>
            </w:tcBorders>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8"/>
        </w:trPr>
        <w:tc>
          <w:tcPr>
            <w:tcW w:w="20" w:type="dxa"/>
            <w:vAlign w:val="bottom"/>
          </w:tcPr>
          <w:p>
            <w:pPr>
              <w:spacing w:after="0"/>
              <w:rPr>
                <w:sz w:val="24"/>
                <w:szCs w:val="24"/>
                <w:color w:val="auto"/>
              </w:rPr>
            </w:pPr>
          </w:p>
        </w:tc>
        <w:tc>
          <w:tcPr>
            <w:tcW w:w="44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640" w:type="dxa"/>
            <w:vAlign w:val="bottom"/>
            <w:tcBorders>
              <w:bottom w:val="single" w:sz="8" w:color="auto"/>
            </w:tcBorders>
            <w:gridSpan w:val="3"/>
          </w:tcPr>
          <w:p>
            <w:pPr>
              <w:ind w:left="20"/>
              <w:spacing w:after="0"/>
              <w:rPr>
                <w:sz w:val="20"/>
                <w:szCs w:val="20"/>
                <w:color w:val="auto"/>
              </w:rPr>
            </w:pPr>
            <w:r>
              <w:rPr>
                <w:rFonts w:ascii="Arial" w:cs="Arial" w:eastAsia="Arial" w:hAnsi="Arial"/>
                <w:sz w:val="18"/>
                <w:szCs w:val="18"/>
                <w:b w:val="1"/>
                <w:bCs w:val="1"/>
                <w:color w:val="auto"/>
                <w:w w:val="98"/>
              </w:rPr>
              <w:t>November 25, 2017</w:t>
            </w:r>
          </w:p>
        </w:tc>
        <w:tc>
          <w:tcPr>
            <w:tcW w:w="8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4480" w:type="dxa"/>
            <w:vAlign w:val="bottom"/>
          </w:tcPr>
          <w:p>
            <w:pPr>
              <w:spacing w:after="0"/>
              <w:rPr>
                <w:sz w:val="16"/>
                <w:szCs w:val="16"/>
                <w:color w:val="auto"/>
              </w:rPr>
            </w:pPr>
          </w:p>
        </w:tc>
        <w:tc>
          <w:tcPr>
            <w:tcW w:w="12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480" w:type="dxa"/>
            <w:vAlign w:val="bottom"/>
            <w:gridSpan w:val="2"/>
          </w:tcPr>
          <w:p>
            <w:pPr>
              <w:jc w:val="right"/>
              <w:ind w:right="620"/>
              <w:spacing w:after="0" w:line="190" w:lineRule="exact"/>
              <w:rPr>
                <w:sz w:val="20"/>
                <w:szCs w:val="20"/>
                <w:color w:val="auto"/>
              </w:rPr>
            </w:pPr>
            <w:r>
              <w:rPr>
                <w:rFonts w:ascii="Arial" w:cs="Arial" w:eastAsia="Arial" w:hAnsi="Arial"/>
                <w:sz w:val="18"/>
                <w:szCs w:val="18"/>
                <w:b w:val="1"/>
                <w:bCs w:val="1"/>
                <w:color w:val="auto"/>
              </w:rPr>
              <w:t>Principal</w:t>
            </w:r>
          </w:p>
        </w:tc>
        <w:tc>
          <w:tcPr>
            <w:tcW w:w="180" w:type="dxa"/>
            <w:vAlign w:val="bottom"/>
          </w:tcPr>
          <w:p>
            <w:pPr>
              <w:spacing w:after="0"/>
              <w:rPr>
                <w:sz w:val="16"/>
                <w:szCs w:val="16"/>
                <w:color w:val="auto"/>
              </w:rPr>
            </w:pPr>
          </w:p>
        </w:tc>
        <w:tc>
          <w:tcPr>
            <w:tcW w:w="1460" w:type="dxa"/>
            <w:vAlign w:val="bottom"/>
            <w:gridSpan w:val="2"/>
          </w:tcPr>
          <w:p>
            <w:pPr>
              <w:jc w:val="center"/>
              <w:ind w:right="300"/>
              <w:spacing w:after="0" w:line="190" w:lineRule="exact"/>
              <w:rPr>
                <w:sz w:val="20"/>
                <w:szCs w:val="20"/>
                <w:color w:val="auto"/>
              </w:rPr>
            </w:pPr>
            <w:r>
              <w:rPr>
                <w:rFonts w:ascii="Arial" w:cs="Arial" w:eastAsia="Arial" w:hAnsi="Arial"/>
                <w:sz w:val="18"/>
                <w:szCs w:val="18"/>
                <w:b w:val="1"/>
                <w:bCs w:val="1"/>
                <w:color w:val="auto"/>
                <w:w w:val="91"/>
              </w:rPr>
              <w:t>Unamortized</w:t>
            </w:r>
          </w:p>
        </w:tc>
        <w:tc>
          <w:tcPr>
            <w:tcW w:w="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340" w:type="dxa"/>
            <w:vAlign w:val="bottom"/>
          </w:tcPr>
          <w:p>
            <w:pPr>
              <w:jc w:val="right"/>
              <w:ind w:right="150"/>
              <w:spacing w:after="0" w:line="190" w:lineRule="exact"/>
              <w:rPr>
                <w:sz w:val="20"/>
                <w:szCs w:val="20"/>
                <w:color w:val="auto"/>
              </w:rPr>
            </w:pPr>
            <w:r>
              <w:rPr>
                <w:rFonts w:ascii="Arial" w:cs="Arial" w:eastAsia="Arial" w:hAnsi="Arial"/>
                <w:sz w:val="18"/>
                <w:szCs w:val="18"/>
                <w:b w:val="1"/>
                <w:bCs w:val="1"/>
                <w:color w:val="auto"/>
                <w:w w:val="99"/>
              </w:rPr>
              <w:t>Net Carrying</w:t>
            </w: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448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480" w:type="dxa"/>
            <w:vAlign w:val="bottom"/>
            <w:gridSpan w:val="2"/>
          </w:tcPr>
          <w:p>
            <w:pPr>
              <w:jc w:val="right"/>
              <w:ind w:right="660"/>
              <w:spacing w:after="0"/>
              <w:rPr>
                <w:sz w:val="20"/>
                <w:szCs w:val="20"/>
                <w:color w:val="auto"/>
              </w:rPr>
            </w:pPr>
            <w:r>
              <w:rPr>
                <w:rFonts w:ascii="Arial" w:cs="Arial" w:eastAsia="Arial" w:hAnsi="Arial"/>
                <w:sz w:val="18"/>
                <w:szCs w:val="18"/>
                <w:b w:val="1"/>
                <w:bCs w:val="1"/>
                <w:color w:val="auto"/>
              </w:rPr>
              <w:t>Balance</w:t>
            </w:r>
          </w:p>
        </w:tc>
        <w:tc>
          <w:tcPr>
            <w:tcW w:w="180" w:type="dxa"/>
            <w:vAlign w:val="bottom"/>
          </w:tcPr>
          <w:p>
            <w:pPr>
              <w:spacing w:after="0"/>
              <w:rPr>
                <w:sz w:val="20"/>
                <w:szCs w:val="20"/>
                <w:color w:val="auto"/>
              </w:rPr>
            </w:pPr>
          </w:p>
        </w:tc>
        <w:tc>
          <w:tcPr>
            <w:tcW w:w="146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88"/>
              </w:rPr>
              <w:t>Discount</w:t>
            </w:r>
          </w:p>
        </w:tc>
        <w:tc>
          <w:tcPr>
            <w:tcW w:w="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40" w:type="dxa"/>
            <w:vAlign w:val="bottom"/>
            <w:gridSpan w:val="2"/>
          </w:tcPr>
          <w:p>
            <w:pPr>
              <w:jc w:val="right"/>
              <w:ind w:right="540"/>
              <w:spacing w:after="0"/>
              <w:rPr>
                <w:sz w:val="20"/>
                <w:szCs w:val="20"/>
                <w:color w:val="auto"/>
              </w:rPr>
            </w:pPr>
            <w:r>
              <w:rPr>
                <w:rFonts w:ascii="Arial" w:cs="Arial" w:eastAsia="Arial" w:hAnsi="Arial"/>
                <w:sz w:val="18"/>
                <w:szCs w:val="18"/>
                <w:b w:val="1"/>
                <w:bCs w:val="1"/>
                <w:color w:val="auto"/>
              </w:rPr>
              <w:t>Amount</w:t>
            </w:r>
          </w:p>
        </w:tc>
        <w:tc>
          <w:tcPr>
            <w:tcW w:w="0" w:type="dxa"/>
            <w:vAlign w:val="bottom"/>
          </w:tcPr>
          <w:p>
            <w:pPr>
              <w:spacing w:after="0"/>
              <w:rPr>
                <w:sz w:val="1"/>
                <w:szCs w:val="1"/>
                <w:color w:val="auto"/>
              </w:rPr>
            </w:pPr>
          </w:p>
        </w:tc>
      </w:tr>
      <w:tr>
        <w:trPr>
          <w:trHeight w:val="209"/>
        </w:trPr>
        <w:tc>
          <w:tcPr>
            <w:tcW w:w="20" w:type="dxa"/>
            <w:vAlign w:val="bottom"/>
            <w:vMerge w:val="restart"/>
          </w:tcPr>
          <w:p>
            <w:pPr>
              <w:spacing w:after="0"/>
              <w:rPr>
                <w:sz w:val="18"/>
                <w:szCs w:val="18"/>
                <w:color w:val="auto"/>
              </w:rPr>
            </w:pPr>
          </w:p>
        </w:tc>
        <w:tc>
          <w:tcPr>
            <w:tcW w:w="448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126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380" w:type="dxa"/>
            <w:vAlign w:val="bottom"/>
            <w:tcBorders>
              <w:top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3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vMerge w:val="continue"/>
          </w:tcPr>
          <w:p>
            <w:pPr>
              <w:spacing w:after="0"/>
              <w:rPr>
                <w:sz w:val="18"/>
                <w:szCs w:val="18"/>
                <w:color w:val="auto"/>
              </w:rPr>
            </w:pPr>
          </w:p>
        </w:tc>
        <w:tc>
          <w:tcPr>
            <w:tcW w:w="4480" w:type="dxa"/>
            <w:vAlign w:val="bottom"/>
            <w:shd w:val="clear" w:color="auto" w:fill="CCEEFF"/>
          </w:tcPr>
          <w:p>
            <w:pPr>
              <w:spacing w:after="0"/>
              <w:rPr>
                <w:sz w:val="20"/>
                <w:szCs w:val="20"/>
                <w:color w:val="auto"/>
              </w:rPr>
            </w:pPr>
            <w:r>
              <w:rPr>
                <w:rFonts w:ascii="Arial" w:cs="Arial" w:eastAsia="Arial" w:hAnsi="Arial"/>
                <w:sz w:val="18"/>
                <w:szCs w:val="18"/>
                <w:color w:val="auto"/>
              </w:rPr>
              <w:t>Zenith acquisition note payable</w:t>
            </w:r>
          </w:p>
        </w:tc>
        <w:tc>
          <w:tcPr>
            <w:tcW w:w="1520" w:type="dxa"/>
            <w:vAlign w:val="bottom"/>
            <w:gridSpan w:val="2"/>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3,000</w:t>
            </w: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4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(13)</w:t>
            </w:r>
          </w:p>
        </w:tc>
        <w:tc>
          <w:tcPr>
            <w:tcW w:w="2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4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2,987</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4480" w:type="dxa"/>
            <w:vAlign w:val="bottom"/>
          </w:tcPr>
          <w:p>
            <w:pPr>
              <w:spacing w:after="0"/>
              <w:rPr>
                <w:sz w:val="20"/>
                <w:szCs w:val="20"/>
                <w:color w:val="auto"/>
              </w:rPr>
            </w:pPr>
            <w:r>
              <w:rPr>
                <w:rFonts w:ascii="Arial" w:cs="Arial" w:eastAsia="Arial" w:hAnsi="Arial"/>
                <w:sz w:val="18"/>
                <w:szCs w:val="18"/>
                <w:color w:val="auto"/>
              </w:rPr>
              <w:t>Real estate notes payable</w:t>
            </w:r>
          </w:p>
        </w:tc>
        <w:tc>
          <w:tcPr>
            <w:tcW w:w="1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80" w:type="dxa"/>
            <w:vAlign w:val="bottom"/>
            <w:gridSpan w:val="2"/>
          </w:tcPr>
          <w:p>
            <w:pPr>
              <w:jc w:val="right"/>
              <w:ind w:right="220"/>
              <w:spacing w:after="0"/>
              <w:rPr>
                <w:sz w:val="20"/>
                <w:szCs w:val="20"/>
                <w:color w:val="auto"/>
              </w:rPr>
            </w:pPr>
            <w:r>
              <w:rPr>
                <w:rFonts w:ascii="Arial" w:cs="Arial" w:eastAsia="Arial" w:hAnsi="Arial"/>
                <w:sz w:val="18"/>
                <w:szCs w:val="18"/>
                <w:color w:val="auto"/>
              </w:rPr>
              <w:t>747</w:t>
            </w:r>
          </w:p>
        </w:tc>
        <w:tc>
          <w:tcPr>
            <w:tcW w:w="180" w:type="dxa"/>
            <w:vAlign w:val="bottom"/>
          </w:tcPr>
          <w:p>
            <w:pPr>
              <w:spacing w:after="0"/>
              <w:rPr>
                <w:sz w:val="18"/>
                <w:szCs w:val="18"/>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40" w:type="dxa"/>
            <w:vAlign w:val="bottom"/>
            <w:gridSpan w:val="2"/>
          </w:tcPr>
          <w:p>
            <w:pPr>
              <w:jc w:val="right"/>
              <w:ind w:right="100"/>
              <w:spacing w:after="0"/>
              <w:rPr>
                <w:sz w:val="20"/>
                <w:szCs w:val="20"/>
                <w:color w:val="auto"/>
              </w:rPr>
            </w:pPr>
            <w:r>
              <w:rPr>
                <w:rFonts w:ascii="Arial" w:cs="Arial" w:eastAsia="Arial" w:hAnsi="Arial"/>
                <w:sz w:val="18"/>
                <w:szCs w:val="18"/>
                <w:color w:val="auto"/>
              </w:rPr>
              <w:t>747</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448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spacing w:after="0"/>
              <w:rPr>
                <w:sz w:val="18"/>
                <w:szCs w:val="18"/>
                <w:color w:val="auto"/>
              </w:rPr>
            </w:pPr>
          </w:p>
        </w:tc>
        <w:tc>
          <w:tcPr>
            <w:tcW w:w="126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1380" w:type="dxa"/>
            <w:vAlign w:val="bottom"/>
            <w:tcBorders>
              <w:top w:val="single" w:sz="8" w:color="auto"/>
              <w:right w:val="single" w:sz="8" w:color="CCEEFF"/>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134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4480" w:type="dxa"/>
            <w:vAlign w:val="bottom"/>
          </w:tcPr>
          <w:p>
            <w:pPr>
              <w:ind w:left="140"/>
              <w:spacing w:after="0"/>
              <w:rPr>
                <w:sz w:val="20"/>
                <w:szCs w:val="20"/>
                <w:color w:val="auto"/>
              </w:rPr>
            </w:pPr>
            <w:r>
              <w:rPr>
                <w:rFonts w:ascii="Arial" w:cs="Arial" w:eastAsia="Arial" w:hAnsi="Arial"/>
                <w:sz w:val="18"/>
                <w:szCs w:val="18"/>
                <w:color w:val="auto"/>
              </w:rPr>
              <w:t>Total notes payable</w:t>
            </w:r>
          </w:p>
        </w:tc>
        <w:tc>
          <w:tcPr>
            <w:tcW w:w="1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3,747</w:t>
            </w: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60" w:type="dxa"/>
            <w:vAlign w:val="bottom"/>
            <w:gridSpan w:val="2"/>
          </w:tcPr>
          <w:p>
            <w:pPr>
              <w:jc w:val="right"/>
              <w:ind w:right="60"/>
              <w:spacing w:after="0"/>
              <w:rPr>
                <w:sz w:val="20"/>
                <w:szCs w:val="20"/>
                <w:color w:val="auto"/>
              </w:rPr>
            </w:pPr>
            <w:r>
              <w:rPr>
                <w:rFonts w:ascii="Arial" w:cs="Arial" w:eastAsia="Arial" w:hAnsi="Arial"/>
                <w:sz w:val="18"/>
                <w:szCs w:val="18"/>
                <w:color w:val="auto"/>
              </w:rPr>
              <w:t>(13)</w:t>
            </w: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40" w:type="dxa"/>
            <w:vAlign w:val="bottom"/>
            <w:gridSpan w:val="2"/>
          </w:tcPr>
          <w:p>
            <w:pPr>
              <w:jc w:val="right"/>
              <w:ind w:right="100"/>
              <w:spacing w:after="0"/>
              <w:rPr>
                <w:sz w:val="20"/>
                <w:szCs w:val="20"/>
                <w:color w:val="auto"/>
              </w:rPr>
            </w:pPr>
            <w:r>
              <w:rPr>
                <w:rFonts w:ascii="Arial" w:cs="Arial" w:eastAsia="Arial" w:hAnsi="Arial"/>
                <w:sz w:val="18"/>
                <w:szCs w:val="18"/>
                <w:color w:val="auto"/>
              </w:rPr>
              <w:t>3,734</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4480" w:type="dxa"/>
            <w:vAlign w:val="bottom"/>
            <w:shd w:val="clear" w:color="auto" w:fill="CCEEFF"/>
          </w:tcPr>
          <w:p>
            <w:pPr>
              <w:spacing w:after="0"/>
              <w:rPr>
                <w:sz w:val="20"/>
                <w:szCs w:val="20"/>
                <w:color w:val="auto"/>
              </w:rPr>
            </w:pPr>
            <w:r>
              <w:rPr>
                <w:rFonts w:ascii="Arial" w:cs="Arial" w:eastAsia="Arial" w:hAnsi="Arial"/>
                <w:sz w:val="18"/>
                <w:szCs w:val="18"/>
                <w:color w:val="auto"/>
              </w:rPr>
              <w:t>Less current portion</w:t>
            </w:r>
          </w:p>
        </w:tc>
        <w:tc>
          <w:tcPr>
            <w:tcW w:w="12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(3,418)</w:t>
            </w:r>
          </w:p>
        </w:tc>
        <w:tc>
          <w:tcPr>
            <w:tcW w:w="180" w:type="dxa"/>
            <w:vAlign w:val="bottom"/>
            <w:shd w:val="clear" w:color="auto" w:fill="CCEEFF"/>
          </w:tcPr>
          <w:p>
            <w:pPr>
              <w:spacing w:after="0"/>
              <w:rPr>
                <w:sz w:val="18"/>
                <w:szCs w:val="18"/>
                <w:color w:val="auto"/>
              </w:rPr>
            </w:pPr>
          </w:p>
        </w:tc>
        <w:tc>
          <w:tcPr>
            <w:tcW w:w="138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(3,405)</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4480" w:type="dxa"/>
            <w:vAlign w:val="bottom"/>
            <w:tcBorders>
              <w:top w:val="single" w:sz="8" w:color="CCEEFF"/>
            </w:tcBorders>
          </w:tcPr>
          <w:p>
            <w:pPr>
              <w:spacing w:after="0"/>
              <w:rPr>
                <w:sz w:val="18"/>
                <w:szCs w:val="18"/>
                <w:color w:val="auto"/>
              </w:rPr>
            </w:pPr>
          </w:p>
        </w:tc>
        <w:tc>
          <w:tcPr>
            <w:tcW w:w="1260" w:type="dxa"/>
            <w:vAlign w:val="bottom"/>
            <w:tcBorders>
              <w:top w:val="single" w:sz="8" w:color="CCEEFF"/>
            </w:tcBorders>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1260" w:type="dxa"/>
            <w:vAlign w:val="bottom"/>
            <w:tcBorders>
              <w:top w:val="single" w:sz="8" w:color="auto"/>
            </w:tcBorders>
          </w:tcPr>
          <w:p>
            <w:pPr>
              <w:spacing w:after="0"/>
              <w:rPr>
                <w:sz w:val="18"/>
                <w:szCs w:val="18"/>
                <w:color w:val="auto"/>
              </w:rPr>
            </w:pPr>
          </w:p>
        </w:tc>
        <w:tc>
          <w:tcPr>
            <w:tcW w:w="220" w:type="dxa"/>
            <w:vAlign w:val="bottom"/>
            <w:tcBorders>
              <w:top w:val="single" w:sz="8" w:color="CCEEFF"/>
            </w:tcBorders>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380" w:type="dxa"/>
            <w:vAlign w:val="bottom"/>
            <w:tcBorders>
              <w:top w:val="single" w:sz="8" w:color="auto"/>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34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35"/>
        </w:trPr>
        <w:tc>
          <w:tcPr>
            <w:tcW w:w="20" w:type="dxa"/>
            <w:vAlign w:val="bottom"/>
          </w:tcPr>
          <w:p>
            <w:pPr>
              <w:spacing w:after="0"/>
              <w:rPr>
                <w:sz w:val="20"/>
                <w:szCs w:val="20"/>
                <w:color w:val="auto"/>
              </w:rPr>
            </w:pPr>
          </w:p>
        </w:tc>
        <w:tc>
          <w:tcPr>
            <w:tcW w:w="4480" w:type="dxa"/>
            <w:vAlign w:val="bottom"/>
            <w:shd w:val="clear" w:color="auto" w:fill="CCEEFF"/>
          </w:tcPr>
          <w:p>
            <w:pPr>
              <w:ind w:left="140"/>
              <w:spacing w:after="0"/>
              <w:rPr>
                <w:sz w:val="20"/>
                <w:szCs w:val="20"/>
                <w:color w:val="auto"/>
              </w:rPr>
            </w:pPr>
            <w:r>
              <w:rPr>
                <w:rFonts w:ascii="Arial" w:cs="Arial" w:eastAsia="Arial" w:hAnsi="Arial"/>
                <w:sz w:val="18"/>
                <w:szCs w:val="18"/>
                <w:color w:val="auto"/>
              </w:rPr>
              <w:t>Total long-term notes payable</w:t>
            </w:r>
          </w:p>
        </w:tc>
        <w:tc>
          <w:tcPr>
            <w:tcW w:w="1260" w:type="dxa"/>
            <w:vAlign w:val="bottom"/>
            <w:shd w:val="clear" w:color="auto" w:fill="CCEEFF"/>
          </w:tcPr>
          <w:p>
            <w:pPr>
              <w:spacing w:after="0"/>
              <w:rPr>
                <w:sz w:val="20"/>
                <w:szCs w:val="20"/>
                <w:color w:val="auto"/>
              </w:rPr>
            </w:pPr>
          </w:p>
        </w:tc>
        <w:tc>
          <w:tcPr>
            <w:tcW w:w="2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14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329</w:t>
            </w:r>
          </w:p>
        </w:tc>
        <w:tc>
          <w:tcPr>
            <w:tcW w:w="1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38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20"/>
                <w:szCs w:val="20"/>
                <w:color w:val="auto"/>
              </w:rPr>
            </w:pPr>
          </w:p>
        </w:tc>
        <w:tc>
          <w:tcPr>
            <w:tcW w:w="2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4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329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480" w:type="dxa"/>
            <w:vAlign w:val="bottom"/>
            <w:tcBorders>
              <w:top w:val="single" w:sz="8" w:color="CCEEFF"/>
            </w:tcBorders>
            <w:shd w:val="clear" w:color="auto" w:fill="CCEEFF"/>
          </w:tcPr>
          <w:p>
            <w:pPr>
              <w:spacing w:after="0" w:line="20" w:lineRule="exact"/>
              <w:rPr>
                <w:sz w:val="1"/>
                <w:szCs w:val="1"/>
                <w:color w:val="auto"/>
              </w:rPr>
            </w:pPr>
          </w:p>
        </w:tc>
        <w:tc>
          <w:tcPr>
            <w:tcW w:w="1260" w:type="dxa"/>
            <w:vAlign w:val="bottom"/>
            <w:tcBorders>
              <w:top w:val="single" w:sz="8" w:color="CCEEFF"/>
            </w:tcBorders>
            <w:shd w:val="clear" w:color="auto" w:fill="CCEEFF"/>
          </w:tcPr>
          <w:p>
            <w:pPr>
              <w:spacing w:after="0" w:line="20" w:lineRule="exact"/>
              <w:rPr>
                <w:sz w:val="1"/>
                <w:szCs w:val="1"/>
                <w:color w:val="auto"/>
              </w:rPr>
            </w:pPr>
          </w:p>
        </w:tc>
        <w:tc>
          <w:tcPr>
            <w:tcW w:w="260" w:type="dxa"/>
            <w:vAlign w:val="bottom"/>
            <w:tcBorders>
              <w:top w:val="single" w:sz="8" w:color="auto"/>
            </w:tcBorders>
            <w:shd w:val="clear" w:color="auto" w:fill="000000"/>
          </w:tcPr>
          <w:p>
            <w:pPr>
              <w:spacing w:after="0" w:line="20" w:lineRule="exact"/>
              <w:rPr>
                <w:sz w:val="1"/>
                <w:szCs w:val="1"/>
                <w:color w:val="auto"/>
              </w:rPr>
            </w:pPr>
          </w:p>
        </w:tc>
        <w:tc>
          <w:tcPr>
            <w:tcW w:w="126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auto"/>
            </w:tcBorders>
            <w:shd w:val="clear" w:color="auto" w:fill="000000"/>
          </w:tcPr>
          <w:p>
            <w:pPr>
              <w:spacing w:after="0" w:line="20" w:lineRule="exact"/>
              <w:rPr>
                <w:sz w:val="1"/>
                <w:szCs w:val="1"/>
                <w:color w:val="auto"/>
              </w:rPr>
            </w:pPr>
          </w:p>
        </w:tc>
        <w:tc>
          <w:tcPr>
            <w:tcW w:w="1380" w:type="dxa"/>
            <w:vAlign w:val="bottom"/>
            <w:tcBorders>
              <w:top w:val="single" w:sz="8" w:color="auto"/>
              <w:right w:val="single" w:sz="8" w:color="CCEEFF"/>
            </w:tcBorders>
            <w:shd w:val="clear" w:color="auto" w:fill="000000"/>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auto"/>
            </w:tcBorders>
            <w:shd w:val="clear" w:color="auto" w:fill="000000"/>
          </w:tcPr>
          <w:p>
            <w:pPr>
              <w:spacing w:after="0" w:line="20" w:lineRule="exact"/>
              <w:rPr>
                <w:sz w:val="1"/>
                <w:szCs w:val="1"/>
                <w:color w:val="auto"/>
              </w:rPr>
            </w:pPr>
          </w:p>
        </w:tc>
        <w:tc>
          <w:tcPr>
            <w:tcW w:w="134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380" w:type="dxa"/>
            <w:vAlign w:val="bottom"/>
            <w:gridSpan w:val="2"/>
          </w:tcPr>
          <w:p>
            <w:pPr>
              <w:spacing w:after="0"/>
              <w:rPr>
                <w:sz w:val="20"/>
                <w:szCs w:val="20"/>
                <w:color w:val="auto"/>
              </w:rPr>
            </w:pPr>
            <w:r>
              <w:rPr>
                <w:rFonts w:ascii="Arial" w:cs="Arial" w:eastAsia="Arial" w:hAnsi="Arial"/>
                <w:sz w:val="18"/>
                <w:szCs w:val="18"/>
                <w:color w:val="auto"/>
              </w:rPr>
              <w:t>The future maturities of our notes payable are as follows:</w:t>
            </w:r>
          </w:p>
        </w:tc>
        <w:tc>
          <w:tcPr>
            <w:tcW w:w="226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5"/>
        </w:trPr>
        <w:tc>
          <w:tcPr>
            <w:tcW w:w="1160" w:type="dxa"/>
            <w:vAlign w:val="bottom"/>
            <w:vMerge w:val="restart"/>
          </w:tcPr>
          <w:p>
            <w:pPr>
              <w:spacing w:after="0"/>
              <w:rPr>
                <w:sz w:val="18"/>
                <w:szCs w:val="18"/>
                <w:color w:val="auto"/>
              </w:rPr>
            </w:pPr>
          </w:p>
        </w:tc>
        <w:tc>
          <w:tcPr>
            <w:tcW w:w="5220" w:type="dxa"/>
            <w:vAlign w:val="bottom"/>
          </w:tcPr>
          <w:p>
            <w:pPr>
              <w:spacing w:after="0"/>
              <w:rPr>
                <w:sz w:val="18"/>
                <w:szCs w:val="18"/>
                <w:color w:val="auto"/>
              </w:rPr>
            </w:pPr>
          </w:p>
        </w:tc>
        <w:tc>
          <w:tcPr>
            <w:tcW w:w="22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1160" w:type="dxa"/>
            <w:vAlign w:val="bottom"/>
            <w:vMerge w:val="continue"/>
          </w:tcPr>
          <w:p>
            <w:pPr>
              <w:spacing w:after="0"/>
              <w:rPr>
                <w:sz w:val="18"/>
                <w:szCs w:val="18"/>
                <w:color w:val="auto"/>
              </w:rPr>
            </w:pPr>
          </w:p>
        </w:tc>
        <w:tc>
          <w:tcPr>
            <w:tcW w:w="5220" w:type="dxa"/>
            <w:vAlign w:val="bottom"/>
            <w:shd w:val="clear" w:color="auto" w:fill="CCEEFF"/>
          </w:tcPr>
          <w:p>
            <w:pPr>
              <w:spacing w:after="0"/>
              <w:rPr>
                <w:sz w:val="20"/>
                <w:szCs w:val="20"/>
                <w:color w:val="auto"/>
              </w:rPr>
            </w:pPr>
            <w:r>
              <w:rPr>
                <w:rFonts w:ascii="Arial" w:cs="Arial" w:eastAsia="Arial" w:hAnsi="Arial"/>
                <w:sz w:val="18"/>
                <w:szCs w:val="18"/>
                <w:color w:val="auto"/>
              </w:rPr>
              <w:t>Remainder of fiscal 2018</w:t>
            </w:r>
          </w:p>
        </w:tc>
        <w:tc>
          <w:tcPr>
            <w:tcW w:w="2940" w:type="dxa"/>
            <w:vAlign w:val="bottom"/>
            <w:gridSpan w:val="2"/>
            <w:shd w:val="clear" w:color="auto" w:fill="CCEEFF"/>
          </w:tcPr>
          <w:p>
            <w:pPr>
              <w:jc w:val="right"/>
              <w:ind w:right="490"/>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316</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1160" w:type="dxa"/>
            <w:vAlign w:val="bottom"/>
          </w:tcPr>
          <w:p>
            <w:pPr>
              <w:spacing w:after="0"/>
              <w:rPr>
                <w:sz w:val="18"/>
                <w:szCs w:val="18"/>
                <w:color w:val="auto"/>
              </w:rPr>
            </w:pPr>
          </w:p>
        </w:tc>
        <w:tc>
          <w:tcPr>
            <w:tcW w:w="5220" w:type="dxa"/>
            <w:vAlign w:val="bottom"/>
          </w:tcPr>
          <w:p>
            <w:pPr>
              <w:spacing w:after="0"/>
              <w:rPr>
                <w:sz w:val="20"/>
                <w:szCs w:val="20"/>
                <w:color w:val="auto"/>
              </w:rPr>
            </w:pPr>
            <w:r>
              <w:rPr>
                <w:rFonts w:ascii="Arial" w:cs="Arial" w:eastAsia="Arial" w:hAnsi="Arial"/>
                <w:sz w:val="18"/>
                <w:szCs w:val="18"/>
                <w:color w:val="auto"/>
              </w:rPr>
              <w:t>Fiscal 2019</w:t>
            </w:r>
          </w:p>
        </w:tc>
        <w:tc>
          <w:tcPr>
            <w:tcW w:w="2260" w:type="dxa"/>
            <w:vAlign w:val="bottom"/>
          </w:tcPr>
          <w:p>
            <w:pPr>
              <w:spacing w:after="0"/>
              <w:rPr>
                <w:sz w:val="18"/>
                <w:szCs w:val="18"/>
                <w:color w:val="auto"/>
              </w:rPr>
            </w:pPr>
          </w:p>
        </w:tc>
        <w:tc>
          <w:tcPr>
            <w:tcW w:w="68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329</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1160" w:type="dxa"/>
            <w:vAlign w:val="bottom"/>
          </w:tcPr>
          <w:p>
            <w:pPr>
              <w:spacing w:after="0"/>
              <w:rPr>
                <w:sz w:val="21"/>
                <w:szCs w:val="21"/>
                <w:color w:val="auto"/>
              </w:rPr>
            </w:pPr>
          </w:p>
        </w:tc>
        <w:tc>
          <w:tcPr>
            <w:tcW w:w="5220" w:type="dxa"/>
            <w:vAlign w:val="bottom"/>
            <w:tcBorders>
              <w:bottom w:val="single" w:sz="8" w:color="CCEEFF"/>
            </w:tcBorders>
            <w:shd w:val="clear" w:color="auto" w:fill="CCEEFF"/>
          </w:tcPr>
          <w:p>
            <w:pPr>
              <w:spacing w:after="0"/>
              <w:rPr>
                <w:sz w:val="21"/>
                <w:szCs w:val="21"/>
                <w:color w:val="auto"/>
              </w:rPr>
            </w:pPr>
          </w:p>
        </w:tc>
        <w:tc>
          <w:tcPr>
            <w:tcW w:w="226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auto"/>
            </w:tcBorders>
            <w:shd w:val="clear" w:color="auto" w:fill="CCEEFF"/>
          </w:tcPr>
          <w:p>
            <w:pPr>
              <w:jc w:val="right"/>
              <w:ind w:right="490"/>
              <w:spacing w:after="0"/>
              <w:rPr>
                <w:sz w:val="20"/>
                <w:szCs w:val="20"/>
                <w:color w:val="auto"/>
              </w:rPr>
            </w:pPr>
            <w:r>
              <w:rPr>
                <w:rFonts w:ascii="Arial" w:cs="Arial" w:eastAsia="Arial" w:hAnsi="Arial"/>
                <w:sz w:val="18"/>
                <w:szCs w:val="18"/>
                <w:color w:val="auto"/>
                <w:w w:val="79"/>
              </w:rPr>
              <w:t>$</w:t>
            </w: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645</w:t>
            </w:r>
          </w:p>
        </w:tc>
        <w:tc>
          <w:tcPr>
            <w:tcW w:w="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bl>
    <w:p>
      <w:pPr>
        <w:spacing w:after="0" w:line="20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Zenith Acquisition Note Payable</w:t>
      </w:r>
    </w:p>
    <w:p>
      <w:pPr>
        <w:spacing w:after="0" w:line="224" w:lineRule="exact"/>
        <w:rPr>
          <w:sz w:val="20"/>
          <w:szCs w:val="20"/>
          <w:color w:val="auto"/>
        </w:rPr>
      </w:pPr>
    </w:p>
    <w:p>
      <w:pPr>
        <w:spacing w:after="0" w:line="276" w:lineRule="auto"/>
        <w:rPr>
          <w:sz w:val="20"/>
          <w:szCs w:val="20"/>
          <w:color w:val="auto"/>
        </w:rPr>
      </w:pPr>
      <w:r>
        <w:rPr>
          <w:rFonts w:ascii="Arial" w:cs="Arial" w:eastAsia="Arial" w:hAnsi="Arial"/>
          <w:sz w:val="18"/>
          <w:szCs w:val="18"/>
          <w:color w:val="auto"/>
        </w:rPr>
        <w:t>The final installment of the Zenith acquisition note was paid in full on February 2, 2018. Interest expense resulting from the amortization of the discount was $13 and $37 for the quarters ended February 24, 2018 and February 25, 2017, respectively.</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82550</wp:posOffset>
            </wp:positionV>
            <wp:extent cx="7247255" cy="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47255" cy="17145"/>
                    </a:xfrm>
                    <a:prstGeom prst="rect">
                      <a:avLst/>
                    </a:prstGeom>
                    <a:noFill/>
                  </pic:spPr>
                </pic:pic>
              </a:graphicData>
            </a:graphic>
          </wp:anchor>
        </w:drawing>
      </w:r>
    </w:p>
    <w:p>
      <w:pPr>
        <w:sectPr>
          <w:pgSz w:w="11900" w:h="16838" w:orient="portrait"/>
          <w:cols w:equalWidth="0" w:num="1">
            <w:col w:w="11420"/>
          </w:cols>
          <w:pgMar w:left="240" w:top="583" w:right="239" w:bottom="1440" w:gutter="0" w:footer="0" w:header="0"/>
        </w:sectPr>
      </w:pPr>
    </w:p>
    <w:bookmarkStart w:id="14" w:name="page15"/>
    <w:bookmarkEnd w:id="14"/>
    <w:p>
      <w:pPr>
        <w:jc w:val="center"/>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NOTES TO CONDENSED CONSOLIDATED FINANCIAL STATEMENTS-UNAUDITED</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FEBRUARY 24, 2018</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0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Real Estate Notes Payable</w:t>
      </w:r>
    </w:p>
    <w:p>
      <w:pPr>
        <w:spacing w:after="0" w:line="224" w:lineRule="exact"/>
        <w:rPr>
          <w:sz w:val="20"/>
          <w:szCs w:val="20"/>
          <w:color w:val="auto"/>
        </w:rPr>
      </w:pPr>
    </w:p>
    <w:p>
      <w:pPr>
        <w:jc w:val="both"/>
        <w:spacing w:after="0" w:line="278" w:lineRule="auto"/>
        <w:rPr>
          <w:sz w:val="20"/>
          <w:szCs w:val="20"/>
          <w:color w:val="auto"/>
        </w:rPr>
      </w:pPr>
      <w:r>
        <w:rPr>
          <w:rFonts w:ascii="Arial" w:cs="Arial" w:eastAsia="Arial" w:hAnsi="Arial"/>
          <w:sz w:val="17"/>
          <w:szCs w:val="17"/>
          <w:color w:val="auto"/>
        </w:rPr>
        <w:t>Certain of our retail real estate properties have been financed through commercial mortgages with outstanding principal totaling $645 and $747 at February 24, 2018 and November 25, 2017, respectively. The mortgages bear interest at fixed rates of 6.73%. They are collateralized by the respective properties with net book values totaling approximately $5,695 and $5,727 at February 24, 2018 and November 25, 2017, respectively. The current portion of these mortgages due within one year was $425 and $418 as of February 24, 2018 and November 25, 2017, respectively.</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Fair Value</w:t>
      </w:r>
    </w:p>
    <w:p>
      <w:pPr>
        <w:spacing w:after="0" w:line="224" w:lineRule="exact"/>
        <w:rPr>
          <w:sz w:val="20"/>
          <w:szCs w:val="20"/>
          <w:color w:val="auto"/>
        </w:rPr>
      </w:pPr>
    </w:p>
    <w:p>
      <w:pPr>
        <w:jc w:val="both"/>
        <w:spacing w:after="0" w:line="258" w:lineRule="auto"/>
        <w:rPr>
          <w:sz w:val="20"/>
          <w:szCs w:val="20"/>
          <w:color w:val="auto"/>
        </w:rPr>
      </w:pPr>
      <w:r>
        <w:rPr>
          <w:rFonts w:ascii="Arial" w:cs="Arial" w:eastAsia="Arial" w:hAnsi="Arial"/>
          <w:sz w:val="18"/>
          <w:szCs w:val="18"/>
          <w:color w:val="auto"/>
        </w:rPr>
        <w:t xml:space="preserve">We believe that the carrying amount of our notes payable approximates fair value at both February 24, 2018 and November 25, 2017. In estimating the fair value, we utilize current market interest rates for similar instruments. The inputs into these fair value calculations reflect our market assumptions and are not observable. Consequently, the inputs are considered to be Level 3 as specified in the fair value hierarchy in ASC Topic 820, </w:t>
      </w:r>
      <w:r>
        <w:rPr>
          <w:rFonts w:ascii="Arial" w:cs="Arial" w:eastAsia="Arial" w:hAnsi="Arial"/>
          <w:sz w:val="18"/>
          <w:szCs w:val="18"/>
          <w:i w:val="1"/>
          <w:iCs w:val="1"/>
          <w:color w:val="auto"/>
        </w:rPr>
        <w:t>Fair Value Measurements and</w:t>
      </w:r>
      <w:r>
        <w:rPr>
          <w:rFonts w:ascii="Arial" w:cs="Arial" w:eastAsia="Arial" w:hAnsi="Arial"/>
          <w:sz w:val="18"/>
          <w:szCs w:val="18"/>
          <w:color w:val="auto"/>
        </w:rPr>
        <w:t xml:space="preserve"> </w:t>
      </w:r>
      <w:r>
        <w:rPr>
          <w:rFonts w:ascii="Arial" w:cs="Arial" w:eastAsia="Arial" w:hAnsi="Arial"/>
          <w:sz w:val="18"/>
          <w:szCs w:val="18"/>
          <w:i w:val="1"/>
          <w:iCs w:val="1"/>
          <w:color w:val="auto"/>
        </w:rPr>
        <w:t>Disclosures</w:t>
      </w:r>
      <w:r>
        <w:rPr>
          <w:rFonts w:ascii="Arial" w:cs="Arial" w:eastAsia="Arial" w:hAnsi="Arial"/>
          <w:sz w:val="18"/>
          <w:szCs w:val="18"/>
          <w:color w:val="auto"/>
        </w:rPr>
        <w:t>. See Note 3.</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Bank Credit Facility</w:t>
      </w:r>
    </w:p>
    <w:p>
      <w:pPr>
        <w:spacing w:after="0" w:line="224" w:lineRule="exact"/>
        <w:rPr>
          <w:sz w:val="20"/>
          <w:szCs w:val="20"/>
          <w:color w:val="auto"/>
        </w:rPr>
      </w:pPr>
    </w:p>
    <w:p>
      <w:pPr>
        <w:jc w:val="both"/>
        <w:spacing w:after="0" w:line="262" w:lineRule="auto"/>
        <w:rPr>
          <w:sz w:val="20"/>
          <w:szCs w:val="20"/>
          <w:color w:val="auto"/>
        </w:rPr>
      </w:pPr>
      <w:r>
        <w:rPr>
          <w:rFonts w:ascii="Arial" w:cs="Arial" w:eastAsia="Arial" w:hAnsi="Arial"/>
          <w:sz w:val="18"/>
          <w:szCs w:val="18"/>
          <w:color w:val="auto"/>
        </w:rPr>
        <w:t>Our credit facility with our bank provides for a line of credit of up to $15,000. This credit facility, which matures in December of 2018, is unsecured and contains covenants requiring us to maintain certain key financial ratios. We are in compliance with all covenants under the agreement and expect to remain in compliance for the foreseeable future.</w:t>
      </w:r>
    </w:p>
    <w:p>
      <w:pPr>
        <w:spacing w:after="0" w:line="183" w:lineRule="exact"/>
        <w:rPr>
          <w:sz w:val="20"/>
          <w:szCs w:val="20"/>
          <w:color w:val="auto"/>
        </w:rPr>
      </w:pPr>
    </w:p>
    <w:p>
      <w:pPr>
        <w:jc w:val="both"/>
        <w:spacing w:after="0" w:line="276" w:lineRule="auto"/>
        <w:rPr>
          <w:sz w:val="20"/>
          <w:szCs w:val="20"/>
          <w:color w:val="auto"/>
        </w:rPr>
      </w:pPr>
      <w:r>
        <w:rPr>
          <w:rFonts w:ascii="Arial" w:cs="Arial" w:eastAsia="Arial" w:hAnsi="Arial"/>
          <w:sz w:val="18"/>
          <w:szCs w:val="18"/>
          <w:color w:val="auto"/>
        </w:rPr>
        <w:t>At February 24, 2018, we had $2,249 outstanding under standby letters of credit against our line, leaving availability under our credit line of $12,751. In addition, we have outstanding standby letters of credit with another bank totaling $511.</w:t>
      </w:r>
    </w:p>
    <w:p>
      <w:pPr>
        <w:spacing w:after="0" w:line="200" w:lineRule="exact"/>
        <w:rPr>
          <w:sz w:val="20"/>
          <w:szCs w:val="20"/>
          <w:color w:val="auto"/>
        </w:rPr>
      </w:pP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9. Post Employment Benefit Obligations</w:t>
      </w:r>
    </w:p>
    <w:p>
      <w:pPr>
        <w:spacing w:after="0" w:line="228"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Defined Benefit Plans</w:t>
      </w:r>
    </w:p>
    <w:p>
      <w:pPr>
        <w:spacing w:after="0" w:line="224" w:lineRule="exact"/>
        <w:rPr>
          <w:sz w:val="20"/>
          <w:szCs w:val="20"/>
          <w:color w:val="auto"/>
        </w:rPr>
      </w:pPr>
    </w:p>
    <w:p>
      <w:pPr>
        <w:jc w:val="both"/>
        <w:spacing w:after="0" w:line="276" w:lineRule="auto"/>
        <w:rPr>
          <w:sz w:val="20"/>
          <w:szCs w:val="20"/>
          <w:color w:val="auto"/>
        </w:rPr>
      </w:pPr>
      <w:r>
        <w:rPr>
          <w:rFonts w:ascii="Arial" w:cs="Arial" w:eastAsia="Arial" w:hAnsi="Arial"/>
          <w:sz w:val="18"/>
          <w:szCs w:val="18"/>
          <w:color w:val="auto"/>
        </w:rPr>
        <w:t>We have an unfunded Supplemental Retirement Income Plan (the “Supplemental Plan”) that covers one current and certain former executives. The liability for the Supplemental Plan was $11,333 and $11,337 as of February 24, 2018 and November 25, 2017, respectively.</w:t>
      </w:r>
    </w:p>
    <w:p>
      <w:pPr>
        <w:spacing w:after="0" w:line="170" w:lineRule="exact"/>
        <w:rPr>
          <w:sz w:val="20"/>
          <w:szCs w:val="20"/>
          <w:color w:val="auto"/>
        </w:rPr>
      </w:pPr>
    </w:p>
    <w:p>
      <w:pPr>
        <w:jc w:val="both"/>
        <w:spacing w:after="0" w:line="256" w:lineRule="auto"/>
        <w:rPr>
          <w:sz w:val="20"/>
          <w:szCs w:val="20"/>
          <w:color w:val="auto"/>
        </w:rPr>
      </w:pPr>
      <w:r>
        <w:rPr>
          <w:rFonts w:ascii="Arial" w:cs="Arial" w:eastAsia="Arial" w:hAnsi="Arial"/>
          <w:sz w:val="18"/>
          <w:szCs w:val="18"/>
          <w:color w:val="auto"/>
        </w:rPr>
        <w:t>We also have the Bassett Furniture Industries, Incorporated Management Savings Plan (the “Management Savings Plan”) which was established in the second quarter of fiscal 2017. The Management Savings Plan is an unfunded, nonqualified deferred compensation plan maintained for the benefit of certain highly compensated or management level employees. As part of the Management Savings Plan, we have made Long Term Cash Awards (“LTC Awards”) totaling $2,000 to certain management employees in the amount of $400 each. The liability for the LTC Awards was $1,009 and $985 as of February 24, 2018 and November 25, 2017, respectively.</w:t>
      </w:r>
    </w:p>
    <w:p>
      <w:pPr>
        <w:spacing w:after="0" w:line="188" w:lineRule="exact"/>
        <w:rPr>
          <w:sz w:val="20"/>
          <w:szCs w:val="20"/>
          <w:color w:val="auto"/>
        </w:rPr>
      </w:pPr>
    </w:p>
    <w:p>
      <w:pPr>
        <w:spacing w:after="0"/>
        <w:rPr>
          <w:sz w:val="20"/>
          <w:szCs w:val="20"/>
          <w:color w:val="auto"/>
        </w:rPr>
      </w:pPr>
      <w:r>
        <w:rPr>
          <w:rFonts w:ascii="Arial" w:cs="Arial" w:eastAsia="Arial" w:hAnsi="Arial"/>
          <w:sz w:val="17"/>
          <w:szCs w:val="17"/>
          <w:color w:val="auto"/>
        </w:rPr>
        <w:t>The combined pension liability for the Supplemental Plan and LTC Awards is recorded as follows in the condensed consolidated balance sheets:</w:t>
      </w:r>
    </w:p>
    <w:p>
      <w:pPr>
        <w:spacing w:after="0" w:line="231" w:lineRule="exact"/>
        <w:rPr>
          <w:sz w:val="20"/>
          <w:szCs w:val="20"/>
          <w:color w:val="auto"/>
        </w:rPr>
      </w:pPr>
    </w:p>
    <w:tbl>
      <w:tblPr>
        <w:tblLayout w:type="fixed"/>
        <w:tblInd w:w="0" w:type="dxa"/>
        <w:tblCellMar>
          <w:top w:w="0" w:type="dxa"/>
          <w:left w:w="0" w:type="dxa"/>
          <w:bottom w:w="0" w:type="dxa"/>
          <w:right w:w="0" w:type="dxa"/>
        </w:tblCellMar>
      </w:tblPr>
      <w:tr>
        <w:trPr>
          <w:trHeight w:val="215"/>
        </w:trPr>
        <w:tc>
          <w:tcPr>
            <w:tcW w:w="1160" w:type="dxa"/>
            <w:vAlign w:val="bottom"/>
          </w:tcPr>
          <w:p>
            <w:pPr>
              <w:spacing w:after="0"/>
              <w:rPr>
                <w:sz w:val="18"/>
                <w:szCs w:val="18"/>
                <w:color w:val="auto"/>
              </w:rPr>
            </w:pPr>
          </w:p>
        </w:tc>
        <w:tc>
          <w:tcPr>
            <w:tcW w:w="3440" w:type="dxa"/>
            <w:vAlign w:val="bottom"/>
          </w:tcPr>
          <w:p>
            <w:pPr>
              <w:spacing w:after="0"/>
              <w:rPr>
                <w:sz w:val="18"/>
                <w:szCs w:val="18"/>
                <w:color w:val="auto"/>
              </w:rPr>
            </w:pPr>
          </w:p>
        </w:tc>
        <w:tc>
          <w:tcPr>
            <w:tcW w:w="23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60" w:type="dxa"/>
            <w:vAlign w:val="bottom"/>
          </w:tcPr>
          <w:p>
            <w:pPr>
              <w:jc w:val="right"/>
              <w:ind w:right="270"/>
              <w:spacing w:after="0"/>
              <w:rPr>
                <w:sz w:val="20"/>
                <w:szCs w:val="20"/>
                <w:color w:val="auto"/>
              </w:rPr>
            </w:pPr>
            <w:r>
              <w:rPr>
                <w:rFonts w:ascii="Arial" w:cs="Arial" w:eastAsia="Arial" w:hAnsi="Arial"/>
                <w:sz w:val="18"/>
                <w:szCs w:val="18"/>
                <w:b w:val="1"/>
                <w:bCs w:val="1"/>
                <w:color w:val="auto"/>
              </w:rPr>
              <w:t>February 24,</w:t>
            </w:r>
          </w:p>
        </w:tc>
        <w:tc>
          <w:tcPr>
            <w:tcW w:w="260" w:type="dxa"/>
            <w:vAlign w:val="bottom"/>
          </w:tcPr>
          <w:p>
            <w:pPr>
              <w:spacing w:after="0"/>
              <w:rPr>
                <w:sz w:val="18"/>
                <w:szCs w:val="18"/>
                <w:color w:val="auto"/>
              </w:rPr>
            </w:pPr>
          </w:p>
        </w:tc>
        <w:tc>
          <w:tcPr>
            <w:tcW w:w="1460" w:type="dxa"/>
            <w:vAlign w:val="bottom"/>
            <w:gridSpan w:val="2"/>
          </w:tcPr>
          <w:p>
            <w:pPr>
              <w:ind w:left="60"/>
              <w:spacing w:after="0"/>
              <w:rPr>
                <w:sz w:val="20"/>
                <w:szCs w:val="20"/>
                <w:color w:val="auto"/>
              </w:rPr>
            </w:pPr>
            <w:r>
              <w:rPr>
                <w:rFonts w:ascii="Arial" w:cs="Arial" w:eastAsia="Arial" w:hAnsi="Arial"/>
                <w:sz w:val="18"/>
                <w:szCs w:val="18"/>
                <w:b w:val="1"/>
                <w:bCs w:val="1"/>
                <w:color w:val="auto"/>
              </w:rPr>
              <w:t>November 25,</w:t>
            </w:r>
          </w:p>
        </w:tc>
        <w:tc>
          <w:tcPr>
            <w:tcW w:w="1140" w:type="dxa"/>
            <w:vAlign w:val="bottom"/>
          </w:tcPr>
          <w:p>
            <w:pPr>
              <w:spacing w:after="0"/>
              <w:rPr>
                <w:sz w:val="18"/>
                <w:szCs w:val="18"/>
                <w:color w:val="auto"/>
              </w:rPr>
            </w:pPr>
          </w:p>
        </w:tc>
      </w:tr>
      <w:tr>
        <w:trPr>
          <w:trHeight w:val="234"/>
        </w:trPr>
        <w:tc>
          <w:tcPr>
            <w:tcW w:w="1160" w:type="dxa"/>
            <w:vAlign w:val="bottom"/>
          </w:tcPr>
          <w:p>
            <w:pPr>
              <w:spacing w:after="0"/>
              <w:rPr>
                <w:sz w:val="20"/>
                <w:szCs w:val="20"/>
                <w:color w:val="auto"/>
              </w:rPr>
            </w:pPr>
          </w:p>
        </w:tc>
        <w:tc>
          <w:tcPr>
            <w:tcW w:w="3440" w:type="dxa"/>
            <w:vAlign w:val="bottom"/>
          </w:tcPr>
          <w:p>
            <w:pPr>
              <w:spacing w:after="0"/>
              <w:rPr>
                <w:sz w:val="20"/>
                <w:szCs w:val="20"/>
                <w:color w:val="auto"/>
              </w:rPr>
            </w:pPr>
          </w:p>
        </w:tc>
        <w:tc>
          <w:tcPr>
            <w:tcW w:w="232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460" w:type="dxa"/>
            <w:vAlign w:val="bottom"/>
            <w:tcBorders>
              <w:bottom w:val="single" w:sz="8" w:color="auto"/>
            </w:tcBorders>
          </w:tcPr>
          <w:p>
            <w:pPr>
              <w:jc w:val="right"/>
              <w:ind w:right="590"/>
              <w:spacing w:after="0"/>
              <w:rPr>
                <w:sz w:val="20"/>
                <w:szCs w:val="20"/>
                <w:color w:val="auto"/>
              </w:rPr>
            </w:pPr>
            <w:r>
              <w:rPr>
                <w:rFonts w:ascii="Arial" w:cs="Arial" w:eastAsia="Arial" w:hAnsi="Arial"/>
                <w:sz w:val="18"/>
                <w:szCs w:val="18"/>
                <w:b w:val="1"/>
                <w:bCs w:val="1"/>
                <w:color w:val="auto"/>
              </w:rPr>
              <w:t>2018</w:t>
            </w:r>
          </w:p>
        </w:tc>
        <w:tc>
          <w:tcPr>
            <w:tcW w:w="260" w:type="dxa"/>
            <w:vAlign w:val="bottom"/>
            <w:tcBorders>
              <w:bottom w:val="single" w:sz="8" w:color="auto"/>
            </w:tcBorders>
          </w:tcPr>
          <w:p>
            <w:pPr>
              <w:spacing w:after="0"/>
              <w:rPr>
                <w:sz w:val="20"/>
                <w:szCs w:val="20"/>
                <w:color w:val="auto"/>
              </w:rPr>
            </w:pPr>
          </w:p>
        </w:tc>
        <w:tc>
          <w:tcPr>
            <w:tcW w:w="1380" w:type="dxa"/>
            <w:vAlign w:val="bottom"/>
            <w:tcBorders>
              <w:bottom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2017</w:t>
            </w:r>
          </w:p>
        </w:tc>
        <w:tc>
          <w:tcPr>
            <w:tcW w:w="80" w:type="dxa"/>
            <w:vAlign w:val="bottom"/>
          </w:tcPr>
          <w:p>
            <w:pPr>
              <w:spacing w:after="0"/>
              <w:rPr>
                <w:sz w:val="20"/>
                <w:szCs w:val="20"/>
                <w:color w:val="auto"/>
              </w:rPr>
            </w:pPr>
          </w:p>
        </w:tc>
        <w:tc>
          <w:tcPr>
            <w:tcW w:w="1140" w:type="dxa"/>
            <w:vAlign w:val="bottom"/>
          </w:tcPr>
          <w:p>
            <w:pPr>
              <w:spacing w:after="0"/>
              <w:rPr>
                <w:sz w:val="20"/>
                <w:szCs w:val="20"/>
                <w:color w:val="auto"/>
              </w:rPr>
            </w:pPr>
          </w:p>
        </w:tc>
      </w:tr>
      <w:tr>
        <w:trPr>
          <w:trHeight w:val="209"/>
        </w:trPr>
        <w:tc>
          <w:tcPr>
            <w:tcW w:w="1160" w:type="dxa"/>
            <w:vAlign w:val="bottom"/>
          </w:tcPr>
          <w:p>
            <w:pPr>
              <w:spacing w:after="0"/>
              <w:rPr>
                <w:sz w:val="18"/>
                <w:szCs w:val="18"/>
                <w:color w:val="auto"/>
              </w:rPr>
            </w:pPr>
          </w:p>
        </w:tc>
        <w:tc>
          <w:tcPr>
            <w:tcW w:w="3440" w:type="dxa"/>
            <w:vAlign w:val="bottom"/>
            <w:shd w:val="clear" w:color="auto" w:fill="CCEEFF"/>
          </w:tcPr>
          <w:p>
            <w:pPr>
              <w:spacing w:after="0"/>
              <w:rPr>
                <w:sz w:val="20"/>
                <w:szCs w:val="20"/>
                <w:color w:val="auto"/>
              </w:rPr>
            </w:pPr>
            <w:r>
              <w:rPr>
                <w:rFonts w:ascii="Arial" w:cs="Arial" w:eastAsia="Arial" w:hAnsi="Arial"/>
                <w:sz w:val="18"/>
                <w:szCs w:val="18"/>
                <w:color w:val="auto"/>
              </w:rPr>
              <w:t>Accrued compensation and benefits</w:t>
            </w:r>
          </w:p>
        </w:tc>
        <w:tc>
          <w:tcPr>
            <w:tcW w:w="25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778</w:t>
            </w:r>
          </w:p>
        </w:tc>
        <w:tc>
          <w:tcPr>
            <w:tcW w:w="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778</w:t>
            </w:r>
          </w:p>
        </w:tc>
        <w:tc>
          <w:tcPr>
            <w:tcW w:w="80" w:type="dxa"/>
            <w:vAlign w:val="bottom"/>
            <w:shd w:val="clear" w:color="auto" w:fill="CCEEFF"/>
          </w:tcPr>
          <w:p>
            <w:pPr>
              <w:spacing w:after="0"/>
              <w:rPr>
                <w:sz w:val="18"/>
                <w:szCs w:val="18"/>
                <w:color w:val="auto"/>
              </w:rPr>
            </w:pPr>
          </w:p>
        </w:tc>
        <w:tc>
          <w:tcPr>
            <w:tcW w:w="1140" w:type="dxa"/>
            <w:vAlign w:val="bottom"/>
          </w:tcPr>
          <w:p>
            <w:pPr>
              <w:spacing w:after="0"/>
              <w:rPr>
                <w:sz w:val="18"/>
                <w:szCs w:val="18"/>
                <w:color w:val="auto"/>
              </w:rPr>
            </w:pPr>
          </w:p>
        </w:tc>
      </w:tr>
      <w:tr>
        <w:trPr>
          <w:trHeight w:val="215"/>
        </w:trPr>
        <w:tc>
          <w:tcPr>
            <w:tcW w:w="1160" w:type="dxa"/>
            <w:vAlign w:val="bottom"/>
          </w:tcPr>
          <w:p>
            <w:pPr>
              <w:spacing w:after="0"/>
              <w:rPr>
                <w:sz w:val="18"/>
                <w:szCs w:val="18"/>
                <w:color w:val="auto"/>
              </w:rPr>
            </w:pPr>
          </w:p>
        </w:tc>
        <w:tc>
          <w:tcPr>
            <w:tcW w:w="3440" w:type="dxa"/>
            <w:vAlign w:val="bottom"/>
          </w:tcPr>
          <w:p>
            <w:pPr>
              <w:spacing w:after="0"/>
              <w:rPr>
                <w:sz w:val="20"/>
                <w:szCs w:val="20"/>
                <w:color w:val="auto"/>
              </w:rPr>
            </w:pPr>
            <w:r>
              <w:rPr>
                <w:rFonts w:ascii="Arial" w:cs="Arial" w:eastAsia="Arial" w:hAnsi="Arial"/>
                <w:sz w:val="18"/>
                <w:szCs w:val="18"/>
                <w:color w:val="auto"/>
              </w:rPr>
              <w:t>Post employment benefit obligations</w:t>
            </w:r>
          </w:p>
        </w:tc>
        <w:tc>
          <w:tcPr>
            <w:tcW w:w="232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4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11,564</w:t>
            </w:r>
          </w:p>
        </w:tc>
        <w:tc>
          <w:tcPr>
            <w:tcW w:w="260" w:type="dxa"/>
            <w:vAlign w:val="bottom"/>
            <w:tcBorders>
              <w:bottom w:val="single" w:sz="8" w:color="auto"/>
            </w:tcBorders>
          </w:tcPr>
          <w:p>
            <w:pPr>
              <w:spacing w:after="0"/>
              <w:rPr>
                <w:sz w:val="18"/>
                <w:szCs w:val="18"/>
                <w:color w:val="auto"/>
              </w:rPr>
            </w:pPr>
          </w:p>
        </w:tc>
        <w:tc>
          <w:tcPr>
            <w:tcW w:w="13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11,544</w:t>
            </w:r>
          </w:p>
        </w:tc>
        <w:tc>
          <w:tcPr>
            <w:tcW w:w="80" w:type="dxa"/>
            <w:vAlign w:val="bottom"/>
          </w:tcPr>
          <w:p>
            <w:pPr>
              <w:spacing w:after="0"/>
              <w:rPr>
                <w:sz w:val="18"/>
                <w:szCs w:val="18"/>
                <w:color w:val="auto"/>
              </w:rPr>
            </w:pPr>
          </w:p>
        </w:tc>
        <w:tc>
          <w:tcPr>
            <w:tcW w:w="1140" w:type="dxa"/>
            <w:vAlign w:val="bottom"/>
          </w:tcPr>
          <w:p>
            <w:pPr>
              <w:spacing w:after="0"/>
              <w:rPr>
                <w:sz w:val="18"/>
                <w:szCs w:val="18"/>
                <w:color w:val="auto"/>
              </w:rPr>
            </w:pPr>
          </w:p>
        </w:tc>
      </w:tr>
      <w:tr>
        <w:trPr>
          <w:trHeight w:val="209"/>
        </w:trPr>
        <w:tc>
          <w:tcPr>
            <w:tcW w:w="1160" w:type="dxa"/>
            <w:vAlign w:val="bottom"/>
          </w:tcPr>
          <w:p>
            <w:pPr>
              <w:spacing w:after="0"/>
              <w:rPr>
                <w:sz w:val="18"/>
                <w:szCs w:val="18"/>
                <w:color w:val="auto"/>
              </w:rPr>
            </w:pPr>
          </w:p>
        </w:tc>
        <w:tc>
          <w:tcPr>
            <w:tcW w:w="3440" w:type="dxa"/>
            <w:vAlign w:val="bottom"/>
            <w:shd w:val="clear" w:color="auto" w:fill="CCEEFF"/>
          </w:tcPr>
          <w:p>
            <w:pPr>
              <w:spacing w:after="0"/>
              <w:rPr>
                <w:sz w:val="18"/>
                <w:szCs w:val="18"/>
                <w:color w:val="auto"/>
              </w:rPr>
            </w:pPr>
          </w:p>
        </w:tc>
        <w:tc>
          <w:tcPr>
            <w:tcW w:w="23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40" w:type="dxa"/>
            <w:vAlign w:val="bottom"/>
          </w:tcPr>
          <w:p>
            <w:pPr>
              <w:spacing w:after="0"/>
              <w:rPr>
                <w:sz w:val="18"/>
                <w:szCs w:val="18"/>
                <w:color w:val="auto"/>
              </w:rPr>
            </w:pPr>
          </w:p>
        </w:tc>
      </w:tr>
      <w:tr>
        <w:trPr>
          <w:trHeight w:val="215"/>
        </w:trPr>
        <w:tc>
          <w:tcPr>
            <w:tcW w:w="4600" w:type="dxa"/>
            <w:vAlign w:val="bottom"/>
            <w:gridSpan w:val="2"/>
          </w:tcPr>
          <w:p>
            <w:pPr>
              <w:ind w:left="1140"/>
              <w:spacing w:after="0"/>
              <w:rPr>
                <w:sz w:val="20"/>
                <w:szCs w:val="20"/>
                <w:color w:val="auto"/>
              </w:rPr>
            </w:pPr>
            <w:r>
              <w:rPr>
                <w:rFonts w:ascii="Arial" w:cs="Arial" w:eastAsia="Arial" w:hAnsi="Arial"/>
                <w:sz w:val="18"/>
                <w:szCs w:val="18"/>
                <w:color w:val="auto"/>
              </w:rPr>
              <w:t>Total pension liability</w:t>
            </w:r>
          </w:p>
        </w:tc>
        <w:tc>
          <w:tcPr>
            <w:tcW w:w="25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460" w:type="dxa"/>
            <w:vAlign w:val="bottom"/>
          </w:tcPr>
          <w:p>
            <w:pPr>
              <w:jc w:val="right"/>
              <w:spacing w:after="0"/>
              <w:rPr>
                <w:sz w:val="20"/>
                <w:szCs w:val="20"/>
                <w:color w:val="auto"/>
              </w:rPr>
            </w:pPr>
            <w:r>
              <w:rPr>
                <w:rFonts w:ascii="Arial" w:cs="Arial" w:eastAsia="Arial" w:hAnsi="Arial"/>
                <w:sz w:val="18"/>
                <w:szCs w:val="18"/>
                <w:color w:val="auto"/>
              </w:rPr>
              <w:t>12,342</w:t>
            </w:r>
          </w:p>
        </w:tc>
        <w:tc>
          <w:tcPr>
            <w:tcW w:w="260" w:type="dxa"/>
            <w:vAlign w:val="bottom"/>
          </w:tcPr>
          <w:p>
            <w:pPr>
              <w:jc w:val="right"/>
              <w:spacing w:after="0"/>
              <w:rPr>
                <w:sz w:val="20"/>
                <w:szCs w:val="20"/>
                <w:color w:val="auto"/>
              </w:rPr>
            </w:pPr>
            <w:r>
              <w:rPr>
                <w:rFonts w:ascii="Arial" w:cs="Arial" w:eastAsia="Arial" w:hAnsi="Arial"/>
                <w:sz w:val="18"/>
                <w:szCs w:val="18"/>
                <w:color w:val="auto"/>
              </w:rPr>
              <w:t>$</w:t>
            </w:r>
          </w:p>
        </w:tc>
        <w:tc>
          <w:tcPr>
            <w:tcW w:w="1380" w:type="dxa"/>
            <w:vAlign w:val="bottom"/>
          </w:tcPr>
          <w:p>
            <w:pPr>
              <w:jc w:val="right"/>
              <w:spacing w:after="0"/>
              <w:rPr>
                <w:sz w:val="20"/>
                <w:szCs w:val="20"/>
                <w:color w:val="auto"/>
              </w:rPr>
            </w:pPr>
            <w:r>
              <w:rPr>
                <w:rFonts w:ascii="Arial" w:cs="Arial" w:eastAsia="Arial" w:hAnsi="Arial"/>
                <w:sz w:val="18"/>
                <w:szCs w:val="18"/>
                <w:color w:val="auto"/>
              </w:rPr>
              <w:t>12,322</w:t>
            </w:r>
          </w:p>
        </w:tc>
        <w:tc>
          <w:tcPr>
            <w:tcW w:w="80" w:type="dxa"/>
            <w:vAlign w:val="bottom"/>
          </w:tcPr>
          <w:p>
            <w:pPr>
              <w:spacing w:after="0"/>
              <w:rPr>
                <w:sz w:val="18"/>
                <w:szCs w:val="18"/>
                <w:color w:val="auto"/>
              </w:rPr>
            </w:pPr>
          </w:p>
        </w:tc>
        <w:tc>
          <w:tcPr>
            <w:tcW w:w="1140" w:type="dxa"/>
            <w:vAlign w:val="bottom"/>
          </w:tcPr>
          <w:p>
            <w:pPr>
              <w:spacing w:after="0"/>
              <w:rPr>
                <w:sz w:val="18"/>
                <w:szCs w:val="18"/>
                <w:color w:val="auto"/>
              </w:rPr>
            </w:pPr>
          </w:p>
        </w:tc>
      </w:tr>
      <w:tr>
        <w:trPr>
          <w:trHeight w:val="20"/>
        </w:trPr>
        <w:tc>
          <w:tcPr>
            <w:tcW w:w="1160" w:type="dxa"/>
            <w:vAlign w:val="bottom"/>
          </w:tcPr>
          <w:p>
            <w:pPr>
              <w:spacing w:after="0" w:line="20" w:lineRule="exact"/>
              <w:rPr>
                <w:sz w:val="1"/>
                <w:szCs w:val="1"/>
                <w:color w:val="auto"/>
              </w:rPr>
            </w:pPr>
          </w:p>
        </w:tc>
        <w:tc>
          <w:tcPr>
            <w:tcW w:w="3440" w:type="dxa"/>
            <w:vAlign w:val="bottom"/>
          </w:tcPr>
          <w:p>
            <w:pPr>
              <w:spacing w:after="0" w:line="20" w:lineRule="exact"/>
              <w:rPr>
                <w:sz w:val="1"/>
                <w:szCs w:val="1"/>
                <w:color w:val="auto"/>
              </w:rPr>
            </w:pPr>
          </w:p>
        </w:tc>
        <w:tc>
          <w:tcPr>
            <w:tcW w:w="23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3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r>
      <w:tr>
        <w:trPr>
          <w:trHeight w:val="411"/>
        </w:trPr>
        <w:tc>
          <w:tcPr>
            <w:tcW w:w="1160" w:type="dxa"/>
            <w:vAlign w:val="bottom"/>
          </w:tcPr>
          <w:p>
            <w:pPr>
              <w:spacing w:after="0"/>
              <w:rPr>
                <w:sz w:val="24"/>
                <w:szCs w:val="24"/>
                <w:color w:val="auto"/>
              </w:rPr>
            </w:pPr>
          </w:p>
        </w:tc>
        <w:tc>
          <w:tcPr>
            <w:tcW w:w="3440" w:type="dxa"/>
            <w:vAlign w:val="bottom"/>
          </w:tcPr>
          <w:p>
            <w:pPr>
              <w:spacing w:after="0"/>
              <w:rPr>
                <w:sz w:val="24"/>
                <w:szCs w:val="24"/>
                <w:color w:val="auto"/>
              </w:rPr>
            </w:pPr>
          </w:p>
        </w:tc>
        <w:tc>
          <w:tcPr>
            <w:tcW w:w="2500" w:type="dxa"/>
            <w:vAlign w:val="bottom"/>
            <w:gridSpan w:val="2"/>
          </w:tcPr>
          <w:p>
            <w:pPr>
              <w:jc w:val="right"/>
              <w:ind w:right="1080"/>
              <w:spacing w:after="0"/>
              <w:rPr>
                <w:sz w:val="20"/>
                <w:szCs w:val="20"/>
                <w:color w:val="auto"/>
              </w:rPr>
            </w:pPr>
            <w:r>
              <w:rPr>
                <w:rFonts w:ascii="Arial" w:cs="Arial" w:eastAsia="Arial" w:hAnsi="Arial"/>
                <w:sz w:val="18"/>
                <w:szCs w:val="18"/>
                <w:color w:val="auto"/>
              </w:rPr>
              <w:t>15 of 39</w:t>
            </w:r>
          </w:p>
        </w:tc>
        <w:tc>
          <w:tcPr>
            <w:tcW w:w="14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140" w:type="dxa"/>
            <w:vAlign w:val="bottom"/>
          </w:tcPr>
          <w:p>
            <w:pPr>
              <w:spacing w:after="0"/>
              <w:rPr>
                <w:sz w:val="24"/>
                <w:szCs w:val="24"/>
                <w:color w:val="auto"/>
              </w:rPr>
            </w:pPr>
          </w:p>
        </w:tc>
      </w:tr>
      <w:tr>
        <w:trPr>
          <w:trHeight w:val="114"/>
        </w:trPr>
        <w:tc>
          <w:tcPr>
            <w:tcW w:w="1160" w:type="dxa"/>
            <w:vAlign w:val="bottom"/>
            <w:tcBorders>
              <w:bottom w:val="single" w:sz="8" w:color="auto"/>
            </w:tcBorders>
          </w:tcPr>
          <w:p>
            <w:pPr>
              <w:spacing w:after="0"/>
              <w:rPr>
                <w:sz w:val="9"/>
                <w:szCs w:val="9"/>
                <w:color w:val="auto"/>
              </w:rPr>
            </w:pPr>
          </w:p>
        </w:tc>
        <w:tc>
          <w:tcPr>
            <w:tcW w:w="3440" w:type="dxa"/>
            <w:vAlign w:val="bottom"/>
            <w:tcBorders>
              <w:bottom w:val="single" w:sz="8" w:color="auto"/>
            </w:tcBorders>
          </w:tcPr>
          <w:p>
            <w:pPr>
              <w:spacing w:after="0"/>
              <w:rPr>
                <w:sz w:val="9"/>
                <w:szCs w:val="9"/>
                <w:color w:val="auto"/>
              </w:rPr>
            </w:pPr>
          </w:p>
        </w:tc>
        <w:tc>
          <w:tcPr>
            <w:tcW w:w="2320" w:type="dxa"/>
            <w:vAlign w:val="bottom"/>
            <w:tcBorders>
              <w:bottom w:val="single" w:sz="8" w:color="auto"/>
            </w:tcBorders>
          </w:tcPr>
          <w:p>
            <w:pPr>
              <w:spacing w:after="0"/>
              <w:rPr>
                <w:sz w:val="9"/>
                <w:szCs w:val="9"/>
                <w:color w:val="auto"/>
              </w:rPr>
            </w:pPr>
          </w:p>
        </w:tc>
        <w:tc>
          <w:tcPr>
            <w:tcW w:w="180" w:type="dxa"/>
            <w:vAlign w:val="bottom"/>
            <w:tcBorders>
              <w:bottom w:val="single" w:sz="8" w:color="auto"/>
            </w:tcBorders>
          </w:tcPr>
          <w:p>
            <w:pPr>
              <w:spacing w:after="0"/>
              <w:rPr>
                <w:sz w:val="9"/>
                <w:szCs w:val="9"/>
                <w:color w:val="auto"/>
              </w:rPr>
            </w:pPr>
          </w:p>
        </w:tc>
        <w:tc>
          <w:tcPr>
            <w:tcW w:w="1460" w:type="dxa"/>
            <w:vAlign w:val="bottom"/>
            <w:tcBorders>
              <w:bottom w:val="single" w:sz="8" w:color="auto"/>
            </w:tcBorders>
          </w:tcPr>
          <w:p>
            <w:pPr>
              <w:spacing w:after="0"/>
              <w:rPr>
                <w:sz w:val="9"/>
                <w:szCs w:val="9"/>
                <w:color w:val="auto"/>
              </w:rPr>
            </w:pPr>
          </w:p>
        </w:tc>
        <w:tc>
          <w:tcPr>
            <w:tcW w:w="260" w:type="dxa"/>
            <w:vAlign w:val="bottom"/>
            <w:tcBorders>
              <w:bottom w:val="single" w:sz="8" w:color="auto"/>
            </w:tcBorders>
          </w:tcPr>
          <w:p>
            <w:pPr>
              <w:spacing w:after="0"/>
              <w:rPr>
                <w:sz w:val="9"/>
                <w:szCs w:val="9"/>
                <w:color w:val="auto"/>
              </w:rPr>
            </w:pPr>
          </w:p>
        </w:tc>
        <w:tc>
          <w:tcPr>
            <w:tcW w:w="1380" w:type="dxa"/>
            <w:vAlign w:val="bottom"/>
            <w:tcBorders>
              <w:bottom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1140" w:type="dxa"/>
            <w:vAlign w:val="bottom"/>
            <w:tcBorders>
              <w:bottom w:val="single" w:sz="8" w:color="auto"/>
            </w:tcBorders>
          </w:tcPr>
          <w:p>
            <w:pPr>
              <w:spacing w:after="0"/>
              <w:rPr>
                <w:sz w:val="9"/>
                <w:szCs w:val="9"/>
                <w:color w:val="auto"/>
              </w:rPr>
            </w:pPr>
          </w:p>
        </w:tc>
      </w:tr>
    </w:tbl>
    <w:p>
      <w:pPr>
        <w:sectPr>
          <w:pgSz w:w="11900" w:h="16838" w:orient="portrait"/>
          <w:cols w:equalWidth="0" w:num="1">
            <w:col w:w="11420"/>
          </w:cols>
          <w:pgMar w:left="240" w:top="583" w:right="239" w:bottom="1440" w:gutter="0" w:footer="0" w:header="0"/>
        </w:sectPr>
      </w:pPr>
    </w:p>
    <w:bookmarkStart w:id="15" w:name="page16"/>
    <w:bookmarkEnd w:id="15"/>
    <w:p>
      <w:pPr>
        <w:jc w:val="center"/>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NOTES TO CONDENSED CONSOLIDATED FINANCIAL STATEMENTS-UNAUDITED</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FEBRUARY 24, 2018</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09" w:lineRule="exact"/>
        <w:rPr>
          <w:sz w:val="20"/>
          <w:szCs w:val="20"/>
          <w:color w:val="auto"/>
        </w:rPr>
      </w:pPr>
    </w:p>
    <w:p>
      <w:pPr>
        <w:spacing w:after="0"/>
        <w:rPr>
          <w:sz w:val="20"/>
          <w:szCs w:val="20"/>
          <w:color w:val="auto"/>
        </w:rPr>
      </w:pPr>
      <w:r>
        <w:rPr>
          <w:rFonts w:ascii="Arial" w:cs="Arial" w:eastAsia="Arial" w:hAnsi="Arial"/>
          <w:sz w:val="17"/>
          <w:szCs w:val="17"/>
          <w:color w:val="auto"/>
        </w:rPr>
        <w:t>Components of net periodic pension costs for our defined benefit plans for the quarters ended February 24, 2018 and February 25, 2017 are as follows:</w:t>
      </w:r>
    </w:p>
    <w:p>
      <w:pPr>
        <w:spacing w:after="0" w:line="231" w:lineRule="exact"/>
        <w:rPr>
          <w:sz w:val="20"/>
          <w:szCs w:val="20"/>
          <w:color w:val="auto"/>
        </w:rPr>
      </w:pPr>
    </w:p>
    <w:tbl>
      <w:tblPr>
        <w:tblLayout w:type="fixed"/>
        <w:tblInd w:w="114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4200" w:type="dxa"/>
            <w:vAlign w:val="bottom"/>
          </w:tcPr>
          <w:p>
            <w:pPr>
              <w:spacing w:after="0"/>
              <w:rPr>
                <w:sz w:val="20"/>
                <w:szCs w:val="20"/>
                <w:color w:val="auto"/>
              </w:rPr>
            </w:pPr>
          </w:p>
        </w:tc>
        <w:tc>
          <w:tcPr>
            <w:tcW w:w="1560" w:type="dxa"/>
            <w:vAlign w:val="bottom"/>
          </w:tcPr>
          <w:p>
            <w:pPr>
              <w:spacing w:after="0"/>
              <w:rPr>
                <w:sz w:val="20"/>
                <w:szCs w:val="20"/>
                <w:color w:val="auto"/>
              </w:rPr>
            </w:pPr>
          </w:p>
        </w:tc>
        <w:tc>
          <w:tcPr>
            <w:tcW w:w="3000" w:type="dxa"/>
            <w:vAlign w:val="bottom"/>
            <w:tcBorders>
              <w:bottom w:val="single" w:sz="8" w:color="auto"/>
            </w:tcBorders>
            <w:gridSpan w:val="3"/>
          </w:tcPr>
          <w:p>
            <w:pPr>
              <w:jc w:val="right"/>
              <w:ind w:right="690"/>
              <w:spacing w:after="0"/>
              <w:rPr>
                <w:sz w:val="20"/>
                <w:szCs w:val="20"/>
                <w:color w:val="auto"/>
              </w:rPr>
            </w:pPr>
            <w:r>
              <w:rPr>
                <w:rFonts w:ascii="Arial" w:cs="Arial" w:eastAsia="Arial" w:hAnsi="Arial"/>
                <w:sz w:val="18"/>
                <w:szCs w:val="18"/>
                <w:b w:val="1"/>
                <w:bCs w:val="1"/>
                <w:color w:val="auto"/>
              </w:rPr>
              <w:t>Quarter Ended</w:t>
            </w:r>
          </w:p>
        </w:tc>
        <w:tc>
          <w:tcPr>
            <w:tcW w:w="280" w:type="dxa"/>
            <w:vAlign w:val="bottom"/>
            <w:tcBorders>
              <w:bottom w:val="single" w:sz="8" w:color="auto"/>
            </w:tcBorders>
          </w:tcPr>
          <w:p>
            <w:pPr>
              <w:spacing w:after="0"/>
              <w:rPr>
                <w:sz w:val="20"/>
                <w:szCs w:val="20"/>
                <w:color w:val="auto"/>
              </w:rPr>
            </w:pPr>
          </w:p>
        </w:tc>
        <w:tc>
          <w:tcPr>
            <w:tcW w:w="80" w:type="dxa"/>
            <w:vAlign w:val="bottom"/>
          </w:tcPr>
          <w:p>
            <w:pPr>
              <w:spacing w:after="0"/>
              <w:rPr>
                <w:sz w:val="20"/>
                <w:szCs w:val="20"/>
                <w:color w:val="auto"/>
              </w:rPr>
            </w:pPr>
          </w:p>
        </w:tc>
      </w:tr>
      <w:tr>
        <w:trPr>
          <w:trHeight w:val="190"/>
        </w:trPr>
        <w:tc>
          <w:tcPr>
            <w:tcW w:w="20" w:type="dxa"/>
            <w:vAlign w:val="bottom"/>
          </w:tcPr>
          <w:p>
            <w:pPr>
              <w:spacing w:after="0"/>
              <w:rPr>
                <w:sz w:val="16"/>
                <w:szCs w:val="16"/>
                <w:color w:val="auto"/>
              </w:rPr>
            </w:pPr>
          </w:p>
        </w:tc>
        <w:tc>
          <w:tcPr>
            <w:tcW w:w="4200" w:type="dxa"/>
            <w:vAlign w:val="bottom"/>
          </w:tcPr>
          <w:p>
            <w:pPr>
              <w:spacing w:after="0"/>
              <w:rPr>
                <w:sz w:val="16"/>
                <w:szCs w:val="16"/>
                <w:color w:val="auto"/>
              </w:rPr>
            </w:pPr>
          </w:p>
        </w:tc>
        <w:tc>
          <w:tcPr>
            <w:tcW w:w="1560" w:type="dxa"/>
            <w:vAlign w:val="bottom"/>
          </w:tcPr>
          <w:p>
            <w:pPr>
              <w:spacing w:after="0"/>
              <w:rPr>
                <w:sz w:val="16"/>
                <w:szCs w:val="16"/>
                <w:color w:val="auto"/>
              </w:rPr>
            </w:pPr>
          </w:p>
        </w:tc>
        <w:tc>
          <w:tcPr>
            <w:tcW w:w="1280" w:type="dxa"/>
            <w:vAlign w:val="bottom"/>
          </w:tcPr>
          <w:p>
            <w:pPr>
              <w:jc w:val="right"/>
              <w:spacing w:after="0" w:line="190" w:lineRule="exact"/>
              <w:rPr>
                <w:sz w:val="20"/>
                <w:szCs w:val="20"/>
                <w:color w:val="auto"/>
              </w:rPr>
            </w:pPr>
            <w:r>
              <w:rPr>
                <w:rFonts w:ascii="Arial" w:cs="Arial" w:eastAsia="Arial" w:hAnsi="Arial"/>
                <w:sz w:val="18"/>
                <w:szCs w:val="18"/>
                <w:b w:val="1"/>
                <w:bCs w:val="1"/>
                <w:color w:val="auto"/>
              </w:rPr>
              <w:t>February 24,</w:t>
            </w:r>
          </w:p>
        </w:tc>
        <w:tc>
          <w:tcPr>
            <w:tcW w:w="360" w:type="dxa"/>
            <w:vAlign w:val="bottom"/>
          </w:tcPr>
          <w:p>
            <w:pPr>
              <w:spacing w:after="0"/>
              <w:rPr>
                <w:sz w:val="16"/>
                <w:szCs w:val="16"/>
                <w:color w:val="auto"/>
              </w:rPr>
            </w:pPr>
          </w:p>
        </w:tc>
        <w:tc>
          <w:tcPr>
            <w:tcW w:w="1360" w:type="dxa"/>
            <w:vAlign w:val="bottom"/>
          </w:tcPr>
          <w:p>
            <w:pPr>
              <w:jc w:val="right"/>
              <w:spacing w:after="0" w:line="190" w:lineRule="exact"/>
              <w:rPr>
                <w:sz w:val="20"/>
                <w:szCs w:val="20"/>
                <w:color w:val="auto"/>
              </w:rPr>
            </w:pPr>
            <w:r>
              <w:rPr>
                <w:rFonts w:ascii="Arial" w:cs="Arial" w:eastAsia="Arial" w:hAnsi="Arial"/>
                <w:sz w:val="18"/>
                <w:szCs w:val="18"/>
                <w:b w:val="1"/>
                <w:bCs w:val="1"/>
                <w:color w:val="auto"/>
              </w:rPr>
              <w:t>February 25,</w:t>
            </w:r>
          </w:p>
        </w:tc>
        <w:tc>
          <w:tcPr>
            <w:tcW w:w="280" w:type="dxa"/>
            <w:vAlign w:val="bottom"/>
          </w:tcPr>
          <w:p>
            <w:pPr>
              <w:spacing w:after="0"/>
              <w:rPr>
                <w:sz w:val="16"/>
                <w:szCs w:val="16"/>
                <w:color w:val="auto"/>
              </w:rPr>
            </w:pPr>
          </w:p>
        </w:tc>
        <w:tc>
          <w:tcPr>
            <w:tcW w:w="80" w:type="dxa"/>
            <w:vAlign w:val="bottom"/>
          </w:tcPr>
          <w:p>
            <w:pPr>
              <w:spacing w:after="0"/>
              <w:rPr>
                <w:sz w:val="16"/>
                <w:szCs w:val="16"/>
                <w:color w:val="auto"/>
              </w:rPr>
            </w:pPr>
          </w:p>
        </w:tc>
      </w:tr>
      <w:tr>
        <w:trPr>
          <w:trHeight w:val="234"/>
        </w:trPr>
        <w:tc>
          <w:tcPr>
            <w:tcW w:w="20" w:type="dxa"/>
            <w:vAlign w:val="bottom"/>
          </w:tcPr>
          <w:p>
            <w:pPr>
              <w:spacing w:after="0"/>
              <w:rPr>
                <w:sz w:val="20"/>
                <w:szCs w:val="20"/>
                <w:color w:val="auto"/>
              </w:rPr>
            </w:pPr>
          </w:p>
        </w:tc>
        <w:tc>
          <w:tcPr>
            <w:tcW w:w="4200" w:type="dxa"/>
            <w:vAlign w:val="bottom"/>
          </w:tcPr>
          <w:p>
            <w:pPr>
              <w:spacing w:after="0"/>
              <w:rPr>
                <w:sz w:val="20"/>
                <w:szCs w:val="20"/>
                <w:color w:val="auto"/>
              </w:rPr>
            </w:pPr>
          </w:p>
        </w:tc>
        <w:tc>
          <w:tcPr>
            <w:tcW w:w="1560" w:type="dxa"/>
            <w:vAlign w:val="bottom"/>
          </w:tcPr>
          <w:p>
            <w:pPr>
              <w:spacing w:after="0"/>
              <w:rPr>
                <w:sz w:val="20"/>
                <w:szCs w:val="20"/>
                <w:color w:val="auto"/>
              </w:rPr>
            </w:pPr>
          </w:p>
        </w:tc>
        <w:tc>
          <w:tcPr>
            <w:tcW w:w="128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b w:val="1"/>
                <w:bCs w:val="1"/>
                <w:color w:val="auto"/>
              </w:rPr>
              <w:t>2018</w:t>
            </w:r>
          </w:p>
        </w:tc>
        <w:tc>
          <w:tcPr>
            <w:tcW w:w="360" w:type="dxa"/>
            <w:vAlign w:val="bottom"/>
            <w:tcBorders>
              <w:bottom w:val="single" w:sz="8" w:color="auto"/>
            </w:tcBorders>
          </w:tcPr>
          <w:p>
            <w:pPr>
              <w:spacing w:after="0"/>
              <w:rPr>
                <w:sz w:val="20"/>
                <w:szCs w:val="20"/>
                <w:color w:val="auto"/>
              </w:rPr>
            </w:pPr>
          </w:p>
        </w:tc>
        <w:tc>
          <w:tcPr>
            <w:tcW w:w="136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b w:val="1"/>
                <w:bCs w:val="1"/>
                <w:color w:val="auto"/>
              </w:rPr>
              <w:t>2017</w:t>
            </w:r>
          </w:p>
        </w:tc>
        <w:tc>
          <w:tcPr>
            <w:tcW w:w="280" w:type="dxa"/>
            <w:vAlign w:val="bottom"/>
            <w:tcBorders>
              <w:bottom w:val="single" w:sz="8" w:color="auto"/>
            </w:tcBorders>
          </w:tcPr>
          <w:p>
            <w:pPr>
              <w:spacing w:after="0"/>
              <w:rPr>
                <w:sz w:val="20"/>
                <w:szCs w:val="20"/>
                <w:color w:val="auto"/>
              </w:rPr>
            </w:pPr>
          </w:p>
        </w:tc>
        <w:tc>
          <w:tcPr>
            <w:tcW w:w="80" w:type="dxa"/>
            <w:vAlign w:val="bottom"/>
          </w:tcPr>
          <w:p>
            <w:pPr>
              <w:spacing w:after="0"/>
              <w:rPr>
                <w:sz w:val="20"/>
                <w:szCs w:val="20"/>
                <w:color w:val="auto"/>
              </w:rPr>
            </w:pPr>
          </w:p>
        </w:tc>
      </w:tr>
      <w:tr>
        <w:trPr>
          <w:trHeight w:val="209"/>
        </w:trPr>
        <w:tc>
          <w:tcPr>
            <w:tcW w:w="20" w:type="dxa"/>
            <w:vAlign w:val="bottom"/>
          </w:tcPr>
          <w:p>
            <w:pPr>
              <w:spacing w:after="0"/>
              <w:rPr>
                <w:sz w:val="18"/>
                <w:szCs w:val="18"/>
                <w:color w:val="auto"/>
              </w:rPr>
            </w:pPr>
          </w:p>
        </w:tc>
        <w:tc>
          <w:tcPr>
            <w:tcW w:w="4200" w:type="dxa"/>
            <w:vAlign w:val="bottom"/>
            <w:shd w:val="clear" w:color="auto" w:fill="CCEEFF"/>
          </w:tcPr>
          <w:p>
            <w:pPr>
              <w:spacing w:after="0"/>
              <w:rPr>
                <w:sz w:val="20"/>
                <w:szCs w:val="20"/>
                <w:color w:val="auto"/>
              </w:rPr>
            </w:pPr>
            <w:r>
              <w:rPr>
                <w:rFonts w:ascii="Arial" w:cs="Arial" w:eastAsia="Arial" w:hAnsi="Arial"/>
                <w:sz w:val="18"/>
                <w:szCs w:val="18"/>
                <w:color w:val="auto"/>
              </w:rPr>
              <w:t>Service cost</w:t>
            </w:r>
          </w:p>
        </w:tc>
        <w:tc>
          <w:tcPr>
            <w:tcW w:w="2840" w:type="dxa"/>
            <w:vAlign w:val="bottom"/>
            <w:gridSpan w:val="2"/>
            <w:shd w:val="clear" w:color="auto" w:fill="CCEEFF"/>
          </w:tcPr>
          <w:p>
            <w:pPr>
              <w:jc w:val="right"/>
              <w:ind w:right="1110"/>
              <w:spacing w:after="0"/>
              <w:rPr>
                <w:sz w:val="20"/>
                <w:szCs w:val="20"/>
                <w:color w:val="auto"/>
              </w:rPr>
            </w:pPr>
            <w:r>
              <w:rPr>
                <w:rFonts w:ascii="Arial" w:cs="Arial" w:eastAsia="Arial" w:hAnsi="Arial"/>
                <w:sz w:val="18"/>
                <w:szCs w:val="18"/>
                <w:color w:val="auto"/>
              </w:rPr>
              <w:t>$</w:t>
            </w:r>
          </w:p>
        </w:tc>
        <w:tc>
          <w:tcPr>
            <w:tcW w:w="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w:t>
            </w:r>
          </w:p>
        </w:tc>
        <w:tc>
          <w:tcPr>
            <w:tcW w:w="1360" w:type="dxa"/>
            <w:vAlign w:val="bottom"/>
            <w:shd w:val="clear" w:color="auto" w:fill="CCEEFF"/>
          </w:tcPr>
          <w:p>
            <w:pPr>
              <w:jc w:val="right"/>
              <w:ind w:right="109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w:t>
            </w:r>
          </w:p>
        </w:tc>
        <w:tc>
          <w:tcPr>
            <w:tcW w:w="80" w:type="dxa"/>
            <w:vAlign w:val="bottom"/>
            <w:shd w:val="clear" w:color="auto" w:fill="CCEEFF"/>
          </w:tcPr>
          <w:p>
            <w:pPr>
              <w:spacing w:after="0"/>
              <w:rPr>
                <w:sz w:val="18"/>
                <w:szCs w:val="18"/>
                <w:color w:val="auto"/>
              </w:rPr>
            </w:pPr>
          </w:p>
        </w:tc>
      </w:tr>
      <w:tr>
        <w:trPr>
          <w:trHeight w:val="215"/>
        </w:trPr>
        <w:tc>
          <w:tcPr>
            <w:tcW w:w="20" w:type="dxa"/>
            <w:vAlign w:val="bottom"/>
          </w:tcPr>
          <w:p>
            <w:pPr>
              <w:spacing w:after="0"/>
              <w:rPr>
                <w:sz w:val="18"/>
                <w:szCs w:val="18"/>
                <w:color w:val="auto"/>
              </w:rPr>
            </w:pPr>
          </w:p>
        </w:tc>
        <w:tc>
          <w:tcPr>
            <w:tcW w:w="4200" w:type="dxa"/>
            <w:vAlign w:val="bottom"/>
          </w:tcPr>
          <w:p>
            <w:pPr>
              <w:spacing w:after="0"/>
              <w:rPr>
                <w:sz w:val="20"/>
                <w:szCs w:val="20"/>
                <w:color w:val="auto"/>
              </w:rPr>
            </w:pPr>
            <w:r>
              <w:rPr>
                <w:rFonts w:ascii="Arial" w:cs="Arial" w:eastAsia="Arial" w:hAnsi="Arial"/>
                <w:sz w:val="18"/>
                <w:szCs w:val="18"/>
                <w:color w:val="auto"/>
              </w:rPr>
              <w:t>Interest cost</w:t>
            </w:r>
          </w:p>
        </w:tc>
        <w:tc>
          <w:tcPr>
            <w:tcW w:w="156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360" w:type="dxa"/>
            <w:vAlign w:val="bottom"/>
          </w:tcPr>
          <w:p>
            <w:pPr>
              <w:jc w:val="right"/>
              <w:spacing w:after="0"/>
              <w:rPr>
                <w:sz w:val="20"/>
                <w:szCs w:val="20"/>
                <w:color w:val="auto"/>
              </w:rPr>
            </w:pPr>
            <w:r>
              <w:rPr>
                <w:rFonts w:ascii="Arial" w:cs="Arial" w:eastAsia="Arial" w:hAnsi="Arial"/>
                <w:sz w:val="18"/>
                <w:szCs w:val="18"/>
                <w:color w:val="auto"/>
                <w:w w:val="86"/>
              </w:rPr>
              <w:t>105</w:t>
            </w:r>
          </w:p>
        </w:tc>
        <w:tc>
          <w:tcPr>
            <w:tcW w:w="1360" w:type="dxa"/>
            <w:vAlign w:val="bottom"/>
          </w:tcPr>
          <w:p>
            <w:pPr>
              <w:spacing w:after="0"/>
              <w:rPr>
                <w:sz w:val="18"/>
                <w:szCs w:val="18"/>
                <w:color w:val="auto"/>
              </w:rPr>
            </w:pPr>
          </w:p>
        </w:tc>
        <w:tc>
          <w:tcPr>
            <w:tcW w:w="280" w:type="dxa"/>
            <w:vAlign w:val="bottom"/>
          </w:tcPr>
          <w:p>
            <w:pPr>
              <w:jc w:val="right"/>
              <w:spacing w:after="0"/>
              <w:rPr>
                <w:sz w:val="20"/>
                <w:szCs w:val="20"/>
                <w:color w:val="auto"/>
              </w:rPr>
            </w:pPr>
            <w:r>
              <w:rPr>
                <w:rFonts w:ascii="Arial" w:cs="Arial" w:eastAsia="Arial" w:hAnsi="Arial"/>
                <w:sz w:val="18"/>
                <w:szCs w:val="18"/>
                <w:color w:val="auto"/>
                <w:w w:val="86"/>
              </w:rPr>
              <w:t>107</w:t>
            </w:r>
          </w:p>
        </w:tc>
        <w:tc>
          <w:tcPr>
            <w:tcW w:w="80" w:type="dxa"/>
            <w:vAlign w:val="bottom"/>
          </w:tcPr>
          <w:p>
            <w:pPr>
              <w:spacing w:after="0"/>
              <w:rPr>
                <w:sz w:val="18"/>
                <w:szCs w:val="18"/>
                <w:color w:val="auto"/>
              </w:rPr>
            </w:pPr>
          </w:p>
        </w:tc>
      </w:tr>
      <w:tr>
        <w:trPr>
          <w:trHeight w:val="215"/>
        </w:trPr>
        <w:tc>
          <w:tcPr>
            <w:tcW w:w="20" w:type="dxa"/>
            <w:vAlign w:val="bottom"/>
          </w:tcPr>
          <w:p>
            <w:pPr>
              <w:spacing w:after="0"/>
              <w:rPr>
                <w:sz w:val="18"/>
                <w:szCs w:val="18"/>
                <w:color w:val="auto"/>
              </w:rPr>
            </w:pPr>
          </w:p>
        </w:tc>
        <w:tc>
          <w:tcPr>
            <w:tcW w:w="4200" w:type="dxa"/>
            <w:vAlign w:val="bottom"/>
            <w:shd w:val="clear" w:color="auto" w:fill="CCEEFF"/>
          </w:tcPr>
          <w:p>
            <w:pPr>
              <w:spacing w:after="0"/>
              <w:rPr>
                <w:sz w:val="20"/>
                <w:szCs w:val="20"/>
                <w:color w:val="auto"/>
              </w:rPr>
            </w:pPr>
            <w:r>
              <w:rPr>
                <w:rFonts w:ascii="Arial" w:cs="Arial" w:eastAsia="Arial" w:hAnsi="Arial"/>
                <w:sz w:val="18"/>
                <w:szCs w:val="18"/>
                <w:color w:val="auto"/>
              </w:rPr>
              <w:t>Amortization of prior service costs</w:t>
            </w:r>
          </w:p>
        </w:tc>
        <w:tc>
          <w:tcPr>
            <w:tcW w:w="156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w:t>
            </w:r>
          </w:p>
        </w:tc>
        <w:tc>
          <w:tcPr>
            <w:tcW w:w="136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r>
      <w:tr>
        <w:trPr>
          <w:trHeight w:val="215"/>
        </w:trPr>
        <w:tc>
          <w:tcPr>
            <w:tcW w:w="20" w:type="dxa"/>
            <w:vAlign w:val="bottom"/>
          </w:tcPr>
          <w:p>
            <w:pPr>
              <w:spacing w:after="0"/>
              <w:rPr>
                <w:sz w:val="18"/>
                <w:szCs w:val="18"/>
                <w:color w:val="auto"/>
              </w:rPr>
            </w:pPr>
          </w:p>
        </w:tc>
        <w:tc>
          <w:tcPr>
            <w:tcW w:w="4200" w:type="dxa"/>
            <w:vAlign w:val="bottom"/>
          </w:tcPr>
          <w:p>
            <w:pPr>
              <w:spacing w:after="0"/>
              <w:rPr>
                <w:sz w:val="20"/>
                <w:szCs w:val="20"/>
                <w:color w:val="auto"/>
              </w:rPr>
            </w:pPr>
            <w:r>
              <w:rPr>
                <w:rFonts w:ascii="Arial" w:cs="Arial" w:eastAsia="Arial" w:hAnsi="Arial"/>
                <w:sz w:val="18"/>
                <w:szCs w:val="18"/>
                <w:color w:val="auto"/>
              </w:rPr>
              <w:t>Amortization of transition obligation</w:t>
            </w:r>
          </w:p>
        </w:tc>
        <w:tc>
          <w:tcPr>
            <w:tcW w:w="156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360" w:type="dxa"/>
            <w:vAlign w:val="bottom"/>
          </w:tcPr>
          <w:p>
            <w:pPr>
              <w:jc w:val="right"/>
              <w:spacing w:after="0"/>
              <w:rPr>
                <w:sz w:val="20"/>
                <w:szCs w:val="20"/>
                <w:color w:val="auto"/>
              </w:rPr>
            </w:pPr>
            <w:r>
              <w:rPr>
                <w:rFonts w:ascii="Arial" w:cs="Arial" w:eastAsia="Arial" w:hAnsi="Arial"/>
                <w:sz w:val="18"/>
                <w:szCs w:val="18"/>
                <w:color w:val="auto"/>
              </w:rPr>
              <w:t>11</w:t>
            </w:r>
          </w:p>
        </w:tc>
        <w:tc>
          <w:tcPr>
            <w:tcW w:w="1360" w:type="dxa"/>
            <w:vAlign w:val="bottom"/>
          </w:tcPr>
          <w:p>
            <w:pPr>
              <w:spacing w:after="0"/>
              <w:rPr>
                <w:sz w:val="18"/>
                <w:szCs w:val="18"/>
                <w:color w:val="auto"/>
              </w:rPr>
            </w:pPr>
          </w:p>
        </w:tc>
        <w:tc>
          <w:tcPr>
            <w:tcW w:w="280" w:type="dxa"/>
            <w:vAlign w:val="bottom"/>
          </w:tcPr>
          <w:p>
            <w:pPr>
              <w:jc w:val="right"/>
              <w:spacing w:after="0"/>
              <w:rPr>
                <w:sz w:val="20"/>
                <w:szCs w:val="20"/>
                <w:color w:val="auto"/>
              </w:rPr>
            </w:pPr>
            <w:r>
              <w:rPr>
                <w:rFonts w:ascii="Arial" w:cs="Arial" w:eastAsia="Arial" w:hAnsi="Arial"/>
                <w:sz w:val="18"/>
                <w:szCs w:val="18"/>
                <w:color w:val="auto"/>
              </w:rPr>
              <w:t>11</w:t>
            </w:r>
          </w:p>
        </w:tc>
        <w:tc>
          <w:tcPr>
            <w:tcW w:w="80" w:type="dxa"/>
            <w:vAlign w:val="bottom"/>
          </w:tcPr>
          <w:p>
            <w:pPr>
              <w:spacing w:after="0"/>
              <w:rPr>
                <w:sz w:val="18"/>
                <w:szCs w:val="18"/>
                <w:color w:val="auto"/>
              </w:rPr>
            </w:pPr>
          </w:p>
        </w:tc>
      </w:tr>
      <w:tr>
        <w:trPr>
          <w:trHeight w:val="215"/>
        </w:trPr>
        <w:tc>
          <w:tcPr>
            <w:tcW w:w="20" w:type="dxa"/>
            <w:vAlign w:val="bottom"/>
          </w:tcPr>
          <w:p>
            <w:pPr>
              <w:spacing w:after="0"/>
              <w:rPr>
                <w:sz w:val="18"/>
                <w:szCs w:val="18"/>
                <w:color w:val="auto"/>
              </w:rPr>
            </w:pPr>
          </w:p>
        </w:tc>
        <w:tc>
          <w:tcPr>
            <w:tcW w:w="42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Amortization of loss</w:t>
            </w:r>
          </w:p>
        </w:tc>
        <w:tc>
          <w:tcPr>
            <w:tcW w:w="1560" w:type="dxa"/>
            <w:vAlign w:val="bottom"/>
            <w:tcBorders>
              <w:bottom w:val="single" w:sz="8" w:color="CCEEFF"/>
            </w:tcBorders>
            <w:shd w:val="clear" w:color="auto" w:fill="CCEEFF"/>
          </w:tcPr>
          <w:p>
            <w:pPr>
              <w:spacing w:after="0"/>
              <w:rPr>
                <w:sz w:val="18"/>
                <w:szCs w:val="18"/>
                <w:color w:val="auto"/>
              </w:rPr>
            </w:pPr>
          </w:p>
        </w:tc>
        <w:tc>
          <w:tcPr>
            <w:tcW w:w="1280" w:type="dxa"/>
            <w:vAlign w:val="bottom"/>
            <w:tcBorders>
              <w:bottom w:val="single" w:sz="8" w:color="auto"/>
            </w:tcBorders>
            <w:shd w:val="clear" w:color="auto" w:fill="CCEEFF"/>
          </w:tcPr>
          <w:p>
            <w:pPr>
              <w:spacing w:after="0"/>
              <w:rPr>
                <w:sz w:val="18"/>
                <w:szCs w:val="18"/>
                <w:color w:val="auto"/>
              </w:rPr>
            </w:pPr>
          </w:p>
        </w:tc>
        <w:tc>
          <w:tcPr>
            <w:tcW w:w="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65</w:t>
            </w:r>
          </w:p>
        </w:tc>
        <w:tc>
          <w:tcPr>
            <w:tcW w:w="1360" w:type="dxa"/>
            <w:vAlign w:val="bottom"/>
            <w:tcBorders>
              <w:bottom w:val="single" w:sz="8" w:color="auto"/>
            </w:tcBorders>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83</w:t>
            </w:r>
          </w:p>
        </w:tc>
        <w:tc>
          <w:tcPr>
            <w:tcW w:w="80" w:type="dxa"/>
            <w:vAlign w:val="bottom"/>
            <w:tcBorders>
              <w:bottom w:val="single" w:sz="8" w:color="CCEEFF"/>
            </w:tcBorders>
            <w:shd w:val="clear" w:color="auto" w:fill="CCEEFF"/>
          </w:tcPr>
          <w:p>
            <w:pPr>
              <w:spacing w:after="0"/>
              <w:rPr>
                <w:sz w:val="18"/>
                <w:szCs w:val="18"/>
                <w:color w:val="auto"/>
              </w:rPr>
            </w:pPr>
          </w:p>
        </w:tc>
      </w:tr>
      <w:tr>
        <w:trPr>
          <w:trHeight w:val="209"/>
        </w:trPr>
        <w:tc>
          <w:tcPr>
            <w:tcW w:w="4220" w:type="dxa"/>
            <w:vAlign w:val="bottom"/>
            <w:gridSpan w:val="2"/>
          </w:tcPr>
          <w:p>
            <w:pPr>
              <w:spacing w:after="0"/>
              <w:rPr>
                <w:sz w:val="18"/>
                <w:szCs w:val="18"/>
                <w:color w:val="auto"/>
              </w:rPr>
            </w:pPr>
          </w:p>
        </w:tc>
        <w:tc>
          <w:tcPr>
            <w:tcW w:w="156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35"/>
        </w:trPr>
        <w:tc>
          <w:tcPr>
            <w:tcW w:w="20" w:type="dxa"/>
            <w:vAlign w:val="bottom"/>
          </w:tcPr>
          <w:p>
            <w:pPr>
              <w:spacing w:after="0"/>
              <w:rPr>
                <w:sz w:val="20"/>
                <w:szCs w:val="20"/>
                <w:color w:val="auto"/>
              </w:rPr>
            </w:pPr>
          </w:p>
        </w:tc>
        <w:tc>
          <w:tcPr>
            <w:tcW w:w="4200" w:type="dxa"/>
            <w:vAlign w:val="bottom"/>
            <w:shd w:val="clear" w:color="auto" w:fill="CCEEFF"/>
          </w:tcPr>
          <w:p>
            <w:pPr>
              <w:spacing w:after="0"/>
              <w:rPr>
                <w:sz w:val="20"/>
                <w:szCs w:val="20"/>
                <w:color w:val="auto"/>
              </w:rPr>
            </w:pPr>
            <w:r>
              <w:rPr>
                <w:rFonts w:ascii="Arial" w:cs="Arial" w:eastAsia="Arial" w:hAnsi="Arial"/>
                <w:sz w:val="18"/>
                <w:szCs w:val="18"/>
                <w:color w:val="auto"/>
              </w:rPr>
              <w:t>Net periodic pension cost</w:t>
            </w:r>
          </w:p>
        </w:tc>
        <w:tc>
          <w:tcPr>
            <w:tcW w:w="2840" w:type="dxa"/>
            <w:vAlign w:val="bottom"/>
            <w:gridSpan w:val="2"/>
            <w:shd w:val="clear" w:color="auto" w:fill="CCEEFF"/>
          </w:tcPr>
          <w:p>
            <w:pPr>
              <w:jc w:val="right"/>
              <w:ind w:right="1110"/>
              <w:spacing w:after="0"/>
              <w:rPr>
                <w:sz w:val="20"/>
                <w:szCs w:val="20"/>
                <w:color w:val="auto"/>
              </w:rPr>
            </w:pPr>
            <w:r>
              <w:rPr>
                <w:rFonts w:ascii="Arial" w:cs="Arial" w:eastAsia="Arial" w:hAnsi="Arial"/>
                <w:sz w:val="18"/>
                <w:szCs w:val="18"/>
                <w:color w:val="auto"/>
              </w:rPr>
              <w:t>$</w:t>
            </w:r>
          </w:p>
        </w:tc>
        <w:tc>
          <w:tcPr>
            <w:tcW w:w="3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261</w:t>
            </w:r>
          </w:p>
        </w:tc>
        <w:tc>
          <w:tcPr>
            <w:tcW w:w="1360" w:type="dxa"/>
            <w:vAlign w:val="bottom"/>
            <w:shd w:val="clear" w:color="auto" w:fill="CCEEFF"/>
          </w:tcPr>
          <w:p>
            <w:pPr>
              <w:jc w:val="right"/>
              <w:ind w:right="109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239</w:t>
            </w:r>
          </w:p>
        </w:tc>
        <w:tc>
          <w:tcPr>
            <w:tcW w:w="80" w:type="dxa"/>
            <w:vAlign w:val="bottom"/>
            <w:shd w:val="clear" w:color="auto" w:fill="CCEEFF"/>
          </w:tcPr>
          <w:p>
            <w:pPr>
              <w:spacing w:after="0"/>
              <w:rPr>
                <w:sz w:val="20"/>
                <w:szCs w:val="20"/>
                <w:color w:val="auto"/>
              </w:rPr>
            </w:pPr>
          </w:p>
        </w:tc>
      </w:tr>
      <w:tr>
        <w:trPr>
          <w:trHeight w:val="20"/>
        </w:trPr>
        <w:tc>
          <w:tcPr>
            <w:tcW w:w="20" w:type="dxa"/>
            <w:vAlign w:val="bottom"/>
          </w:tcPr>
          <w:p>
            <w:pPr>
              <w:spacing w:after="0" w:line="20" w:lineRule="exact"/>
              <w:rPr>
                <w:sz w:val="1"/>
                <w:szCs w:val="1"/>
                <w:color w:val="auto"/>
              </w:rPr>
            </w:pPr>
          </w:p>
        </w:tc>
        <w:tc>
          <w:tcPr>
            <w:tcW w:w="4200" w:type="dxa"/>
            <w:vAlign w:val="bottom"/>
            <w:tcBorders>
              <w:top w:val="single" w:sz="8" w:color="CCEEFF"/>
            </w:tcBorders>
            <w:shd w:val="clear" w:color="auto" w:fill="CCEEFF"/>
          </w:tcPr>
          <w:p>
            <w:pPr>
              <w:spacing w:after="0" w:line="20" w:lineRule="exact"/>
              <w:rPr>
                <w:sz w:val="1"/>
                <w:szCs w:val="1"/>
                <w:color w:val="auto"/>
              </w:rPr>
            </w:pPr>
          </w:p>
        </w:tc>
        <w:tc>
          <w:tcPr>
            <w:tcW w:w="1560" w:type="dxa"/>
            <w:vAlign w:val="bottom"/>
            <w:tcBorders>
              <w:top w:val="single" w:sz="8" w:color="CCEEFF"/>
            </w:tcBorders>
            <w:shd w:val="clear" w:color="auto" w:fill="CCEEFF"/>
          </w:tcPr>
          <w:p>
            <w:pPr>
              <w:spacing w:after="0" w:line="20" w:lineRule="exact"/>
              <w:rPr>
                <w:sz w:val="1"/>
                <w:szCs w:val="1"/>
                <w:color w:val="auto"/>
              </w:rPr>
            </w:pPr>
          </w:p>
        </w:tc>
        <w:tc>
          <w:tcPr>
            <w:tcW w:w="1280" w:type="dxa"/>
            <w:vAlign w:val="bottom"/>
            <w:tcBorders>
              <w:top w:val="single" w:sz="8" w:color="auto"/>
            </w:tcBorders>
            <w:shd w:val="clear" w:color="auto" w:fill="000000"/>
          </w:tcPr>
          <w:p>
            <w:pPr>
              <w:spacing w:after="0" w:line="20" w:lineRule="exact"/>
              <w:rPr>
                <w:sz w:val="1"/>
                <w:szCs w:val="1"/>
                <w:color w:val="auto"/>
              </w:rPr>
            </w:pPr>
          </w:p>
        </w:tc>
        <w:tc>
          <w:tcPr>
            <w:tcW w:w="360" w:type="dxa"/>
            <w:vAlign w:val="bottom"/>
            <w:tcBorders>
              <w:top w:val="single" w:sz="8" w:color="auto"/>
            </w:tcBorders>
            <w:shd w:val="clear" w:color="auto" w:fill="000000"/>
          </w:tcPr>
          <w:p>
            <w:pPr>
              <w:spacing w:after="0" w:line="20" w:lineRule="exact"/>
              <w:rPr>
                <w:sz w:val="1"/>
                <w:szCs w:val="1"/>
                <w:color w:val="auto"/>
              </w:rPr>
            </w:pPr>
          </w:p>
        </w:tc>
        <w:tc>
          <w:tcPr>
            <w:tcW w:w="1360" w:type="dxa"/>
            <w:vAlign w:val="bottom"/>
            <w:tcBorders>
              <w:top w:val="single" w:sz="8" w:color="auto"/>
            </w:tcBorders>
            <w:shd w:val="clear" w:color="auto" w:fill="000000"/>
          </w:tcPr>
          <w:p>
            <w:pPr>
              <w:spacing w:after="0" w:line="20" w:lineRule="exact"/>
              <w:rPr>
                <w:sz w:val="1"/>
                <w:szCs w:val="1"/>
                <w:color w:val="auto"/>
              </w:rPr>
            </w:pPr>
          </w:p>
        </w:tc>
        <w:tc>
          <w:tcPr>
            <w:tcW w:w="28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r>
    </w:tbl>
    <w:p>
      <w:pPr>
        <w:spacing w:after="0" w:line="201" w:lineRule="exact"/>
        <w:rPr>
          <w:sz w:val="20"/>
          <w:szCs w:val="20"/>
          <w:color w:val="auto"/>
        </w:rPr>
      </w:pPr>
    </w:p>
    <w:p>
      <w:pPr>
        <w:jc w:val="both"/>
        <w:spacing w:after="0" w:line="276" w:lineRule="auto"/>
        <w:rPr>
          <w:sz w:val="20"/>
          <w:szCs w:val="20"/>
          <w:color w:val="auto"/>
        </w:rPr>
      </w:pPr>
      <w:r>
        <w:rPr>
          <w:rFonts w:ascii="Arial" w:cs="Arial" w:eastAsia="Arial" w:hAnsi="Arial"/>
          <w:sz w:val="18"/>
          <w:szCs w:val="18"/>
          <w:color w:val="auto"/>
        </w:rPr>
        <w:t>The components of net periodic pension cost other than the service cost component are included in other loss, net in our condensed consolidated statements of operations.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Deferred Compensation Plans</w:t>
      </w:r>
    </w:p>
    <w:p>
      <w:pPr>
        <w:spacing w:after="0" w:line="224" w:lineRule="exact"/>
        <w:rPr>
          <w:sz w:val="20"/>
          <w:szCs w:val="20"/>
          <w:color w:val="auto"/>
        </w:rPr>
      </w:pPr>
    </w:p>
    <w:p>
      <w:pPr>
        <w:jc w:val="both"/>
        <w:spacing w:after="0" w:line="262" w:lineRule="auto"/>
        <w:rPr>
          <w:sz w:val="20"/>
          <w:szCs w:val="20"/>
          <w:color w:val="auto"/>
        </w:rPr>
      </w:pPr>
      <w:r>
        <w:rPr>
          <w:rFonts w:ascii="Arial" w:cs="Arial" w:eastAsia="Arial" w:hAnsi="Arial"/>
          <w:sz w:val="18"/>
          <w:szCs w:val="18"/>
          <w:color w:val="auto"/>
        </w:rPr>
        <w:t>We have an unfunded Deferred Compensation Plan that covers one current executive and certain former executives and provides for voluntary deferral of compensation. This plan has been frozen with no additional participants or deferrals permitted. Our liability under this plan was $1,897 and $1,916 as of February 24, 2018 and November 25, 2017, respectively.</w:t>
      </w:r>
    </w:p>
    <w:p>
      <w:pPr>
        <w:spacing w:after="0" w:line="183" w:lineRule="exact"/>
        <w:rPr>
          <w:sz w:val="20"/>
          <w:szCs w:val="20"/>
          <w:color w:val="auto"/>
        </w:rPr>
      </w:pPr>
    </w:p>
    <w:p>
      <w:pPr>
        <w:jc w:val="both"/>
        <w:spacing w:after="0" w:line="285" w:lineRule="auto"/>
        <w:rPr>
          <w:sz w:val="20"/>
          <w:szCs w:val="20"/>
          <w:color w:val="auto"/>
        </w:rPr>
      </w:pPr>
      <w:r>
        <w:rPr>
          <w:rFonts w:ascii="Arial" w:cs="Arial" w:eastAsia="Arial" w:hAnsi="Arial"/>
          <w:sz w:val="17"/>
          <w:szCs w:val="17"/>
          <w:color w:val="auto"/>
        </w:rPr>
        <w:t>We also have an unfunded, nonqualified deferred compensation plan maintained for the benefit of certain highly compensated or management level employees which was established under the Management Savings Plan in the second quarter of fiscal 2017. Our liability under this plan, including both accrued Company contributions and participant salary deferrals, was $413 and $139 as of February 24, 2018 and November 25, 2017, respectively.</w:t>
      </w:r>
    </w:p>
    <w:p>
      <w:pPr>
        <w:spacing w:after="0" w:line="165" w:lineRule="exact"/>
        <w:rPr>
          <w:sz w:val="20"/>
          <w:szCs w:val="20"/>
          <w:color w:val="auto"/>
        </w:rPr>
      </w:pPr>
    </w:p>
    <w:p>
      <w:pPr>
        <w:jc w:val="both"/>
        <w:spacing w:after="0" w:line="276" w:lineRule="auto"/>
        <w:rPr>
          <w:sz w:val="20"/>
          <w:szCs w:val="20"/>
          <w:color w:val="auto"/>
        </w:rPr>
      </w:pPr>
      <w:r>
        <w:rPr>
          <w:rFonts w:ascii="Arial" w:cs="Arial" w:eastAsia="Arial" w:hAnsi="Arial"/>
          <w:sz w:val="18"/>
          <w:szCs w:val="18"/>
          <w:color w:val="auto"/>
        </w:rPr>
        <w:t>Our combined liability for all deferred compensation arrangements, including Company contributions and participant deferrals under the Management Savings Plan, is recorded as follows in the condensed consolidated balance sheets:</w:t>
      </w:r>
    </w:p>
    <w:p>
      <w:pPr>
        <w:spacing w:after="0" w:line="166" w:lineRule="exact"/>
        <w:rPr>
          <w:sz w:val="20"/>
          <w:szCs w:val="20"/>
          <w:color w:val="auto"/>
        </w:rPr>
      </w:pPr>
    </w:p>
    <w:tbl>
      <w:tblPr>
        <w:tblLayout w:type="fixed"/>
        <w:tblInd w:w="660" w:type="dxa"/>
        <w:tblCellMar>
          <w:top w:w="0" w:type="dxa"/>
          <w:left w:w="0" w:type="dxa"/>
          <w:bottom w:w="0" w:type="dxa"/>
          <w:right w:w="0" w:type="dxa"/>
        </w:tblCellMar>
      </w:tblPr>
      <w:tr>
        <w:trPr>
          <w:trHeight w:val="215"/>
        </w:trPr>
        <w:tc>
          <w:tcPr>
            <w:tcW w:w="57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60" w:type="dxa"/>
            <w:vAlign w:val="bottom"/>
          </w:tcPr>
          <w:p>
            <w:pPr>
              <w:jc w:val="right"/>
              <w:ind w:right="270"/>
              <w:spacing w:after="0"/>
              <w:rPr>
                <w:sz w:val="20"/>
                <w:szCs w:val="20"/>
                <w:color w:val="auto"/>
              </w:rPr>
            </w:pPr>
            <w:r>
              <w:rPr>
                <w:rFonts w:ascii="Arial" w:cs="Arial" w:eastAsia="Arial" w:hAnsi="Arial"/>
                <w:sz w:val="18"/>
                <w:szCs w:val="18"/>
                <w:b w:val="1"/>
                <w:bCs w:val="1"/>
                <w:color w:val="auto"/>
              </w:rPr>
              <w:t>February 24,</w:t>
            </w:r>
          </w:p>
        </w:tc>
        <w:tc>
          <w:tcPr>
            <w:tcW w:w="260" w:type="dxa"/>
            <w:vAlign w:val="bottom"/>
          </w:tcPr>
          <w:p>
            <w:pPr>
              <w:spacing w:after="0"/>
              <w:rPr>
                <w:sz w:val="18"/>
                <w:szCs w:val="18"/>
                <w:color w:val="auto"/>
              </w:rPr>
            </w:pPr>
          </w:p>
        </w:tc>
        <w:tc>
          <w:tcPr>
            <w:tcW w:w="1460" w:type="dxa"/>
            <w:vAlign w:val="bottom"/>
            <w:gridSpan w:val="2"/>
          </w:tcPr>
          <w:p>
            <w:pPr>
              <w:ind w:left="80"/>
              <w:spacing w:after="0"/>
              <w:rPr>
                <w:sz w:val="20"/>
                <w:szCs w:val="20"/>
                <w:color w:val="auto"/>
              </w:rPr>
            </w:pPr>
            <w:r>
              <w:rPr>
                <w:rFonts w:ascii="Arial" w:cs="Arial" w:eastAsia="Arial" w:hAnsi="Arial"/>
                <w:sz w:val="18"/>
                <w:szCs w:val="18"/>
                <w:b w:val="1"/>
                <w:bCs w:val="1"/>
                <w:color w:val="auto"/>
              </w:rPr>
              <w:t>November 25,</w:t>
            </w:r>
          </w:p>
        </w:tc>
      </w:tr>
      <w:tr>
        <w:trPr>
          <w:trHeight w:val="234"/>
        </w:trPr>
        <w:tc>
          <w:tcPr>
            <w:tcW w:w="576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460" w:type="dxa"/>
            <w:vAlign w:val="bottom"/>
            <w:tcBorders>
              <w:bottom w:val="single" w:sz="8" w:color="auto"/>
            </w:tcBorders>
          </w:tcPr>
          <w:p>
            <w:pPr>
              <w:jc w:val="right"/>
              <w:ind w:right="590"/>
              <w:spacing w:after="0"/>
              <w:rPr>
                <w:sz w:val="20"/>
                <w:szCs w:val="20"/>
                <w:color w:val="auto"/>
              </w:rPr>
            </w:pPr>
            <w:r>
              <w:rPr>
                <w:rFonts w:ascii="Arial" w:cs="Arial" w:eastAsia="Arial" w:hAnsi="Arial"/>
                <w:sz w:val="18"/>
                <w:szCs w:val="18"/>
                <w:b w:val="1"/>
                <w:bCs w:val="1"/>
                <w:color w:val="auto"/>
              </w:rPr>
              <w:t>2018</w:t>
            </w:r>
          </w:p>
        </w:tc>
        <w:tc>
          <w:tcPr>
            <w:tcW w:w="260" w:type="dxa"/>
            <w:vAlign w:val="bottom"/>
            <w:tcBorders>
              <w:bottom w:val="single" w:sz="8" w:color="auto"/>
            </w:tcBorders>
          </w:tcPr>
          <w:p>
            <w:pPr>
              <w:spacing w:after="0"/>
              <w:rPr>
                <w:sz w:val="20"/>
                <w:szCs w:val="20"/>
                <w:color w:val="auto"/>
              </w:rPr>
            </w:pPr>
          </w:p>
        </w:tc>
        <w:tc>
          <w:tcPr>
            <w:tcW w:w="1380" w:type="dxa"/>
            <w:vAlign w:val="bottom"/>
            <w:tcBorders>
              <w:bottom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2017</w:t>
            </w:r>
          </w:p>
        </w:tc>
        <w:tc>
          <w:tcPr>
            <w:tcW w:w="80" w:type="dxa"/>
            <w:vAlign w:val="bottom"/>
          </w:tcPr>
          <w:p>
            <w:pPr>
              <w:spacing w:after="0"/>
              <w:rPr>
                <w:sz w:val="20"/>
                <w:szCs w:val="20"/>
                <w:color w:val="auto"/>
              </w:rPr>
            </w:pPr>
          </w:p>
        </w:tc>
      </w:tr>
      <w:tr>
        <w:trPr>
          <w:trHeight w:val="209"/>
        </w:trPr>
        <w:tc>
          <w:tcPr>
            <w:tcW w:w="5760" w:type="dxa"/>
            <w:vAlign w:val="bottom"/>
            <w:shd w:val="clear" w:color="auto" w:fill="CCEEFF"/>
          </w:tcPr>
          <w:p>
            <w:pPr>
              <w:spacing w:after="0"/>
              <w:rPr>
                <w:sz w:val="20"/>
                <w:szCs w:val="20"/>
                <w:color w:val="auto"/>
              </w:rPr>
            </w:pPr>
            <w:r>
              <w:rPr>
                <w:rFonts w:ascii="Arial" w:cs="Arial" w:eastAsia="Arial" w:hAnsi="Arial"/>
                <w:sz w:val="18"/>
                <w:szCs w:val="18"/>
                <w:color w:val="auto"/>
              </w:rPr>
              <w:t>Accrued compensation and benefits</w:t>
            </w:r>
          </w:p>
        </w:tc>
        <w:tc>
          <w:tcPr>
            <w:tcW w:w="180" w:type="dxa"/>
            <w:vAlign w:val="bottom"/>
            <w:shd w:val="clear" w:color="auto" w:fill="CCEEFF"/>
          </w:tcPr>
          <w:p>
            <w:pPr>
              <w:jc w:val="right"/>
              <w:ind w:right="27"/>
              <w:spacing w:after="0"/>
              <w:rPr>
                <w:sz w:val="20"/>
                <w:szCs w:val="20"/>
                <w:color w:val="auto"/>
              </w:rPr>
            </w:pPr>
            <w:r>
              <w:rPr>
                <w:rFonts w:ascii="Arial" w:cs="Arial" w:eastAsia="Arial" w:hAnsi="Arial"/>
                <w:sz w:val="15"/>
                <w:szCs w:val="15"/>
                <w:color w:val="auto"/>
                <w:w w:val="71"/>
              </w:rPr>
              <w:t>$</w:t>
            </w:r>
          </w:p>
        </w:tc>
        <w:tc>
          <w:tcPr>
            <w:tcW w:w="1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274</w:t>
            </w:r>
          </w:p>
        </w:tc>
        <w:tc>
          <w:tcPr>
            <w:tcW w:w="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274</w:t>
            </w:r>
          </w:p>
        </w:tc>
        <w:tc>
          <w:tcPr>
            <w:tcW w:w="80" w:type="dxa"/>
            <w:vAlign w:val="bottom"/>
            <w:shd w:val="clear" w:color="auto" w:fill="CCEEFF"/>
          </w:tcPr>
          <w:p>
            <w:pPr>
              <w:spacing w:after="0"/>
              <w:rPr>
                <w:sz w:val="18"/>
                <w:szCs w:val="18"/>
                <w:color w:val="auto"/>
              </w:rPr>
            </w:pPr>
          </w:p>
        </w:tc>
      </w:tr>
      <w:tr>
        <w:trPr>
          <w:trHeight w:val="215"/>
        </w:trPr>
        <w:tc>
          <w:tcPr>
            <w:tcW w:w="5760" w:type="dxa"/>
            <w:vAlign w:val="bottom"/>
          </w:tcPr>
          <w:p>
            <w:pPr>
              <w:spacing w:after="0"/>
              <w:rPr>
                <w:sz w:val="20"/>
                <w:szCs w:val="20"/>
                <w:color w:val="auto"/>
              </w:rPr>
            </w:pPr>
            <w:r>
              <w:rPr>
                <w:rFonts w:ascii="Arial" w:cs="Arial" w:eastAsia="Arial" w:hAnsi="Arial"/>
                <w:sz w:val="18"/>
                <w:szCs w:val="18"/>
                <w:color w:val="auto"/>
              </w:rPr>
              <w:t>Post employment benefit obligations</w:t>
            </w:r>
          </w:p>
        </w:tc>
        <w:tc>
          <w:tcPr>
            <w:tcW w:w="180" w:type="dxa"/>
            <w:vAlign w:val="bottom"/>
            <w:tcBorders>
              <w:bottom w:val="single" w:sz="8" w:color="auto"/>
            </w:tcBorders>
          </w:tcPr>
          <w:p>
            <w:pPr>
              <w:spacing w:after="0"/>
              <w:rPr>
                <w:sz w:val="18"/>
                <w:szCs w:val="18"/>
                <w:color w:val="auto"/>
              </w:rPr>
            </w:pPr>
          </w:p>
        </w:tc>
        <w:tc>
          <w:tcPr>
            <w:tcW w:w="14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2,036</w:t>
            </w:r>
          </w:p>
        </w:tc>
        <w:tc>
          <w:tcPr>
            <w:tcW w:w="260" w:type="dxa"/>
            <w:vAlign w:val="bottom"/>
            <w:tcBorders>
              <w:bottom w:val="single" w:sz="8" w:color="auto"/>
            </w:tcBorders>
          </w:tcPr>
          <w:p>
            <w:pPr>
              <w:spacing w:after="0"/>
              <w:rPr>
                <w:sz w:val="18"/>
                <w:szCs w:val="18"/>
                <w:color w:val="auto"/>
              </w:rPr>
            </w:pPr>
          </w:p>
        </w:tc>
        <w:tc>
          <w:tcPr>
            <w:tcW w:w="13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1,782</w:t>
            </w:r>
          </w:p>
        </w:tc>
        <w:tc>
          <w:tcPr>
            <w:tcW w:w="80" w:type="dxa"/>
            <w:vAlign w:val="bottom"/>
          </w:tcPr>
          <w:p>
            <w:pPr>
              <w:spacing w:after="0"/>
              <w:rPr>
                <w:sz w:val="18"/>
                <w:szCs w:val="18"/>
                <w:color w:val="auto"/>
              </w:rPr>
            </w:pPr>
          </w:p>
        </w:tc>
      </w:tr>
      <w:tr>
        <w:trPr>
          <w:trHeight w:val="209"/>
        </w:trPr>
        <w:tc>
          <w:tcPr>
            <w:tcW w:w="57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r>
      <w:tr>
        <w:trPr>
          <w:trHeight w:val="215"/>
        </w:trPr>
        <w:tc>
          <w:tcPr>
            <w:tcW w:w="5760" w:type="dxa"/>
            <w:vAlign w:val="bottom"/>
          </w:tcPr>
          <w:p>
            <w:pPr>
              <w:spacing w:after="0"/>
              <w:rPr>
                <w:sz w:val="20"/>
                <w:szCs w:val="20"/>
                <w:color w:val="auto"/>
              </w:rPr>
            </w:pPr>
            <w:r>
              <w:rPr>
                <w:rFonts w:ascii="Arial" w:cs="Arial" w:eastAsia="Arial" w:hAnsi="Arial"/>
                <w:sz w:val="18"/>
                <w:szCs w:val="18"/>
                <w:color w:val="auto"/>
              </w:rPr>
              <w:t>Total deferred compensation liability</w:t>
            </w:r>
          </w:p>
        </w:tc>
        <w:tc>
          <w:tcPr>
            <w:tcW w:w="180" w:type="dxa"/>
            <w:vAlign w:val="bottom"/>
            <w:tcBorders>
              <w:bottom w:val="single" w:sz="8" w:color="auto"/>
            </w:tcBorders>
          </w:tcPr>
          <w:p>
            <w:pPr>
              <w:jc w:val="right"/>
              <w:ind w:right="27"/>
              <w:spacing w:after="0"/>
              <w:rPr>
                <w:sz w:val="20"/>
                <w:szCs w:val="20"/>
                <w:color w:val="auto"/>
              </w:rPr>
            </w:pPr>
            <w:r>
              <w:rPr>
                <w:rFonts w:ascii="Arial" w:cs="Arial" w:eastAsia="Arial" w:hAnsi="Arial"/>
                <w:sz w:val="15"/>
                <w:szCs w:val="15"/>
                <w:color w:val="auto"/>
                <w:w w:val="71"/>
              </w:rPr>
              <w:t>$</w:t>
            </w:r>
          </w:p>
        </w:tc>
        <w:tc>
          <w:tcPr>
            <w:tcW w:w="14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2,310</w:t>
            </w:r>
          </w:p>
        </w:tc>
        <w:tc>
          <w:tcPr>
            <w:tcW w:w="2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3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2,056</w:t>
            </w:r>
          </w:p>
        </w:tc>
        <w:tc>
          <w:tcPr>
            <w:tcW w:w="80" w:type="dxa"/>
            <w:vAlign w:val="bottom"/>
          </w:tcPr>
          <w:p>
            <w:pPr>
              <w:spacing w:after="0"/>
              <w:rPr>
                <w:sz w:val="18"/>
                <w:szCs w:val="18"/>
                <w:color w:val="auto"/>
              </w:rPr>
            </w:pPr>
          </w:p>
        </w:tc>
      </w:tr>
      <w:tr>
        <w:trPr>
          <w:trHeight w:val="20"/>
        </w:trPr>
        <w:tc>
          <w:tcPr>
            <w:tcW w:w="57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1" w:lineRule="exact"/>
        <w:rPr>
          <w:sz w:val="20"/>
          <w:szCs w:val="20"/>
          <w:color w:val="auto"/>
        </w:rPr>
      </w:pPr>
    </w:p>
    <w:p>
      <w:pPr>
        <w:spacing w:after="0"/>
        <w:rPr>
          <w:sz w:val="20"/>
          <w:szCs w:val="20"/>
          <w:color w:val="auto"/>
        </w:rPr>
      </w:pPr>
      <w:r>
        <w:rPr>
          <w:rFonts w:ascii="Arial" w:cs="Arial" w:eastAsia="Arial" w:hAnsi="Arial"/>
          <w:sz w:val="16"/>
          <w:szCs w:val="16"/>
          <w:color w:val="auto"/>
        </w:rPr>
        <w:t>We recognized expense under our deferred compensation arrangements during the quarters ended February 24, 2018 and February 25, 2017 as follows:</w:t>
      </w:r>
    </w:p>
    <w:p>
      <w:pPr>
        <w:spacing w:after="0" w:line="24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60" w:type="dxa"/>
            <w:vAlign w:val="bottom"/>
          </w:tcPr>
          <w:p>
            <w:pPr>
              <w:spacing w:after="0"/>
              <w:rPr>
                <w:sz w:val="20"/>
                <w:szCs w:val="20"/>
                <w:color w:val="auto"/>
              </w:rPr>
            </w:pPr>
          </w:p>
        </w:tc>
        <w:tc>
          <w:tcPr>
            <w:tcW w:w="3520" w:type="dxa"/>
            <w:vAlign w:val="bottom"/>
          </w:tcPr>
          <w:p>
            <w:pPr>
              <w:spacing w:after="0"/>
              <w:rPr>
                <w:sz w:val="20"/>
                <w:szCs w:val="20"/>
                <w:color w:val="auto"/>
              </w:rPr>
            </w:pPr>
          </w:p>
        </w:tc>
        <w:tc>
          <w:tcPr>
            <w:tcW w:w="22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3180" w:type="dxa"/>
            <w:vAlign w:val="bottom"/>
            <w:gridSpan w:val="4"/>
          </w:tcPr>
          <w:p>
            <w:pPr>
              <w:ind w:left="880"/>
              <w:spacing w:after="0"/>
              <w:rPr>
                <w:sz w:val="20"/>
                <w:szCs w:val="20"/>
                <w:color w:val="auto"/>
              </w:rPr>
            </w:pPr>
            <w:r>
              <w:rPr>
                <w:rFonts w:ascii="Arial" w:cs="Arial" w:eastAsia="Arial" w:hAnsi="Arial"/>
                <w:sz w:val="18"/>
                <w:szCs w:val="18"/>
                <w:b w:val="1"/>
                <w:bCs w:val="1"/>
                <w:color w:val="auto"/>
              </w:rPr>
              <w:t>Quarter Ended</w:t>
            </w:r>
          </w:p>
        </w:tc>
        <w:tc>
          <w:tcPr>
            <w:tcW w:w="1640" w:type="dxa"/>
            <w:vAlign w:val="bottom"/>
          </w:tcPr>
          <w:p>
            <w:pPr>
              <w:spacing w:after="0"/>
              <w:rPr>
                <w:sz w:val="20"/>
                <w:szCs w:val="20"/>
                <w:color w:val="auto"/>
              </w:rPr>
            </w:pPr>
          </w:p>
        </w:tc>
      </w:tr>
      <w:tr>
        <w:trPr>
          <w:trHeight w:val="190"/>
        </w:trPr>
        <w:tc>
          <w:tcPr>
            <w:tcW w:w="660" w:type="dxa"/>
            <w:vAlign w:val="bottom"/>
          </w:tcPr>
          <w:p>
            <w:pPr>
              <w:spacing w:after="0"/>
              <w:rPr>
                <w:sz w:val="16"/>
                <w:szCs w:val="16"/>
                <w:color w:val="auto"/>
              </w:rPr>
            </w:pPr>
          </w:p>
        </w:tc>
        <w:tc>
          <w:tcPr>
            <w:tcW w:w="3520" w:type="dxa"/>
            <w:vAlign w:val="bottom"/>
          </w:tcPr>
          <w:p>
            <w:pPr>
              <w:spacing w:after="0"/>
              <w:rPr>
                <w:sz w:val="16"/>
                <w:szCs w:val="16"/>
                <w:color w:val="auto"/>
              </w:rPr>
            </w:pPr>
          </w:p>
        </w:tc>
        <w:tc>
          <w:tcPr>
            <w:tcW w:w="2240" w:type="dxa"/>
            <w:vAlign w:val="bottom"/>
          </w:tcPr>
          <w:p>
            <w:pPr>
              <w:spacing w:after="0"/>
              <w:rPr>
                <w:sz w:val="16"/>
                <w:szCs w:val="16"/>
                <w:color w:val="auto"/>
              </w:rPr>
            </w:pPr>
          </w:p>
        </w:tc>
        <w:tc>
          <w:tcPr>
            <w:tcW w:w="180" w:type="dxa"/>
            <w:vAlign w:val="bottom"/>
            <w:tcBorders>
              <w:top w:val="single" w:sz="8" w:color="auto"/>
            </w:tcBorders>
          </w:tcPr>
          <w:p>
            <w:pPr>
              <w:spacing w:after="0"/>
              <w:rPr>
                <w:sz w:val="16"/>
                <w:szCs w:val="16"/>
                <w:color w:val="auto"/>
              </w:rPr>
            </w:pPr>
          </w:p>
        </w:tc>
        <w:tc>
          <w:tcPr>
            <w:tcW w:w="1460" w:type="dxa"/>
            <w:vAlign w:val="bottom"/>
            <w:tcBorders>
              <w:top w:val="single" w:sz="8" w:color="auto"/>
            </w:tcBorders>
          </w:tcPr>
          <w:p>
            <w:pPr>
              <w:jc w:val="center"/>
              <w:ind w:right="170"/>
              <w:spacing w:after="0" w:line="190" w:lineRule="exact"/>
              <w:rPr>
                <w:sz w:val="20"/>
                <w:szCs w:val="20"/>
                <w:color w:val="auto"/>
              </w:rPr>
            </w:pPr>
            <w:r>
              <w:rPr>
                <w:rFonts w:ascii="Arial" w:cs="Arial" w:eastAsia="Arial" w:hAnsi="Arial"/>
                <w:sz w:val="18"/>
                <w:szCs w:val="18"/>
                <w:b w:val="1"/>
                <w:bCs w:val="1"/>
                <w:color w:val="auto"/>
                <w:w w:val="93"/>
              </w:rPr>
              <w:t>February 24,</w:t>
            </w:r>
          </w:p>
        </w:tc>
        <w:tc>
          <w:tcPr>
            <w:tcW w:w="280" w:type="dxa"/>
            <w:vAlign w:val="bottom"/>
            <w:tcBorders>
              <w:top w:val="single" w:sz="8" w:color="auto"/>
            </w:tcBorders>
          </w:tcPr>
          <w:p>
            <w:pPr>
              <w:spacing w:after="0"/>
              <w:rPr>
                <w:sz w:val="16"/>
                <w:szCs w:val="16"/>
                <w:color w:val="auto"/>
              </w:rPr>
            </w:pPr>
          </w:p>
        </w:tc>
        <w:tc>
          <w:tcPr>
            <w:tcW w:w="1360" w:type="dxa"/>
            <w:vAlign w:val="bottom"/>
            <w:tcBorders>
              <w:top w:val="single" w:sz="8" w:color="auto"/>
            </w:tcBorders>
          </w:tcPr>
          <w:p>
            <w:pPr>
              <w:jc w:val="center"/>
              <w:ind w:right="110"/>
              <w:spacing w:after="0" w:line="190" w:lineRule="exact"/>
              <w:rPr>
                <w:sz w:val="20"/>
                <w:szCs w:val="20"/>
                <w:color w:val="auto"/>
              </w:rPr>
            </w:pPr>
            <w:r>
              <w:rPr>
                <w:rFonts w:ascii="Arial" w:cs="Arial" w:eastAsia="Arial" w:hAnsi="Arial"/>
                <w:sz w:val="18"/>
                <w:szCs w:val="18"/>
                <w:b w:val="1"/>
                <w:bCs w:val="1"/>
                <w:color w:val="auto"/>
                <w:w w:val="93"/>
              </w:rPr>
              <w:t>February 25,</w:t>
            </w:r>
          </w:p>
        </w:tc>
        <w:tc>
          <w:tcPr>
            <w:tcW w:w="80" w:type="dxa"/>
            <w:vAlign w:val="bottom"/>
          </w:tcPr>
          <w:p>
            <w:pPr>
              <w:spacing w:after="0"/>
              <w:rPr>
                <w:sz w:val="16"/>
                <w:szCs w:val="16"/>
                <w:color w:val="auto"/>
              </w:rPr>
            </w:pPr>
          </w:p>
        </w:tc>
        <w:tc>
          <w:tcPr>
            <w:tcW w:w="1640" w:type="dxa"/>
            <w:vAlign w:val="bottom"/>
          </w:tcPr>
          <w:p>
            <w:pPr>
              <w:spacing w:after="0"/>
              <w:rPr>
                <w:sz w:val="16"/>
                <w:szCs w:val="16"/>
                <w:color w:val="auto"/>
              </w:rPr>
            </w:pPr>
          </w:p>
        </w:tc>
      </w:tr>
      <w:tr>
        <w:trPr>
          <w:trHeight w:val="234"/>
        </w:trPr>
        <w:tc>
          <w:tcPr>
            <w:tcW w:w="660" w:type="dxa"/>
            <w:vAlign w:val="bottom"/>
          </w:tcPr>
          <w:p>
            <w:pPr>
              <w:spacing w:after="0"/>
              <w:rPr>
                <w:sz w:val="20"/>
                <w:szCs w:val="20"/>
                <w:color w:val="auto"/>
              </w:rPr>
            </w:pPr>
          </w:p>
        </w:tc>
        <w:tc>
          <w:tcPr>
            <w:tcW w:w="3520" w:type="dxa"/>
            <w:vAlign w:val="bottom"/>
          </w:tcPr>
          <w:p>
            <w:pPr>
              <w:spacing w:after="0"/>
              <w:rPr>
                <w:sz w:val="20"/>
                <w:szCs w:val="20"/>
                <w:color w:val="auto"/>
              </w:rPr>
            </w:pPr>
          </w:p>
        </w:tc>
        <w:tc>
          <w:tcPr>
            <w:tcW w:w="224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460" w:type="dxa"/>
            <w:vAlign w:val="bottom"/>
            <w:tcBorders>
              <w:bottom w:val="single" w:sz="8" w:color="auto"/>
            </w:tcBorders>
          </w:tcPr>
          <w:p>
            <w:pPr>
              <w:jc w:val="right"/>
              <w:ind w:right="590"/>
              <w:spacing w:after="0"/>
              <w:rPr>
                <w:sz w:val="20"/>
                <w:szCs w:val="20"/>
                <w:color w:val="auto"/>
              </w:rPr>
            </w:pPr>
            <w:r>
              <w:rPr>
                <w:rFonts w:ascii="Arial" w:cs="Arial" w:eastAsia="Arial" w:hAnsi="Arial"/>
                <w:sz w:val="18"/>
                <w:szCs w:val="18"/>
                <w:b w:val="1"/>
                <w:bCs w:val="1"/>
                <w:color w:val="auto"/>
              </w:rPr>
              <w:t>2018</w:t>
            </w:r>
          </w:p>
        </w:tc>
        <w:tc>
          <w:tcPr>
            <w:tcW w:w="280" w:type="dxa"/>
            <w:vAlign w:val="bottom"/>
            <w:tcBorders>
              <w:bottom w:val="single" w:sz="8" w:color="auto"/>
            </w:tcBorders>
          </w:tcPr>
          <w:p>
            <w:pPr>
              <w:spacing w:after="0"/>
              <w:rPr>
                <w:sz w:val="20"/>
                <w:szCs w:val="20"/>
                <w:color w:val="auto"/>
              </w:rPr>
            </w:pPr>
          </w:p>
        </w:tc>
        <w:tc>
          <w:tcPr>
            <w:tcW w:w="1360" w:type="dxa"/>
            <w:vAlign w:val="bottom"/>
            <w:tcBorders>
              <w:bottom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2017</w:t>
            </w:r>
          </w:p>
        </w:tc>
        <w:tc>
          <w:tcPr>
            <w:tcW w:w="80" w:type="dxa"/>
            <w:vAlign w:val="bottom"/>
          </w:tcPr>
          <w:p>
            <w:pPr>
              <w:spacing w:after="0"/>
              <w:rPr>
                <w:sz w:val="20"/>
                <w:szCs w:val="20"/>
                <w:color w:val="auto"/>
              </w:rPr>
            </w:pPr>
          </w:p>
        </w:tc>
        <w:tc>
          <w:tcPr>
            <w:tcW w:w="1640" w:type="dxa"/>
            <w:vAlign w:val="bottom"/>
          </w:tcPr>
          <w:p>
            <w:pPr>
              <w:spacing w:after="0"/>
              <w:rPr>
                <w:sz w:val="20"/>
                <w:szCs w:val="20"/>
                <w:color w:val="auto"/>
              </w:rPr>
            </w:pPr>
          </w:p>
        </w:tc>
      </w:tr>
      <w:tr>
        <w:trPr>
          <w:trHeight w:val="249"/>
        </w:trPr>
        <w:tc>
          <w:tcPr>
            <w:tcW w:w="660" w:type="dxa"/>
            <w:vAlign w:val="bottom"/>
          </w:tcPr>
          <w:p>
            <w:pPr>
              <w:spacing w:after="0"/>
              <w:rPr>
                <w:sz w:val="21"/>
                <w:szCs w:val="21"/>
                <w:color w:val="auto"/>
              </w:rPr>
            </w:pPr>
          </w:p>
        </w:tc>
        <w:tc>
          <w:tcPr>
            <w:tcW w:w="3520" w:type="dxa"/>
            <w:vAlign w:val="bottom"/>
            <w:shd w:val="clear" w:color="auto" w:fill="CCEEFF"/>
          </w:tcPr>
          <w:p>
            <w:pPr>
              <w:spacing w:after="0"/>
              <w:rPr>
                <w:sz w:val="20"/>
                <w:szCs w:val="20"/>
                <w:color w:val="auto"/>
              </w:rPr>
            </w:pPr>
            <w:r>
              <w:rPr>
                <w:rFonts w:ascii="Arial" w:cs="Arial" w:eastAsia="Arial" w:hAnsi="Arial"/>
                <w:sz w:val="18"/>
                <w:szCs w:val="18"/>
                <w:color w:val="auto"/>
              </w:rPr>
              <w:t>Deferred compensation expense</w:t>
            </w:r>
          </w:p>
        </w:tc>
        <w:tc>
          <w:tcPr>
            <w:tcW w:w="24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79</w:t>
            </w:r>
          </w:p>
        </w:tc>
        <w:tc>
          <w:tcPr>
            <w:tcW w:w="2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w:t>
            </w:r>
          </w:p>
        </w:tc>
        <w:tc>
          <w:tcPr>
            <w:tcW w:w="80" w:type="dxa"/>
            <w:vAlign w:val="bottom"/>
            <w:shd w:val="clear" w:color="auto" w:fill="CCEEFF"/>
          </w:tcPr>
          <w:p>
            <w:pPr>
              <w:spacing w:after="0"/>
              <w:rPr>
                <w:sz w:val="21"/>
                <w:szCs w:val="21"/>
                <w:color w:val="auto"/>
              </w:rPr>
            </w:pPr>
          </w:p>
        </w:tc>
        <w:tc>
          <w:tcPr>
            <w:tcW w:w="1640" w:type="dxa"/>
            <w:vAlign w:val="bottom"/>
          </w:tcPr>
          <w:p>
            <w:pPr>
              <w:spacing w:after="0"/>
              <w:rPr>
                <w:sz w:val="21"/>
                <w:szCs w:val="21"/>
                <w:color w:val="auto"/>
              </w:rPr>
            </w:pPr>
          </w:p>
        </w:tc>
      </w:tr>
      <w:tr>
        <w:trPr>
          <w:trHeight w:val="411"/>
        </w:trPr>
        <w:tc>
          <w:tcPr>
            <w:tcW w:w="660" w:type="dxa"/>
            <w:vAlign w:val="bottom"/>
          </w:tcPr>
          <w:p>
            <w:pPr>
              <w:spacing w:after="0"/>
              <w:rPr>
                <w:sz w:val="24"/>
                <w:szCs w:val="24"/>
                <w:color w:val="auto"/>
              </w:rPr>
            </w:pPr>
          </w:p>
        </w:tc>
        <w:tc>
          <w:tcPr>
            <w:tcW w:w="3520" w:type="dxa"/>
            <w:vAlign w:val="bottom"/>
            <w:tcBorders>
              <w:top w:val="single" w:sz="8" w:color="CCEEFF"/>
            </w:tcBorders>
          </w:tcPr>
          <w:p>
            <w:pPr>
              <w:spacing w:after="0"/>
              <w:rPr>
                <w:sz w:val="24"/>
                <w:szCs w:val="24"/>
                <w:color w:val="auto"/>
              </w:rPr>
            </w:pPr>
          </w:p>
        </w:tc>
        <w:tc>
          <w:tcPr>
            <w:tcW w:w="2240" w:type="dxa"/>
            <w:vAlign w:val="bottom"/>
            <w:tcBorders>
              <w:top w:val="single" w:sz="8" w:color="CCEEFF"/>
            </w:tcBorders>
          </w:tcPr>
          <w:p>
            <w:pPr>
              <w:ind w:left="1240"/>
              <w:spacing w:after="0"/>
              <w:rPr>
                <w:sz w:val="20"/>
                <w:szCs w:val="20"/>
                <w:color w:val="auto"/>
              </w:rPr>
            </w:pPr>
            <w:r>
              <w:rPr>
                <w:rFonts w:ascii="Arial" w:cs="Arial" w:eastAsia="Arial" w:hAnsi="Arial"/>
                <w:sz w:val="18"/>
                <w:szCs w:val="18"/>
                <w:color w:val="auto"/>
              </w:rPr>
              <w:t>16 of 39</w:t>
            </w:r>
          </w:p>
        </w:tc>
        <w:tc>
          <w:tcPr>
            <w:tcW w:w="180" w:type="dxa"/>
            <w:vAlign w:val="bottom"/>
            <w:tcBorders>
              <w:top w:val="single" w:sz="8" w:color="auto"/>
            </w:tcBorders>
          </w:tcPr>
          <w:p>
            <w:pPr>
              <w:spacing w:after="0"/>
              <w:rPr>
                <w:sz w:val="24"/>
                <w:szCs w:val="24"/>
                <w:color w:val="auto"/>
              </w:rPr>
            </w:pPr>
          </w:p>
        </w:tc>
        <w:tc>
          <w:tcPr>
            <w:tcW w:w="1460" w:type="dxa"/>
            <w:vAlign w:val="bottom"/>
            <w:tcBorders>
              <w:top w:val="single" w:sz="8" w:color="auto"/>
            </w:tcBorders>
          </w:tcPr>
          <w:p>
            <w:pPr>
              <w:spacing w:after="0"/>
              <w:rPr>
                <w:sz w:val="24"/>
                <w:szCs w:val="24"/>
                <w:color w:val="auto"/>
              </w:rPr>
            </w:pPr>
          </w:p>
        </w:tc>
        <w:tc>
          <w:tcPr>
            <w:tcW w:w="280" w:type="dxa"/>
            <w:vAlign w:val="bottom"/>
            <w:tcBorders>
              <w:top w:val="single" w:sz="8" w:color="auto"/>
            </w:tcBorders>
          </w:tcPr>
          <w:p>
            <w:pPr>
              <w:spacing w:after="0"/>
              <w:rPr>
                <w:sz w:val="24"/>
                <w:szCs w:val="24"/>
                <w:color w:val="auto"/>
              </w:rPr>
            </w:pPr>
          </w:p>
        </w:tc>
        <w:tc>
          <w:tcPr>
            <w:tcW w:w="1360" w:type="dxa"/>
            <w:vAlign w:val="bottom"/>
            <w:tcBorders>
              <w:top w:val="single" w:sz="8" w:color="auto"/>
            </w:tcBorders>
          </w:tcPr>
          <w:p>
            <w:pPr>
              <w:spacing w:after="0"/>
              <w:rPr>
                <w:sz w:val="24"/>
                <w:szCs w:val="24"/>
                <w:color w:val="auto"/>
              </w:rPr>
            </w:pPr>
          </w:p>
        </w:tc>
        <w:tc>
          <w:tcPr>
            <w:tcW w:w="80" w:type="dxa"/>
            <w:vAlign w:val="bottom"/>
            <w:tcBorders>
              <w:top w:val="single" w:sz="8" w:color="CCEEFF"/>
            </w:tcBorders>
          </w:tcPr>
          <w:p>
            <w:pPr>
              <w:spacing w:after="0"/>
              <w:rPr>
                <w:sz w:val="24"/>
                <w:szCs w:val="24"/>
                <w:color w:val="auto"/>
              </w:rPr>
            </w:pPr>
          </w:p>
        </w:tc>
        <w:tc>
          <w:tcPr>
            <w:tcW w:w="1640" w:type="dxa"/>
            <w:vAlign w:val="bottom"/>
          </w:tcPr>
          <w:p>
            <w:pPr>
              <w:spacing w:after="0"/>
              <w:rPr>
                <w:sz w:val="24"/>
                <w:szCs w:val="24"/>
                <w:color w:val="auto"/>
              </w:rPr>
            </w:pPr>
          </w:p>
        </w:tc>
      </w:tr>
      <w:tr>
        <w:trPr>
          <w:trHeight w:val="114"/>
        </w:trPr>
        <w:tc>
          <w:tcPr>
            <w:tcW w:w="660" w:type="dxa"/>
            <w:vAlign w:val="bottom"/>
            <w:tcBorders>
              <w:bottom w:val="single" w:sz="8" w:color="auto"/>
            </w:tcBorders>
          </w:tcPr>
          <w:p>
            <w:pPr>
              <w:spacing w:after="0"/>
              <w:rPr>
                <w:sz w:val="9"/>
                <w:szCs w:val="9"/>
                <w:color w:val="auto"/>
              </w:rPr>
            </w:pPr>
          </w:p>
        </w:tc>
        <w:tc>
          <w:tcPr>
            <w:tcW w:w="3520" w:type="dxa"/>
            <w:vAlign w:val="bottom"/>
            <w:tcBorders>
              <w:bottom w:val="single" w:sz="8" w:color="auto"/>
            </w:tcBorders>
          </w:tcPr>
          <w:p>
            <w:pPr>
              <w:spacing w:after="0"/>
              <w:rPr>
                <w:sz w:val="9"/>
                <w:szCs w:val="9"/>
                <w:color w:val="auto"/>
              </w:rPr>
            </w:pPr>
          </w:p>
        </w:tc>
        <w:tc>
          <w:tcPr>
            <w:tcW w:w="2240" w:type="dxa"/>
            <w:vAlign w:val="bottom"/>
            <w:tcBorders>
              <w:bottom w:val="single" w:sz="8" w:color="auto"/>
            </w:tcBorders>
          </w:tcPr>
          <w:p>
            <w:pPr>
              <w:spacing w:after="0"/>
              <w:rPr>
                <w:sz w:val="9"/>
                <w:szCs w:val="9"/>
                <w:color w:val="auto"/>
              </w:rPr>
            </w:pPr>
          </w:p>
        </w:tc>
        <w:tc>
          <w:tcPr>
            <w:tcW w:w="180" w:type="dxa"/>
            <w:vAlign w:val="bottom"/>
            <w:tcBorders>
              <w:bottom w:val="single" w:sz="8" w:color="auto"/>
            </w:tcBorders>
          </w:tcPr>
          <w:p>
            <w:pPr>
              <w:spacing w:after="0"/>
              <w:rPr>
                <w:sz w:val="9"/>
                <w:szCs w:val="9"/>
                <w:color w:val="auto"/>
              </w:rPr>
            </w:pPr>
          </w:p>
        </w:tc>
        <w:tc>
          <w:tcPr>
            <w:tcW w:w="1460" w:type="dxa"/>
            <w:vAlign w:val="bottom"/>
            <w:tcBorders>
              <w:bottom w:val="single" w:sz="8" w:color="auto"/>
            </w:tcBorders>
          </w:tcPr>
          <w:p>
            <w:pPr>
              <w:spacing w:after="0"/>
              <w:rPr>
                <w:sz w:val="9"/>
                <w:szCs w:val="9"/>
                <w:color w:val="auto"/>
              </w:rPr>
            </w:pPr>
          </w:p>
        </w:tc>
        <w:tc>
          <w:tcPr>
            <w:tcW w:w="280" w:type="dxa"/>
            <w:vAlign w:val="bottom"/>
            <w:tcBorders>
              <w:bottom w:val="single" w:sz="8" w:color="auto"/>
            </w:tcBorders>
          </w:tcPr>
          <w:p>
            <w:pPr>
              <w:spacing w:after="0"/>
              <w:rPr>
                <w:sz w:val="9"/>
                <w:szCs w:val="9"/>
                <w:color w:val="auto"/>
              </w:rPr>
            </w:pPr>
          </w:p>
        </w:tc>
        <w:tc>
          <w:tcPr>
            <w:tcW w:w="1360" w:type="dxa"/>
            <w:vAlign w:val="bottom"/>
            <w:tcBorders>
              <w:bottom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1640" w:type="dxa"/>
            <w:vAlign w:val="bottom"/>
            <w:tcBorders>
              <w:bottom w:val="single" w:sz="8" w:color="auto"/>
            </w:tcBorders>
          </w:tcPr>
          <w:p>
            <w:pPr>
              <w:spacing w:after="0"/>
              <w:rPr>
                <w:sz w:val="9"/>
                <w:szCs w:val="9"/>
                <w:color w:val="auto"/>
              </w:rPr>
            </w:pPr>
          </w:p>
        </w:tc>
      </w:tr>
    </w:tbl>
    <w:p>
      <w:pPr>
        <w:sectPr>
          <w:pgSz w:w="11900" w:h="16838" w:orient="portrait"/>
          <w:cols w:equalWidth="0" w:num="1">
            <w:col w:w="11420"/>
          </w:cols>
          <w:pgMar w:left="240" w:top="583" w:right="239" w:bottom="1440" w:gutter="0" w:footer="0" w:header="0"/>
        </w:sectPr>
      </w:pPr>
    </w:p>
    <w:bookmarkStart w:id="16" w:name="page17"/>
    <w:bookmarkEnd w:id="16"/>
    <w:p>
      <w:pPr>
        <w:jc w:val="center"/>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NOTES TO CONDENSED CONSOLIDATED FINANCIAL STATEMENTS-UNAUDITED</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FEBRUARY 24, 2018</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00" w:lineRule="exact"/>
        <w:rPr>
          <w:sz w:val="20"/>
          <w:szCs w:val="20"/>
          <w:color w:val="auto"/>
        </w:rPr>
      </w:pPr>
    </w:p>
    <w:p>
      <w:pPr>
        <w:spacing w:after="0" w:line="24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10. Commitments and Contingencies</w:t>
      </w:r>
    </w:p>
    <w:p>
      <w:pPr>
        <w:spacing w:after="0" w:line="228" w:lineRule="exact"/>
        <w:rPr>
          <w:sz w:val="20"/>
          <w:szCs w:val="20"/>
          <w:color w:val="auto"/>
        </w:rPr>
      </w:pPr>
    </w:p>
    <w:p>
      <w:pPr>
        <w:jc w:val="both"/>
        <w:spacing w:after="0" w:line="262" w:lineRule="auto"/>
        <w:rPr>
          <w:sz w:val="20"/>
          <w:szCs w:val="20"/>
          <w:color w:val="auto"/>
        </w:rPr>
      </w:pPr>
      <w:r>
        <w:rPr>
          <w:rFonts w:ascii="Arial" w:cs="Arial" w:eastAsia="Arial" w:hAnsi="Arial"/>
          <w:sz w:val="18"/>
          <w:szCs w:val="18"/>
          <w:color w:val="auto"/>
        </w:rPr>
        <w:t>We are involved in various legal and environmental matters, which arise in the normal course of business. Although the final outcome of these matters cannot be determined, based on the facts presently known, we believe that the final resolution of these matters will not have a material adverse effect on our financial position or future results of operations.</w:t>
      </w:r>
    </w:p>
    <w:p>
      <w:pPr>
        <w:spacing w:after="0" w:line="183"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We lease land and buildings that are used in the operation of our Company-owned retail stores as well as in the operation of certain of our licensee-owned stores, and we lease land and buildings at various locations throughout the continental United States for warehousing and distribution hubs used in our logistical services segment. We also lease tractors, trailers and local delivery trucks used in our logistical services segment. Our real estate lease terms range from one to 15 years and generally have renewal options of between five and 15 years. Some store leases contain contingent rental provisions based upon sales volume. Our transportation equipment leases have terms ranging from two to seven years with fixed monthly rental payments plus variable charges based upon mileage. The following schedule shows future minimum lease payments under non-cancellable operating leases with terms in excess of one year as of February 24, 2018:</w:t>
      </w:r>
    </w:p>
    <w:p>
      <w:pPr>
        <w:spacing w:after="0" w:line="185" w:lineRule="exact"/>
        <w:rPr>
          <w:sz w:val="20"/>
          <w:szCs w:val="20"/>
          <w:color w:val="auto"/>
        </w:rPr>
      </w:pPr>
    </w:p>
    <w:tbl>
      <w:tblPr>
        <w:tblLayout w:type="fixed"/>
        <w:tblInd w:w="160" w:type="dxa"/>
        <w:tblCellMar>
          <w:top w:w="0" w:type="dxa"/>
          <w:left w:w="0" w:type="dxa"/>
          <w:bottom w:w="0" w:type="dxa"/>
          <w:right w:w="0" w:type="dxa"/>
        </w:tblCellMar>
      </w:tblPr>
      <w:tr>
        <w:trPr>
          <w:trHeight w:val="215"/>
        </w:trPr>
        <w:tc>
          <w:tcPr>
            <w:tcW w:w="5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3"/>
              </w:rPr>
              <w:t>Distribution</w:t>
            </w:r>
          </w:p>
        </w:tc>
        <w:tc>
          <w:tcPr>
            <w:tcW w:w="120" w:type="dxa"/>
            <w:vAlign w:val="bottom"/>
          </w:tcPr>
          <w:p>
            <w:pPr>
              <w:spacing w:after="0"/>
              <w:rPr>
                <w:sz w:val="18"/>
                <w:szCs w:val="18"/>
                <w:color w:val="auto"/>
              </w:rPr>
            </w:pPr>
          </w:p>
        </w:tc>
        <w:tc>
          <w:tcPr>
            <w:tcW w:w="1400" w:type="dxa"/>
            <w:vAlign w:val="bottom"/>
            <w:gridSpan w:val="3"/>
          </w:tcPr>
          <w:p>
            <w:pPr>
              <w:spacing w:after="0"/>
              <w:rPr>
                <w:sz w:val="20"/>
                <w:szCs w:val="20"/>
                <w:color w:val="auto"/>
              </w:rPr>
            </w:pPr>
            <w:r>
              <w:rPr>
                <w:rFonts w:ascii="Arial" w:cs="Arial" w:eastAsia="Arial" w:hAnsi="Arial"/>
                <w:sz w:val="18"/>
                <w:szCs w:val="18"/>
                <w:b w:val="1"/>
                <w:bCs w:val="1"/>
                <w:color w:val="auto"/>
              </w:rPr>
              <w:t>Transportation</w:t>
            </w:r>
          </w:p>
        </w:tc>
        <w:tc>
          <w:tcPr>
            <w:tcW w:w="2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34"/>
        </w:trPr>
        <w:tc>
          <w:tcPr>
            <w:tcW w:w="53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20" w:type="dxa"/>
            <w:vAlign w:val="bottom"/>
            <w:gridSpan w:val="2"/>
          </w:tcPr>
          <w:p>
            <w:pPr>
              <w:spacing w:after="0"/>
              <w:rPr>
                <w:sz w:val="20"/>
                <w:szCs w:val="20"/>
                <w:color w:val="auto"/>
              </w:rPr>
            </w:pPr>
            <w:r>
              <w:rPr>
                <w:rFonts w:ascii="Arial" w:cs="Arial" w:eastAsia="Arial" w:hAnsi="Arial"/>
                <w:sz w:val="18"/>
                <w:szCs w:val="18"/>
                <w:b w:val="1"/>
                <w:bCs w:val="1"/>
                <w:color w:val="auto"/>
              </w:rPr>
              <w:t>Retail Stores</w:t>
            </w:r>
          </w:p>
        </w:tc>
        <w:tc>
          <w:tcPr>
            <w:tcW w:w="100" w:type="dxa"/>
            <w:vAlign w:val="bottom"/>
          </w:tcPr>
          <w:p>
            <w:pPr>
              <w:spacing w:after="0"/>
              <w:rPr>
                <w:sz w:val="20"/>
                <w:szCs w:val="20"/>
                <w:color w:val="auto"/>
              </w:rPr>
            </w:pPr>
          </w:p>
        </w:tc>
        <w:tc>
          <w:tcPr>
            <w:tcW w:w="118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9"/>
              </w:rPr>
              <w:t>Centers</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80" w:type="dxa"/>
            <w:vAlign w:val="bottom"/>
            <w:gridSpan w:val="2"/>
          </w:tcPr>
          <w:p>
            <w:pPr>
              <w:ind w:left="40"/>
              <w:spacing w:after="0"/>
              <w:rPr>
                <w:sz w:val="20"/>
                <w:szCs w:val="20"/>
                <w:color w:val="auto"/>
              </w:rPr>
            </w:pPr>
            <w:r>
              <w:rPr>
                <w:rFonts w:ascii="Arial" w:cs="Arial" w:eastAsia="Arial" w:hAnsi="Arial"/>
                <w:sz w:val="18"/>
                <w:szCs w:val="18"/>
                <w:b w:val="1"/>
                <w:bCs w:val="1"/>
                <w:color w:val="auto"/>
              </w:rPr>
              <w:t>Equipment</w:t>
            </w:r>
          </w:p>
        </w:tc>
        <w:tc>
          <w:tcPr>
            <w:tcW w:w="240" w:type="dxa"/>
            <w:vAlign w:val="bottom"/>
          </w:tcPr>
          <w:p>
            <w:pPr>
              <w:spacing w:after="0"/>
              <w:rPr>
                <w:sz w:val="20"/>
                <w:szCs w:val="20"/>
                <w:color w:val="auto"/>
              </w:rPr>
            </w:pPr>
          </w:p>
        </w:tc>
        <w:tc>
          <w:tcPr>
            <w:tcW w:w="1040" w:type="dxa"/>
            <w:vAlign w:val="bottom"/>
            <w:gridSpan w:val="2"/>
          </w:tcPr>
          <w:p>
            <w:pPr>
              <w:ind w:left="140"/>
              <w:spacing w:after="0"/>
              <w:rPr>
                <w:sz w:val="20"/>
                <w:szCs w:val="20"/>
                <w:color w:val="auto"/>
              </w:rPr>
            </w:pPr>
            <w:r>
              <w:rPr>
                <w:rFonts w:ascii="Arial" w:cs="Arial" w:eastAsia="Arial" w:hAnsi="Arial"/>
                <w:sz w:val="18"/>
                <w:szCs w:val="18"/>
                <w:b w:val="1"/>
                <w:bCs w:val="1"/>
                <w:color w:val="auto"/>
              </w:rPr>
              <w:t>Total</w:t>
            </w:r>
          </w:p>
        </w:tc>
      </w:tr>
      <w:tr>
        <w:trPr>
          <w:trHeight w:val="209"/>
        </w:trPr>
        <w:tc>
          <w:tcPr>
            <w:tcW w:w="534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10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5"/>
        </w:trPr>
        <w:tc>
          <w:tcPr>
            <w:tcW w:w="5340" w:type="dxa"/>
            <w:vAlign w:val="bottom"/>
            <w:shd w:val="clear" w:color="auto" w:fill="CCEEFF"/>
          </w:tcPr>
          <w:p>
            <w:pPr>
              <w:spacing w:after="0"/>
              <w:rPr>
                <w:sz w:val="20"/>
                <w:szCs w:val="20"/>
                <w:color w:val="auto"/>
              </w:rPr>
            </w:pPr>
            <w:r>
              <w:rPr>
                <w:rFonts w:ascii="Arial" w:cs="Arial" w:eastAsia="Arial" w:hAnsi="Arial"/>
                <w:sz w:val="18"/>
                <w:szCs w:val="18"/>
                <w:color w:val="auto"/>
              </w:rPr>
              <w:t>Remainder of fiscal 2018</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17,853</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3,859</w:t>
            </w:r>
          </w:p>
        </w:tc>
        <w:tc>
          <w:tcPr>
            <w:tcW w:w="24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w w:val="99"/>
              </w:rPr>
              <w:t>$</w:t>
            </w:r>
          </w:p>
        </w:tc>
        <w:tc>
          <w:tcPr>
            <w:tcW w:w="12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2,424</w:t>
            </w:r>
          </w:p>
        </w:tc>
        <w:tc>
          <w:tcPr>
            <w:tcW w:w="240" w:type="dxa"/>
            <w:vAlign w:val="bottom"/>
            <w:shd w:val="clear" w:color="auto" w:fill="CCEEFF"/>
          </w:tcPr>
          <w:p>
            <w:pPr>
              <w:jc w:val="right"/>
              <w:ind w:right="87"/>
              <w:spacing w:after="0"/>
              <w:rPr>
                <w:sz w:val="20"/>
                <w:szCs w:val="20"/>
                <w:color w:val="auto"/>
              </w:rPr>
            </w:pPr>
            <w:r>
              <w:rPr>
                <w:rFonts w:ascii="Arial" w:cs="Arial" w:eastAsia="Arial" w:hAnsi="Arial"/>
                <w:sz w:val="15"/>
                <w:szCs w:val="15"/>
                <w:color w:val="auto"/>
                <w:w w:val="71"/>
              </w:rPr>
              <w:t>$</w:t>
            </w:r>
          </w:p>
        </w:tc>
        <w:tc>
          <w:tcPr>
            <w:tcW w:w="10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24,136</w:t>
            </w:r>
          </w:p>
        </w:tc>
      </w:tr>
      <w:tr>
        <w:trPr>
          <w:trHeight w:val="215"/>
        </w:trPr>
        <w:tc>
          <w:tcPr>
            <w:tcW w:w="5340" w:type="dxa"/>
            <w:vAlign w:val="bottom"/>
          </w:tcPr>
          <w:p>
            <w:pPr>
              <w:spacing w:after="0"/>
              <w:rPr>
                <w:sz w:val="20"/>
                <w:szCs w:val="20"/>
                <w:color w:val="auto"/>
              </w:rPr>
            </w:pPr>
            <w:r>
              <w:rPr>
                <w:rFonts w:ascii="Arial" w:cs="Arial" w:eastAsia="Arial" w:hAnsi="Arial"/>
                <w:sz w:val="18"/>
                <w:szCs w:val="18"/>
                <w:color w:val="auto"/>
              </w:rPr>
              <w:t>Fiscal 2019</w:t>
            </w:r>
          </w:p>
        </w:tc>
        <w:tc>
          <w:tcPr>
            <w:tcW w:w="10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23,826</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2"/>
          </w:tcPr>
          <w:p>
            <w:pPr>
              <w:jc w:val="right"/>
              <w:ind w:right="100"/>
              <w:spacing w:after="0"/>
              <w:rPr>
                <w:sz w:val="20"/>
                <w:szCs w:val="20"/>
                <w:color w:val="auto"/>
              </w:rPr>
            </w:pPr>
            <w:r>
              <w:rPr>
                <w:rFonts w:ascii="Arial" w:cs="Arial" w:eastAsia="Arial" w:hAnsi="Arial"/>
                <w:sz w:val="18"/>
                <w:szCs w:val="18"/>
                <w:color w:val="auto"/>
              </w:rPr>
              <w:t>4,055</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80" w:type="dxa"/>
            <w:vAlign w:val="bottom"/>
            <w:gridSpan w:val="2"/>
          </w:tcPr>
          <w:p>
            <w:pPr>
              <w:jc w:val="right"/>
              <w:ind w:right="220"/>
              <w:spacing w:after="0"/>
              <w:rPr>
                <w:sz w:val="20"/>
                <w:szCs w:val="20"/>
                <w:color w:val="auto"/>
              </w:rPr>
            </w:pPr>
            <w:r>
              <w:rPr>
                <w:rFonts w:ascii="Arial" w:cs="Arial" w:eastAsia="Arial" w:hAnsi="Arial"/>
                <w:sz w:val="18"/>
                <w:szCs w:val="18"/>
                <w:color w:val="auto"/>
              </w:rPr>
              <w:t>2,750</w:t>
            </w:r>
          </w:p>
        </w:tc>
        <w:tc>
          <w:tcPr>
            <w:tcW w:w="240" w:type="dxa"/>
            <w:vAlign w:val="bottom"/>
          </w:tcPr>
          <w:p>
            <w:pPr>
              <w:spacing w:after="0"/>
              <w:rPr>
                <w:sz w:val="18"/>
                <w:szCs w:val="18"/>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30,631</w:t>
            </w:r>
          </w:p>
        </w:tc>
      </w:tr>
      <w:tr>
        <w:trPr>
          <w:trHeight w:val="215"/>
        </w:trPr>
        <w:tc>
          <w:tcPr>
            <w:tcW w:w="5340" w:type="dxa"/>
            <w:vAlign w:val="bottom"/>
            <w:shd w:val="clear" w:color="auto" w:fill="CCEEFF"/>
          </w:tcPr>
          <w:p>
            <w:pPr>
              <w:spacing w:after="0"/>
              <w:rPr>
                <w:sz w:val="20"/>
                <w:szCs w:val="20"/>
                <w:color w:val="auto"/>
              </w:rPr>
            </w:pPr>
            <w:r>
              <w:rPr>
                <w:rFonts w:ascii="Arial" w:cs="Arial" w:eastAsia="Arial" w:hAnsi="Arial"/>
                <w:sz w:val="18"/>
                <w:szCs w:val="18"/>
                <w:color w:val="auto"/>
              </w:rPr>
              <w:t>Fiscal 2020</w:t>
            </w:r>
          </w:p>
        </w:tc>
        <w:tc>
          <w:tcPr>
            <w:tcW w:w="100" w:type="dxa"/>
            <w:vAlign w:val="bottom"/>
            <w:shd w:val="clear" w:color="auto" w:fill="CCEEFF"/>
          </w:tcPr>
          <w:p>
            <w:pPr>
              <w:spacing w:after="0"/>
              <w:rPr>
                <w:sz w:val="18"/>
                <w:szCs w:val="18"/>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22,281</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3,309</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2,486</w:t>
            </w: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28,076</w:t>
            </w:r>
          </w:p>
        </w:tc>
      </w:tr>
      <w:tr>
        <w:trPr>
          <w:trHeight w:val="215"/>
        </w:trPr>
        <w:tc>
          <w:tcPr>
            <w:tcW w:w="5340" w:type="dxa"/>
            <w:vAlign w:val="bottom"/>
          </w:tcPr>
          <w:p>
            <w:pPr>
              <w:spacing w:after="0"/>
              <w:rPr>
                <w:sz w:val="20"/>
                <w:szCs w:val="20"/>
                <w:color w:val="auto"/>
              </w:rPr>
            </w:pPr>
            <w:r>
              <w:rPr>
                <w:rFonts w:ascii="Arial" w:cs="Arial" w:eastAsia="Arial" w:hAnsi="Arial"/>
                <w:sz w:val="18"/>
                <w:szCs w:val="18"/>
                <w:color w:val="auto"/>
              </w:rPr>
              <w:t>Fiscal 2021</w:t>
            </w:r>
          </w:p>
        </w:tc>
        <w:tc>
          <w:tcPr>
            <w:tcW w:w="10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19,246</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2"/>
          </w:tcPr>
          <w:p>
            <w:pPr>
              <w:jc w:val="right"/>
              <w:ind w:right="100"/>
              <w:spacing w:after="0"/>
              <w:rPr>
                <w:sz w:val="20"/>
                <w:szCs w:val="20"/>
                <w:color w:val="auto"/>
              </w:rPr>
            </w:pPr>
            <w:r>
              <w:rPr>
                <w:rFonts w:ascii="Arial" w:cs="Arial" w:eastAsia="Arial" w:hAnsi="Arial"/>
                <w:sz w:val="18"/>
                <w:szCs w:val="18"/>
                <w:color w:val="auto"/>
              </w:rPr>
              <w:t>2,694</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80" w:type="dxa"/>
            <w:vAlign w:val="bottom"/>
            <w:gridSpan w:val="2"/>
          </w:tcPr>
          <w:p>
            <w:pPr>
              <w:jc w:val="right"/>
              <w:ind w:right="220"/>
              <w:spacing w:after="0"/>
              <w:rPr>
                <w:sz w:val="20"/>
                <w:szCs w:val="20"/>
                <w:color w:val="auto"/>
              </w:rPr>
            </w:pPr>
            <w:r>
              <w:rPr>
                <w:rFonts w:ascii="Arial" w:cs="Arial" w:eastAsia="Arial" w:hAnsi="Arial"/>
                <w:sz w:val="18"/>
                <w:szCs w:val="18"/>
                <w:color w:val="auto"/>
              </w:rPr>
              <w:t>1,552</w:t>
            </w:r>
          </w:p>
        </w:tc>
        <w:tc>
          <w:tcPr>
            <w:tcW w:w="240" w:type="dxa"/>
            <w:vAlign w:val="bottom"/>
          </w:tcPr>
          <w:p>
            <w:pPr>
              <w:spacing w:after="0"/>
              <w:rPr>
                <w:sz w:val="18"/>
                <w:szCs w:val="18"/>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23,492</w:t>
            </w:r>
          </w:p>
        </w:tc>
      </w:tr>
      <w:tr>
        <w:trPr>
          <w:trHeight w:val="215"/>
        </w:trPr>
        <w:tc>
          <w:tcPr>
            <w:tcW w:w="5340" w:type="dxa"/>
            <w:vAlign w:val="bottom"/>
            <w:shd w:val="clear" w:color="auto" w:fill="CCEEFF"/>
          </w:tcPr>
          <w:p>
            <w:pPr>
              <w:spacing w:after="0"/>
              <w:rPr>
                <w:sz w:val="20"/>
                <w:szCs w:val="20"/>
                <w:color w:val="auto"/>
              </w:rPr>
            </w:pPr>
            <w:r>
              <w:rPr>
                <w:rFonts w:ascii="Arial" w:cs="Arial" w:eastAsia="Arial" w:hAnsi="Arial"/>
                <w:sz w:val="18"/>
                <w:szCs w:val="18"/>
                <w:color w:val="auto"/>
              </w:rPr>
              <w:t>Fiscal 2022</w:t>
            </w:r>
          </w:p>
        </w:tc>
        <w:tc>
          <w:tcPr>
            <w:tcW w:w="100" w:type="dxa"/>
            <w:vAlign w:val="bottom"/>
            <w:shd w:val="clear" w:color="auto" w:fill="CCEEFF"/>
          </w:tcPr>
          <w:p>
            <w:pPr>
              <w:spacing w:after="0"/>
              <w:rPr>
                <w:sz w:val="18"/>
                <w:szCs w:val="18"/>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16,382</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2,584</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1,346</w:t>
            </w: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20,312</w:t>
            </w:r>
          </w:p>
        </w:tc>
      </w:tr>
      <w:tr>
        <w:trPr>
          <w:trHeight w:val="215"/>
        </w:trPr>
        <w:tc>
          <w:tcPr>
            <w:tcW w:w="5340" w:type="dxa"/>
            <w:vAlign w:val="bottom"/>
          </w:tcPr>
          <w:p>
            <w:pPr>
              <w:spacing w:after="0"/>
              <w:rPr>
                <w:sz w:val="20"/>
                <w:szCs w:val="20"/>
                <w:color w:val="auto"/>
              </w:rPr>
            </w:pPr>
            <w:r>
              <w:rPr>
                <w:rFonts w:ascii="Arial" w:cs="Arial" w:eastAsia="Arial" w:hAnsi="Arial"/>
                <w:sz w:val="18"/>
                <w:szCs w:val="18"/>
                <w:color w:val="auto"/>
              </w:rPr>
              <w:t>Fiscal 2023</w:t>
            </w:r>
          </w:p>
        </w:tc>
        <w:tc>
          <w:tcPr>
            <w:tcW w:w="10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13,545</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2"/>
          </w:tcPr>
          <w:p>
            <w:pPr>
              <w:jc w:val="right"/>
              <w:ind w:right="100"/>
              <w:spacing w:after="0"/>
              <w:rPr>
                <w:sz w:val="20"/>
                <w:szCs w:val="20"/>
                <w:color w:val="auto"/>
              </w:rPr>
            </w:pPr>
            <w:r>
              <w:rPr>
                <w:rFonts w:ascii="Arial" w:cs="Arial" w:eastAsia="Arial" w:hAnsi="Arial"/>
                <w:sz w:val="18"/>
                <w:szCs w:val="18"/>
                <w:color w:val="auto"/>
              </w:rPr>
              <w:t>1,517</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80" w:type="dxa"/>
            <w:vAlign w:val="bottom"/>
            <w:gridSpan w:val="2"/>
          </w:tcPr>
          <w:p>
            <w:pPr>
              <w:jc w:val="right"/>
              <w:ind w:right="220"/>
              <w:spacing w:after="0"/>
              <w:rPr>
                <w:sz w:val="20"/>
                <w:szCs w:val="20"/>
                <w:color w:val="auto"/>
              </w:rPr>
            </w:pPr>
            <w:r>
              <w:rPr>
                <w:rFonts w:ascii="Arial" w:cs="Arial" w:eastAsia="Arial" w:hAnsi="Arial"/>
                <w:sz w:val="18"/>
                <w:szCs w:val="18"/>
                <w:color w:val="auto"/>
              </w:rPr>
              <w:t>637</w:t>
            </w:r>
          </w:p>
        </w:tc>
        <w:tc>
          <w:tcPr>
            <w:tcW w:w="240" w:type="dxa"/>
            <w:vAlign w:val="bottom"/>
          </w:tcPr>
          <w:p>
            <w:pPr>
              <w:spacing w:after="0"/>
              <w:rPr>
                <w:sz w:val="18"/>
                <w:szCs w:val="18"/>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15,699</w:t>
            </w:r>
          </w:p>
        </w:tc>
      </w:tr>
      <w:tr>
        <w:trPr>
          <w:trHeight w:val="215"/>
        </w:trPr>
        <w:tc>
          <w:tcPr>
            <w:tcW w:w="534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Thereafter</w:t>
            </w:r>
          </w:p>
        </w:tc>
        <w:tc>
          <w:tcPr>
            <w:tcW w:w="100" w:type="dxa"/>
            <w:vAlign w:val="bottom"/>
            <w:tcBorders>
              <w:bottom w:val="single" w:sz="8" w:color="auto"/>
            </w:tcBorders>
            <w:shd w:val="clear" w:color="auto" w:fill="CCEEFF"/>
          </w:tcPr>
          <w:p>
            <w:pPr>
              <w:spacing w:after="0"/>
              <w:rPr>
                <w:sz w:val="18"/>
                <w:szCs w:val="18"/>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38,586</w:t>
            </w:r>
          </w:p>
        </w:tc>
        <w:tc>
          <w:tcPr>
            <w:tcW w:w="22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437</w:t>
            </w:r>
          </w:p>
        </w:tc>
        <w:tc>
          <w:tcPr>
            <w:tcW w:w="10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511</w:t>
            </w:r>
          </w:p>
        </w:tc>
        <w:tc>
          <w:tcPr>
            <w:tcW w:w="220" w:type="dxa"/>
            <w:vAlign w:val="bottom"/>
            <w:tcBorders>
              <w:bottom w:val="single" w:sz="8" w:color="CCEEFF"/>
            </w:tcBorders>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39,534</w:t>
            </w:r>
          </w:p>
        </w:tc>
        <w:tc>
          <w:tcPr>
            <w:tcW w:w="100" w:type="dxa"/>
            <w:vAlign w:val="bottom"/>
            <w:tcBorders>
              <w:bottom w:val="single" w:sz="8" w:color="CCEEFF"/>
            </w:tcBorders>
            <w:shd w:val="clear" w:color="auto" w:fill="CCEEFF"/>
          </w:tcPr>
          <w:p>
            <w:pPr>
              <w:spacing w:after="0"/>
              <w:rPr>
                <w:sz w:val="18"/>
                <w:szCs w:val="18"/>
                <w:color w:val="auto"/>
              </w:rPr>
            </w:pPr>
          </w:p>
        </w:tc>
      </w:tr>
      <w:tr>
        <w:trPr>
          <w:trHeight w:val="209"/>
        </w:trPr>
        <w:tc>
          <w:tcPr>
            <w:tcW w:w="5340" w:type="dxa"/>
            <w:vAlign w:val="bottom"/>
          </w:tcPr>
          <w:p>
            <w:pPr>
              <w:ind w:left="180"/>
              <w:spacing w:after="0"/>
              <w:rPr>
                <w:sz w:val="20"/>
                <w:szCs w:val="20"/>
                <w:color w:val="auto"/>
              </w:rPr>
            </w:pPr>
            <w:r>
              <w:rPr>
                <w:rFonts w:ascii="Arial" w:cs="Arial" w:eastAsia="Arial" w:hAnsi="Arial"/>
                <w:sz w:val="18"/>
                <w:szCs w:val="18"/>
                <w:color w:val="auto"/>
              </w:rPr>
              <w:t>Total future minimum lease payments</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00" w:type="dxa"/>
            <w:vAlign w:val="bottom"/>
          </w:tcPr>
          <w:p>
            <w:pPr>
              <w:jc w:val="right"/>
              <w:spacing w:after="0"/>
              <w:rPr>
                <w:sz w:val="20"/>
                <w:szCs w:val="20"/>
                <w:color w:val="auto"/>
              </w:rPr>
            </w:pPr>
            <w:r>
              <w:rPr>
                <w:rFonts w:ascii="Arial" w:cs="Arial" w:eastAsia="Arial" w:hAnsi="Arial"/>
                <w:sz w:val="18"/>
                <w:szCs w:val="18"/>
                <w:color w:val="auto"/>
              </w:rPr>
              <w:t>151,719</w:t>
            </w:r>
          </w:p>
        </w:tc>
        <w:tc>
          <w:tcPr>
            <w:tcW w:w="22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80" w:type="dxa"/>
            <w:vAlign w:val="bottom"/>
            <w:gridSpan w:val="2"/>
          </w:tcPr>
          <w:p>
            <w:pPr>
              <w:jc w:val="right"/>
              <w:ind w:right="100"/>
              <w:spacing w:after="0"/>
              <w:rPr>
                <w:sz w:val="20"/>
                <w:szCs w:val="20"/>
                <w:color w:val="auto"/>
              </w:rPr>
            </w:pPr>
            <w:r>
              <w:rPr>
                <w:rFonts w:ascii="Arial" w:cs="Arial" w:eastAsia="Arial" w:hAnsi="Arial"/>
                <w:sz w:val="18"/>
                <w:szCs w:val="18"/>
                <w:color w:val="auto"/>
              </w:rPr>
              <w:t>18,455</w:t>
            </w:r>
          </w:p>
        </w:tc>
        <w:tc>
          <w:tcPr>
            <w:tcW w:w="240" w:type="dxa"/>
            <w:vAlign w:val="bottom"/>
            <w:gridSpan w:val="2"/>
          </w:tcPr>
          <w:p>
            <w:pPr>
              <w:ind w:left="120"/>
              <w:spacing w:after="0"/>
              <w:rPr>
                <w:sz w:val="20"/>
                <w:szCs w:val="20"/>
                <w:color w:val="auto"/>
              </w:rPr>
            </w:pPr>
            <w:r>
              <w:rPr>
                <w:rFonts w:ascii="Arial" w:cs="Arial" w:eastAsia="Arial" w:hAnsi="Arial"/>
                <w:sz w:val="18"/>
                <w:szCs w:val="18"/>
                <w:color w:val="auto"/>
                <w:w w:val="99"/>
              </w:rPr>
              <w:t>$</w:t>
            </w:r>
          </w:p>
        </w:tc>
        <w:tc>
          <w:tcPr>
            <w:tcW w:w="1280" w:type="dxa"/>
            <w:vAlign w:val="bottom"/>
            <w:gridSpan w:val="2"/>
          </w:tcPr>
          <w:p>
            <w:pPr>
              <w:jc w:val="right"/>
              <w:ind w:right="220"/>
              <w:spacing w:after="0"/>
              <w:rPr>
                <w:sz w:val="20"/>
                <w:szCs w:val="20"/>
                <w:color w:val="auto"/>
              </w:rPr>
            </w:pPr>
            <w:r>
              <w:rPr>
                <w:rFonts w:ascii="Arial" w:cs="Arial" w:eastAsia="Arial" w:hAnsi="Arial"/>
                <w:sz w:val="18"/>
                <w:szCs w:val="18"/>
                <w:color w:val="auto"/>
              </w:rPr>
              <w:t>11,706</w:t>
            </w:r>
          </w:p>
        </w:tc>
        <w:tc>
          <w:tcPr>
            <w:tcW w:w="240" w:type="dxa"/>
            <w:vAlign w:val="bottom"/>
          </w:tcPr>
          <w:p>
            <w:pPr>
              <w:jc w:val="right"/>
              <w:ind w:right="87"/>
              <w:spacing w:after="0"/>
              <w:rPr>
                <w:sz w:val="20"/>
                <w:szCs w:val="20"/>
                <w:color w:val="auto"/>
              </w:rPr>
            </w:pPr>
            <w:r>
              <w:rPr>
                <w:rFonts w:ascii="Arial" w:cs="Arial" w:eastAsia="Arial" w:hAnsi="Arial"/>
                <w:sz w:val="15"/>
                <w:szCs w:val="15"/>
                <w:color w:val="auto"/>
                <w:w w:val="71"/>
              </w:rPr>
              <w:t>$</w:t>
            </w: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181,880</w:t>
            </w:r>
          </w:p>
        </w:tc>
      </w:tr>
      <w:tr>
        <w:trPr>
          <w:trHeight w:val="20"/>
        </w:trPr>
        <w:tc>
          <w:tcPr>
            <w:tcW w:w="53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1" w:lineRule="exact"/>
        <w:rPr>
          <w:sz w:val="20"/>
          <w:szCs w:val="20"/>
          <w:color w:val="auto"/>
        </w:rPr>
      </w:pPr>
    </w:p>
    <w:p>
      <w:pPr>
        <w:jc w:val="both"/>
        <w:spacing w:after="0" w:line="276" w:lineRule="auto"/>
        <w:rPr>
          <w:sz w:val="20"/>
          <w:szCs w:val="20"/>
          <w:color w:val="auto"/>
        </w:rPr>
      </w:pPr>
      <w:r>
        <w:rPr>
          <w:rFonts w:ascii="Arial" w:cs="Arial" w:eastAsia="Arial" w:hAnsi="Arial"/>
          <w:sz w:val="18"/>
          <w:szCs w:val="18"/>
          <w:color w:val="auto"/>
        </w:rPr>
        <w:t>In connection with our long-term real estate leases, our liability for accrued straight-line rent expense was $4,991 and $4,821 at February 24, 2018 and November 25, 2017, respectively, and is included in other accrued liabilities in our condensed consolidated balance sheets.</w:t>
      </w:r>
    </w:p>
    <w:p>
      <w:pPr>
        <w:spacing w:after="0" w:line="170" w:lineRule="exact"/>
        <w:rPr>
          <w:sz w:val="20"/>
          <w:szCs w:val="20"/>
          <w:color w:val="auto"/>
        </w:rPr>
      </w:pPr>
    </w:p>
    <w:p>
      <w:pPr>
        <w:jc w:val="both"/>
        <w:spacing w:after="0" w:line="306" w:lineRule="auto"/>
        <w:rPr>
          <w:sz w:val="20"/>
          <w:szCs w:val="20"/>
          <w:color w:val="auto"/>
        </w:rPr>
      </w:pPr>
      <w:r>
        <w:rPr>
          <w:rFonts w:ascii="Arial" w:cs="Arial" w:eastAsia="Arial" w:hAnsi="Arial"/>
          <w:sz w:val="17"/>
          <w:szCs w:val="17"/>
          <w:color w:val="auto"/>
        </w:rPr>
        <w:t>We also have guaranteed certain lease obligations of licensee operators. Lease guarantees range from one to ten years. We were contingently liable under licensee lease obligation guarantees in the amount of $2,552 and $2,743 at February 24, 2018 and November 25, 2017, respectively.</w:t>
      </w:r>
    </w:p>
    <w:p>
      <w:pPr>
        <w:spacing w:after="0" w:line="148" w:lineRule="exact"/>
        <w:rPr>
          <w:sz w:val="20"/>
          <w:szCs w:val="20"/>
          <w:color w:val="auto"/>
        </w:rPr>
      </w:pPr>
    </w:p>
    <w:p>
      <w:pPr>
        <w:jc w:val="both"/>
        <w:spacing w:after="0" w:line="256" w:lineRule="auto"/>
        <w:rPr>
          <w:sz w:val="20"/>
          <w:szCs w:val="20"/>
          <w:color w:val="auto"/>
        </w:rPr>
      </w:pPr>
      <w:r>
        <w:rPr>
          <w:rFonts w:ascii="Arial" w:cs="Arial" w:eastAsia="Arial" w:hAnsi="Arial"/>
          <w:sz w:val="18"/>
          <w:szCs w:val="18"/>
          <w:color w:val="auto"/>
        </w:rPr>
        <w:t>In the event of default by an independent dealer under the guaranteed lease, we believe that the risk of loss is mitigated through a combination of options that include, but are not limited to, arranging for a replacement dealer, liquidating the collateral (primarily inventory), and pursuing payment under the personal guarantees of the independent dealer. The proceeds of the above options are expected to cover the estimated amount of our future payments under the guarantee obligations, net of recorded reserves. The fair value of lease guarantees (an estimate of the cost to the Company to perform on these guarantees) at February 24, 2018 and November 25, 2017 was not material.</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82550</wp:posOffset>
            </wp:positionV>
            <wp:extent cx="7247255" cy="171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47255" cy="17145"/>
                    </a:xfrm>
                    <a:prstGeom prst="rect">
                      <a:avLst/>
                    </a:prstGeom>
                    <a:noFill/>
                  </pic:spPr>
                </pic:pic>
              </a:graphicData>
            </a:graphic>
          </wp:anchor>
        </w:drawing>
      </w:r>
    </w:p>
    <w:p>
      <w:pPr>
        <w:sectPr>
          <w:pgSz w:w="11900" w:h="16838" w:orient="portrait"/>
          <w:cols w:equalWidth="0" w:num="1">
            <w:col w:w="11420"/>
          </w:cols>
          <w:pgMar w:left="240" w:top="583" w:right="239" w:bottom="1440" w:gutter="0" w:footer="0" w:header="0"/>
        </w:sectPr>
      </w:pPr>
    </w:p>
    <w:bookmarkStart w:id="17" w:name="page18"/>
    <w:bookmarkEnd w:id="17"/>
    <w:p>
      <w:pPr>
        <w:jc w:val="center"/>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NOTES TO CONDENSED CONSOLIDATED FINANCIAL STATEMENTS-UNAUDITED</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FEBRUARY 24, 2018</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00" w:lineRule="exact"/>
        <w:rPr>
          <w:sz w:val="20"/>
          <w:szCs w:val="20"/>
          <w:color w:val="auto"/>
        </w:rPr>
      </w:pPr>
    </w:p>
    <w:p>
      <w:pPr>
        <w:spacing w:after="0" w:line="24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340" w:type="dxa"/>
            <w:vAlign w:val="bottom"/>
            <w:gridSpan w:val="3"/>
          </w:tcPr>
          <w:p>
            <w:pPr>
              <w:spacing w:after="0"/>
              <w:rPr>
                <w:sz w:val="20"/>
                <w:szCs w:val="20"/>
                <w:color w:val="auto"/>
              </w:rPr>
            </w:pPr>
            <w:r>
              <w:rPr>
                <w:rFonts w:ascii="Arial" w:cs="Arial" w:eastAsia="Arial" w:hAnsi="Arial"/>
                <w:sz w:val="18"/>
                <w:szCs w:val="18"/>
                <w:b w:val="1"/>
                <w:bCs w:val="1"/>
                <w:color w:val="auto"/>
              </w:rPr>
              <w:t>11. Earnings (Loss) Per Share</w:t>
            </w:r>
          </w:p>
        </w:tc>
        <w:tc>
          <w:tcPr>
            <w:tcW w:w="4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500" w:type="dxa"/>
            <w:vAlign w:val="bottom"/>
          </w:tcPr>
          <w:p>
            <w:pPr>
              <w:spacing w:after="0"/>
              <w:rPr>
                <w:sz w:val="20"/>
                <w:szCs w:val="20"/>
                <w:color w:val="auto"/>
              </w:rPr>
            </w:pPr>
          </w:p>
        </w:tc>
        <w:tc>
          <w:tcPr>
            <w:tcW w:w="16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1"/>
        </w:trPr>
        <w:tc>
          <w:tcPr>
            <w:tcW w:w="5340" w:type="dxa"/>
            <w:vAlign w:val="bottom"/>
            <w:gridSpan w:val="3"/>
          </w:tcPr>
          <w:p>
            <w:pPr>
              <w:spacing w:after="0"/>
              <w:rPr>
                <w:sz w:val="20"/>
                <w:szCs w:val="20"/>
                <w:color w:val="auto"/>
              </w:rPr>
            </w:pPr>
            <w:r>
              <w:rPr>
                <w:rFonts w:ascii="Arial" w:cs="Arial" w:eastAsia="Arial" w:hAnsi="Arial"/>
                <w:sz w:val="18"/>
                <w:szCs w:val="18"/>
                <w:color w:val="auto"/>
                <w:w w:val="98"/>
              </w:rPr>
              <w:t>The following reconciles basic and diluted earnings (loss) per share:</w:t>
            </w:r>
          </w:p>
        </w:tc>
        <w:tc>
          <w:tcPr>
            <w:tcW w:w="4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6"/>
        </w:trPr>
        <w:tc>
          <w:tcPr>
            <w:tcW w:w="20" w:type="dxa"/>
            <w:vAlign w:val="bottom"/>
          </w:tcPr>
          <w:p>
            <w:pPr>
              <w:spacing w:after="0"/>
              <w:rPr>
                <w:sz w:val="24"/>
                <w:szCs w:val="24"/>
                <w:color w:val="auto"/>
              </w:rPr>
            </w:pPr>
          </w:p>
        </w:tc>
        <w:tc>
          <w:tcPr>
            <w:tcW w:w="2940" w:type="dxa"/>
            <w:vAlign w:val="bottom"/>
          </w:tcPr>
          <w:p>
            <w:pPr>
              <w:spacing w:after="0"/>
              <w:rPr>
                <w:sz w:val="24"/>
                <w:szCs w:val="24"/>
                <w:color w:val="auto"/>
              </w:rPr>
            </w:pPr>
          </w:p>
        </w:tc>
        <w:tc>
          <w:tcPr>
            <w:tcW w:w="23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400" w:type="dxa"/>
            <w:vAlign w:val="bottom"/>
            <w:gridSpan w:val="2"/>
          </w:tcPr>
          <w:p>
            <w:pPr>
              <w:jc w:val="center"/>
              <w:ind w:right="320"/>
              <w:spacing w:after="0"/>
              <w:rPr>
                <w:sz w:val="20"/>
                <w:szCs w:val="20"/>
                <w:color w:val="auto"/>
              </w:rPr>
            </w:pPr>
            <w:r>
              <w:rPr>
                <w:rFonts w:ascii="Arial" w:cs="Arial" w:eastAsia="Arial" w:hAnsi="Arial"/>
                <w:sz w:val="18"/>
                <w:szCs w:val="18"/>
                <w:color w:val="auto"/>
                <w:w w:val="91"/>
              </w:rPr>
              <w:t>Net Income</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2940" w:type="dxa"/>
            <w:vAlign w:val="bottom"/>
          </w:tcPr>
          <w:p>
            <w:pPr>
              <w:spacing w:after="0"/>
              <w:rPr>
                <w:sz w:val="18"/>
                <w:szCs w:val="18"/>
                <w:color w:val="auto"/>
              </w:rPr>
            </w:pPr>
          </w:p>
        </w:tc>
        <w:tc>
          <w:tcPr>
            <w:tcW w:w="23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00" w:type="dxa"/>
            <w:vAlign w:val="bottom"/>
          </w:tcPr>
          <w:p>
            <w:pPr>
              <w:jc w:val="right"/>
              <w:ind w:right="450"/>
              <w:spacing w:after="0"/>
              <w:rPr>
                <w:sz w:val="20"/>
                <w:szCs w:val="20"/>
                <w:color w:val="auto"/>
              </w:rPr>
            </w:pPr>
            <w:r>
              <w:rPr>
                <w:rFonts w:ascii="Arial" w:cs="Arial" w:eastAsia="Arial" w:hAnsi="Arial"/>
                <w:sz w:val="18"/>
                <w:szCs w:val="18"/>
                <w:color w:val="auto"/>
              </w:rPr>
              <w:t>Net Income</w:t>
            </w:r>
          </w:p>
        </w:tc>
        <w:tc>
          <w:tcPr>
            <w:tcW w:w="1640" w:type="dxa"/>
            <w:vAlign w:val="bottom"/>
          </w:tcPr>
          <w:p>
            <w:pPr>
              <w:jc w:val="right"/>
              <w:ind w:right="110"/>
              <w:spacing w:after="0"/>
              <w:rPr>
                <w:sz w:val="20"/>
                <w:szCs w:val="20"/>
                <w:color w:val="auto"/>
              </w:rPr>
            </w:pPr>
            <w:r>
              <w:rPr>
                <w:rFonts w:ascii="Arial" w:cs="Arial" w:eastAsia="Arial" w:hAnsi="Arial"/>
                <w:sz w:val="18"/>
                <w:szCs w:val="18"/>
                <w:color w:val="auto"/>
                <w:w w:val="95"/>
              </w:rPr>
              <w:t>Weighted Average</w:t>
            </w:r>
          </w:p>
        </w:tc>
        <w:tc>
          <w:tcPr>
            <w:tcW w:w="320" w:type="dxa"/>
            <w:vAlign w:val="bottom"/>
          </w:tcPr>
          <w:p>
            <w:pPr>
              <w:spacing w:after="0"/>
              <w:rPr>
                <w:sz w:val="18"/>
                <w:szCs w:val="18"/>
                <w:color w:val="auto"/>
              </w:rPr>
            </w:pPr>
          </w:p>
        </w:tc>
        <w:tc>
          <w:tcPr>
            <w:tcW w:w="1400" w:type="dxa"/>
            <w:vAlign w:val="bottom"/>
            <w:gridSpan w:val="2"/>
          </w:tcPr>
          <w:p>
            <w:pPr>
              <w:jc w:val="center"/>
              <w:ind w:right="320"/>
              <w:spacing w:after="0"/>
              <w:rPr>
                <w:sz w:val="20"/>
                <w:szCs w:val="20"/>
                <w:color w:val="auto"/>
              </w:rPr>
            </w:pPr>
            <w:r>
              <w:rPr>
                <w:rFonts w:ascii="Arial" w:cs="Arial" w:eastAsia="Arial" w:hAnsi="Arial"/>
                <w:sz w:val="18"/>
                <w:szCs w:val="18"/>
                <w:color w:val="auto"/>
                <w:w w:val="91"/>
              </w:rPr>
              <w:t>(Loss) Per</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2940" w:type="dxa"/>
            <w:vAlign w:val="bottom"/>
          </w:tcPr>
          <w:p>
            <w:pPr>
              <w:spacing w:after="0"/>
              <w:rPr>
                <w:sz w:val="19"/>
                <w:szCs w:val="19"/>
                <w:color w:val="auto"/>
              </w:rPr>
            </w:pPr>
          </w:p>
        </w:tc>
        <w:tc>
          <w:tcPr>
            <w:tcW w:w="238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500" w:type="dxa"/>
            <w:vAlign w:val="bottom"/>
          </w:tcPr>
          <w:p>
            <w:pPr>
              <w:jc w:val="right"/>
              <w:ind w:right="630"/>
              <w:spacing w:after="0"/>
              <w:rPr>
                <w:sz w:val="20"/>
                <w:szCs w:val="20"/>
                <w:color w:val="auto"/>
              </w:rPr>
            </w:pPr>
            <w:r>
              <w:rPr>
                <w:rFonts w:ascii="Arial" w:cs="Arial" w:eastAsia="Arial" w:hAnsi="Arial"/>
                <w:sz w:val="18"/>
                <w:szCs w:val="18"/>
                <w:color w:val="auto"/>
              </w:rPr>
              <w:t>(Loss)</w:t>
            </w:r>
          </w:p>
        </w:tc>
        <w:tc>
          <w:tcPr>
            <w:tcW w:w="1640" w:type="dxa"/>
            <w:vAlign w:val="bottom"/>
          </w:tcPr>
          <w:p>
            <w:pPr>
              <w:jc w:val="right"/>
              <w:ind w:right="530"/>
              <w:spacing w:after="0"/>
              <w:rPr>
                <w:sz w:val="20"/>
                <w:szCs w:val="20"/>
                <w:color w:val="auto"/>
              </w:rPr>
            </w:pPr>
            <w:r>
              <w:rPr>
                <w:rFonts w:ascii="Arial" w:cs="Arial" w:eastAsia="Arial" w:hAnsi="Arial"/>
                <w:sz w:val="18"/>
                <w:szCs w:val="18"/>
                <w:color w:val="auto"/>
              </w:rPr>
              <w:t>Shares</w:t>
            </w:r>
          </w:p>
        </w:tc>
        <w:tc>
          <w:tcPr>
            <w:tcW w:w="320" w:type="dxa"/>
            <w:vAlign w:val="bottom"/>
          </w:tcPr>
          <w:p>
            <w:pPr>
              <w:spacing w:after="0"/>
              <w:rPr>
                <w:sz w:val="19"/>
                <w:szCs w:val="19"/>
                <w:color w:val="auto"/>
              </w:rPr>
            </w:pPr>
          </w:p>
        </w:tc>
        <w:tc>
          <w:tcPr>
            <w:tcW w:w="1400" w:type="dxa"/>
            <w:vAlign w:val="bottom"/>
            <w:gridSpan w:val="2"/>
          </w:tcPr>
          <w:p>
            <w:pPr>
              <w:jc w:val="center"/>
              <w:ind w:right="320"/>
              <w:spacing w:after="0"/>
              <w:rPr>
                <w:sz w:val="20"/>
                <w:szCs w:val="20"/>
                <w:color w:val="auto"/>
              </w:rPr>
            </w:pPr>
            <w:r>
              <w:rPr>
                <w:rFonts w:ascii="Arial" w:cs="Arial" w:eastAsia="Arial" w:hAnsi="Arial"/>
                <w:sz w:val="18"/>
                <w:szCs w:val="18"/>
                <w:color w:val="auto"/>
                <w:w w:val="83"/>
              </w:rPr>
              <w:t>Share</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5320" w:type="dxa"/>
            <w:vAlign w:val="bottom"/>
            <w:gridSpan w:val="2"/>
            <w:shd w:val="clear" w:color="auto" w:fill="CCEEFF"/>
          </w:tcPr>
          <w:p>
            <w:pPr>
              <w:spacing w:after="0" w:line="169" w:lineRule="exact"/>
              <w:rPr>
                <w:sz w:val="20"/>
                <w:szCs w:val="20"/>
                <w:color w:val="auto"/>
              </w:rPr>
            </w:pPr>
            <w:r>
              <w:rPr>
                <w:rFonts w:ascii="Arial" w:cs="Arial" w:eastAsia="Arial" w:hAnsi="Arial"/>
                <w:sz w:val="18"/>
                <w:szCs w:val="18"/>
                <w:color w:val="auto"/>
              </w:rPr>
              <w:t>For the quarter ended February 24, 2018:</w:t>
            </w:r>
          </w:p>
        </w:tc>
        <w:tc>
          <w:tcPr>
            <w:tcW w:w="420" w:type="dxa"/>
            <w:vAlign w:val="bottom"/>
            <w:shd w:val="clear" w:color="auto" w:fill="CCEEFF"/>
          </w:tcPr>
          <w:p>
            <w:pPr>
              <w:spacing w:after="0"/>
              <w:rPr>
                <w:sz w:val="16"/>
                <w:szCs w:val="16"/>
                <w:color w:val="auto"/>
              </w:rPr>
            </w:pPr>
          </w:p>
        </w:tc>
        <w:tc>
          <w:tcPr>
            <w:tcW w:w="220" w:type="dxa"/>
            <w:vAlign w:val="bottom"/>
            <w:tcBorders>
              <w:top w:val="single" w:sz="8" w:color="auto"/>
            </w:tcBorders>
            <w:shd w:val="clear" w:color="auto" w:fill="CCEEFF"/>
          </w:tcPr>
          <w:p>
            <w:pPr>
              <w:spacing w:after="0"/>
              <w:rPr>
                <w:sz w:val="16"/>
                <w:szCs w:val="16"/>
                <w:color w:val="auto"/>
              </w:rPr>
            </w:pPr>
          </w:p>
        </w:tc>
        <w:tc>
          <w:tcPr>
            <w:tcW w:w="1500" w:type="dxa"/>
            <w:vAlign w:val="bottom"/>
            <w:tcBorders>
              <w:top w:val="single" w:sz="8" w:color="auto"/>
            </w:tcBorders>
            <w:shd w:val="clear" w:color="auto" w:fill="CCEEFF"/>
          </w:tcPr>
          <w:p>
            <w:pPr>
              <w:spacing w:after="0"/>
              <w:rPr>
                <w:sz w:val="16"/>
                <w:szCs w:val="16"/>
                <w:color w:val="auto"/>
              </w:rPr>
            </w:pPr>
          </w:p>
        </w:tc>
        <w:tc>
          <w:tcPr>
            <w:tcW w:w="1640" w:type="dxa"/>
            <w:vAlign w:val="bottom"/>
            <w:tcBorders>
              <w:top w:val="single" w:sz="8" w:color="auto"/>
            </w:tcBorders>
            <w:shd w:val="clear" w:color="auto" w:fill="CCEEFF"/>
          </w:tcPr>
          <w:p>
            <w:pPr>
              <w:spacing w:after="0"/>
              <w:rPr>
                <w:sz w:val="16"/>
                <w:szCs w:val="16"/>
                <w:color w:val="auto"/>
              </w:rPr>
            </w:pPr>
          </w:p>
        </w:tc>
        <w:tc>
          <w:tcPr>
            <w:tcW w:w="320" w:type="dxa"/>
            <w:vAlign w:val="bottom"/>
            <w:tcBorders>
              <w:top w:val="single" w:sz="8" w:color="auto"/>
            </w:tcBorders>
            <w:shd w:val="clear" w:color="auto" w:fill="CCEEFF"/>
          </w:tcPr>
          <w:p>
            <w:pPr>
              <w:spacing w:after="0"/>
              <w:rPr>
                <w:sz w:val="16"/>
                <w:szCs w:val="16"/>
                <w:color w:val="auto"/>
              </w:rPr>
            </w:pPr>
          </w:p>
        </w:tc>
        <w:tc>
          <w:tcPr>
            <w:tcW w:w="1300" w:type="dxa"/>
            <w:vAlign w:val="bottom"/>
            <w:tcBorders>
              <w:top w:val="single" w:sz="8" w:color="auto"/>
            </w:tcBorders>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5"/>
        </w:trPr>
        <w:tc>
          <w:tcPr>
            <w:tcW w:w="20" w:type="dxa"/>
            <w:vAlign w:val="bottom"/>
            <w:vMerge w:val="restart"/>
          </w:tcPr>
          <w:p>
            <w:pPr>
              <w:spacing w:after="0"/>
              <w:rPr>
                <w:sz w:val="18"/>
                <w:szCs w:val="18"/>
                <w:color w:val="auto"/>
              </w:rPr>
            </w:pPr>
          </w:p>
        </w:tc>
        <w:tc>
          <w:tcPr>
            <w:tcW w:w="2940" w:type="dxa"/>
            <w:vAlign w:val="bottom"/>
            <w:tcBorders>
              <w:top w:val="single" w:sz="8" w:color="auto"/>
            </w:tcBorders>
          </w:tcPr>
          <w:p>
            <w:pPr>
              <w:spacing w:after="0"/>
              <w:rPr>
                <w:sz w:val="18"/>
                <w:szCs w:val="18"/>
                <w:color w:val="auto"/>
              </w:rPr>
            </w:pPr>
          </w:p>
        </w:tc>
        <w:tc>
          <w:tcPr>
            <w:tcW w:w="2380" w:type="dxa"/>
            <w:vAlign w:val="bottom"/>
            <w:tcBorders>
              <w:top w:val="single" w:sz="8" w:color="CCEEFF"/>
            </w:tcBorders>
          </w:tcPr>
          <w:p>
            <w:pPr>
              <w:spacing w:after="0"/>
              <w:rPr>
                <w:sz w:val="18"/>
                <w:szCs w:val="18"/>
                <w:color w:val="auto"/>
              </w:rPr>
            </w:pPr>
          </w:p>
        </w:tc>
        <w:tc>
          <w:tcPr>
            <w:tcW w:w="420" w:type="dxa"/>
            <w:vAlign w:val="bottom"/>
            <w:tcBorders>
              <w:top w:val="single" w:sz="8" w:color="CCEEFF"/>
            </w:tcBorders>
          </w:tcPr>
          <w:p>
            <w:pPr>
              <w:spacing w:after="0"/>
              <w:rPr>
                <w:sz w:val="18"/>
                <w:szCs w:val="18"/>
                <w:color w:val="auto"/>
              </w:rPr>
            </w:pPr>
          </w:p>
        </w:tc>
        <w:tc>
          <w:tcPr>
            <w:tcW w:w="220" w:type="dxa"/>
            <w:vAlign w:val="bottom"/>
            <w:tcBorders>
              <w:top w:val="single" w:sz="8" w:color="CCEEFF"/>
            </w:tcBorders>
          </w:tcPr>
          <w:p>
            <w:pPr>
              <w:spacing w:after="0"/>
              <w:rPr>
                <w:sz w:val="18"/>
                <w:szCs w:val="18"/>
                <w:color w:val="auto"/>
              </w:rPr>
            </w:pPr>
          </w:p>
        </w:tc>
        <w:tc>
          <w:tcPr>
            <w:tcW w:w="1500" w:type="dxa"/>
            <w:vAlign w:val="bottom"/>
            <w:tcBorders>
              <w:top w:val="single" w:sz="8" w:color="CCEEFF"/>
            </w:tcBorders>
          </w:tcPr>
          <w:p>
            <w:pPr>
              <w:spacing w:after="0"/>
              <w:rPr>
                <w:sz w:val="18"/>
                <w:szCs w:val="18"/>
                <w:color w:val="auto"/>
              </w:rPr>
            </w:pPr>
          </w:p>
        </w:tc>
        <w:tc>
          <w:tcPr>
            <w:tcW w:w="1640" w:type="dxa"/>
            <w:vAlign w:val="bottom"/>
            <w:tcBorders>
              <w:top w:val="single" w:sz="8" w:color="CCEEFF"/>
            </w:tcBorders>
          </w:tcPr>
          <w:p>
            <w:pPr>
              <w:spacing w:after="0"/>
              <w:rPr>
                <w:sz w:val="18"/>
                <w:szCs w:val="18"/>
                <w:color w:val="auto"/>
              </w:rPr>
            </w:pPr>
          </w:p>
        </w:tc>
        <w:tc>
          <w:tcPr>
            <w:tcW w:w="320" w:type="dxa"/>
            <w:vAlign w:val="bottom"/>
            <w:tcBorders>
              <w:top w:val="single" w:sz="8" w:color="CCEEFF"/>
            </w:tcBorders>
          </w:tcPr>
          <w:p>
            <w:pPr>
              <w:spacing w:after="0"/>
              <w:rPr>
                <w:sz w:val="18"/>
                <w:szCs w:val="18"/>
                <w:color w:val="auto"/>
              </w:rPr>
            </w:pPr>
          </w:p>
        </w:tc>
        <w:tc>
          <w:tcPr>
            <w:tcW w:w="1300" w:type="dxa"/>
            <w:vAlign w:val="bottom"/>
            <w:tcBorders>
              <w:top w:val="single" w:sz="8" w:color="CCEEFF"/>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vMerge w:val="continue"/>
          </w:tcPr>
          <w:p>
            <w:pPr>
              <w:spacing w:after="0"/>
              <w:rPr>
                <w:sz w:val="18"/>
                <w:szCs w:val="18"/>
                <w:color w:val="auto"/>
              </w:rPr>
            </w:pPr>
          </w:p>
        </w:tc>
        <w:tc>
          <w:tcPr>
            <w:tcW w:w="53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Basic loss per share</w:t>
            </w:r>
          </w:p>
        </w:tc>
        <w:tc>
          <w:tcPr>
            <w:tcW w:w="640" w:type="dxa"/>
            <w:vAlign w:val="bottom"/>
            <w:gridSpan w:val="2"/>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50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(913)</w:t>
            </w:r>
          </w:p>
        </w:tc>
        <w:tc>
          <w:tcPr>
            <w:tcW w:w="16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10,686,477</w:t>
            </w:r>
          </w:p>
        </w:tc>
        <w:tc>
          <w:tcPr>
            <w:tcW w:w="3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4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(0.09)</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5320" w:type="dxa"/>
            <w:vAlign w:val="bottom"/>
            <w:gridSpan w:val="2"/>
          </w:tcPr>
          <w:p>
            <w:pPr>
              <w:spacing w:after="0"/>
              <w:rPr>
                <w:sz w:val="20"/>
                <w:szCs w:val="20"/>
                <w:color w:val="auto"/>
              </w:rPr>
            </w:pPr>
            <w:r>
              <w:rPr>
                <w:rFonts w:ascii="Arial" w:cs="Arial" w:eastAsia="Arial" w:hAnsi="Arial"/>
                <w:sz w:val="18"/>
                <w:szCs w:val="18"/>
                <w:color w:val="auto"/>
              </w:rPr>
              <w:t>Add effect of dilutive securities:</w:t>
            </w:r>
          </w:p>
        </w:tc>
        <w:tc>
          <w:tcPr>
            <w:tcW w:w="4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0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5320" w:type="dxa"/>
            <w:vAlign w:val="bottom"/>
            <w:tcBorders>
              <w:bottom w:val="single" w:sz="8" w:color="CCEEFF"/>
            </w:tcBorders>
            <w:gridSpan w:val="2"/>
            <w:shd w:val="clear" w:color="auto" w:fill="CCEEFF"/>
          </w:tcPr>
          <w:p>
            <w:pPr>
              <w:ind w:left="140"/>
              <w:spacing w:after="0"/>
              <w:rPr>
                <w:sz w:val="20"/>
                <w:szCs w:val="20"/>
                <w:color w:val="auto"/>
              </w:rPr>
            </w:pPr>
            <w:r>
              <w:rPr>
                <w:rFonts w:ascii="Arial" w:cs="Arial" w:eastAsia="Arial" w:hAnsi="Arial"/>
                <w:sz w:val="18"/>
                <w:szCs w:val="18"/>
                <w:color w:val="auto"/>
              </w:rPr>
              <w:t>Options and restricted shares*</w:t>
            </w:r>
          </w:p>
        </w:tc>
        <w:tc>
          <w:tcPr>
            <w:tcW w:w="42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150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16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320" w:type="dxa"/>
            <w:vAlign w:val="bottom"/>
            <w:tcBorders>
              <w:bottom w:val="single" w:sz="8" w:color="auto"/>
            </w:tcBorders>
            <w:shd w:val="clear" w:color="auto" w:fill="CCEEFF"/>
          </w:tcPr>
          <w:p>
            <w:pPr>
              <w:spacing w:after="0"/>
              <w:rPr>
                <w:sz w:val="18"/>
                <w:szCs w:val="18"/>
                <w:color w:val="auto"/>
              </w:rPr>
            </w:pP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5340" w:type="dxa"/>
            <w:vAlign w:val="bottom"/>
            <w:gridSpan w:val="3"/>
          </w:tcPr>
          <w:p>
            <w:pPr>
              <w:spacing w:after="0"/>
              <w:rPr>
                <w:sz w:val="20"/>
                <w:szCs w:val="20"/>
                <w:color w:val="auto"/>
              </w:rPr>
            </w:pPr>
            <w:r>
              <w:rPr>
                <w:rFonts w:ascii="Arial" w:cs="Arial" w:eastAsia="Arial" w:hAnsi="Arial"/>
                <w:sz w:val="18"/>
                <w:szCs w:val="18"/>
                <w:color w:val="auto"/>
              </w:rPr>
              <w:t>Diluted loss per share</w:t>
            </w:r>
          </w:p>
        </w:tc>
        <w:tc>
          <w:tcPr>
            <w:tcW w:w="640" w:type="dxa"/>
            <w:vAlign w:val="bottom"/>
            <w:gridSpan w:val="2"/>
          </w:tcPr>
          <w:p>
            <w:pPr>
              <w:jc w:val="right"/>
              <w:ind w:right="30"/>
              <w:spacing w:after="0"/>
              <w:rPr>
                <w:sz w:val="20"/>
                <w:szCs w:val="20"/>
                <w:color w:val="auto"/>
              </w:rPr>
            </w:pPr>
            <w:r>
              <w:rPr>
                <w:rFonts w:ascii="Arial" w:cs="Arial" w:eastAsia="Arial" w:hAnsi="Arial"/>
                <w:sz w:val="18"/>
                <w:szCs w:val="18"/>
                <w:color w:val="auto"/>
              </w:rPr>
              <w:t>$</w:t>
            </w:r>
          </w:p>
        </w:tc>
        <w:tc>
          <w:tcPr>
            <w:tcW w:w="1500" w:type="dxa"/>
            <w:vAlign w:val="bottom"/>
          </w:tcPr>
          <w:p>
            <w:pPr>
              <w:jc w:val="right"/>
              <w:ind w:right="50"/>
              <w:spacing w:after="0"/>
              <w:rPr>
                <w:sz w:val="20"/>
                <w:szCs w:val="20"/>
                <w:color w:val="auto"/>
              </w:rPr>
            </w:pPr>
            <w:r>
              <w:rPr>
                <w:rFonts w:ascii="Arial" w:cs="Arial" w:eastAsia="Arial" w:hAnsi="Arial"/>
                <w:sz w:val="18"/>
                <w:szCs w:val="18"/>
                <w:color w:val="auto"/>
              </w:rPr>
              <w:t>(913)</w:t>
            </w:r>
          </w:p>
        </w:tc>
        <w:tc>
          <w:tcPr>
            <w:tcW w:w="1640" w:type="dxa"/>
            <w:vAlign w:val="bottom"/>
          </w:tcPr>
          <w:p>
            <w:pPr>
              <w:jc w:val="right"/>
              <w:ind w:right="10"/>
              <w:spacing w:after="0"/>
              <w:rPr>
                <w:sz w:val="20"/>
                <w:szCs w:val="20"/>
                <w:color w:val="auto"/>
              </w:rPr>
            </w:pPr>
            <w:r>
              <w:rPr>
                <w:rFonts w:ascii="Arial" w:cs="Arial" w:eastAsia="Arial" w:hAnsi="Arial"/>
                <w:sz w:val="18"/>
                <w:szCs w:val="18"/>
                <w:color w:val="auto"/>
              </w:rPr>
              <w:t>10,686,477</w:t>
            </w:r>
          </w:p>
        </w:tc>
        <w:tc>
          <w:tcPr>
            <w:tcW w:w="32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400" w:type="dxa"/>
            <w:vAlign w:val="bottom"/>
            <w:gridSpan w:val="2"/>
          </w:tcPr>
          <w:p>
            <w:pPr>
              <w:jc w:val="right"/>
              <w:ind w:right="40"/>
              <w:spacing w:after="0"/>
              <w:rPr>
                <w:sz w:val="20"/>
                <w:szCs w:val="20"/>
                <w:color w:val="auto"/>
              </w:rPr>
            </w:pPr>
            <w:r>
              <w:rPr>
                <w:rFonts w:ascii="Arial" w:cs="Arial" w:eastAsia="Arial" w:hAnsi="Arial"/>
                <w:sz w:val="18"/>
                <w:szCs w:val="18"/>
                <w:color w:val="auto"/>
              </w:rPr>
              <w:t>(0.09)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940" w:type="dxa"/>
            <w:vAlign w:val="bottom"/>
          </w:tcPr>
          <w:p>
            <w:pPr>
              <w:spacing w:after="0" w:line="20" w:lineRule="exact"/>
              <w:rPr>
                <w:sz w:val="1"/>
                <w:szCs w:val="1"/>
                <w:color w:val="auto"/>
              </w:rPr>
            </w:pPr>
          </w:p>
        </w:tc>
        <w:tc>
          <w:tcPr>
            <w:tcW w:w="238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500" w:type="dxa"/>
            <w:vAlign w:val="bottom"/>
            <w:tcBorders>
              <w:top w:val="single" w:sz="8" w:color="auto"/>
              <w:bottom w:val="single" w:sz="8" w:color="auto"/>
            </w:tcBorders>
          </w:tcPr>
          <w:p>
            <w:pPr>
              <w:spacing w:after="0" w:line="20" w:lineRule="exact"/>
              <w:rPr>
                <w:sz w:val="1"/>
                <w:szCs w:val="1"/>
                <w:color w:val="auto"/>
              </w:rPr>
            </w:pPr>
          </w:p>
        </w:tc>
        <w:tc>
          <w:tcPr>
            <w:tcW w:w="164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3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20" w:type="dxa"/>
            <w:vAlign w:val="bottom"/>
            <w:vMerge w:val="restart"/>
          </w:tcPr>
          <w:p>
            <w:pPr>
              <w:spacing w:after="0"/>
              <w:rPr>
                <w:sz w:val="17"/>
                <w:szCs w:val="17"/>
                <w:color w:val="auto"/>
              </w:rPr>
            </w:pPr>
          </w:p>
        </w:tc>
        <w:tc>
          <w:tcPr>
            <w:tcW w:w="2940" w:type="dxa"/>
            <w:vAlign w:val="bottom"/>
            <w:shd w:val="clear" w:color="auto" w:fill="CCEEFF"/>
          </w:tcPr>
          <w:p>
            <w:pPr>
              <w:spacing w:after="0"/>
              <w:rPr>
                <w:sz w:val="17"/>
                <w:szCs w:val="17"/>
                <w:color w:val="auto"/>
              </w:rPr>
            </w:pPr>
          </w:p>
        </w:tc>
        <w:tc>
          <w:tcPr>
            <w:tcW w:w="238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500" w:type="dxa"/>
            <w:vAlign w:val="bottom"/>
            <w:shd w:val="clear" w:color="auto" w:fill="CCEEFF"/>
          </w:tcPr>
          <w:p>
            <w:pPr>
              <w:spacing w:after="0"/>
              <w:rPr>
                <w:sz w:val="17"/>
                <w:szCs w:val="17"/>
                <w:color w:val="auto"/>
              </w:rPr>
            </w:pPr>
          </w:p>
        </w:tc>
        <w:tc>
          <w:tcPr>
            <w:tcW w:w="164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3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75"/>
        </w:trPr>
        <w:tc>
          <w:tcPr>
            <w:tcW w:w="20" w:type="dxa"/>
            <w:vAlign w:val="bottom"/>
            <w:vMerge w:val="continue"/>
          </w:tcPr>
          <w:p>
            <w:pPr>
              <w:spacing w:after="0"/>
              <w:rPr>
                <w:sz w:val="15"/>
                <w:szCs w:val="15"/>
                <w:color w:val="auto"/>
              </w:rPr>
            </w:pPr>
          </w:p>
        </w:tc>
        <w:tc>
          <w:tcPr>
            <w:tcW w:w="5320" w:type="dxa"/>
            <w:vAlign w:val="bottom"/>
            <w:gridSpan w:val="2"/>
          </w:tcPr>
          <w:p>
            <w:pPr>
              <w:spacing w:after="0" w:line="175" w:lineRule="exact"/>
              <w:rPr>
                <w:sz w:val="20"/>
                <w:szCs w:val="20"/>
                <w:color w:val="auto"/>
              </w:rPr>
            </w:pPr>
            <w:r>
              <w:rPr>
                <w:rFonts w:ascii="Arial" w:cs="Arial" w:eastAsia="Arial" w:hAnsi="Arial"/>
                <w:sz w:val="18"/>
                <w:szCs w:val="18"/>
                <w:color w:val="auto"/>
              </w:rPr>
              <w:t>For the quarter ended February 25, 2017:</w:t>
            </w:r>
          </w:p>
        </w:tc>
        <w:tc>
          <w:tcPr>
            <w:tcW w:w="4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500" w:type="dxa"/>
            <w:vAlign w:val="bottom"/>
          </w:tcPr>
          <w:p>
            <w:pPr>
              <w:spacing w:after="0"/>
              <w:rPr>
                <w:sz w:val="15"/>
                <w:szCs w:val="15"/>
                <w:color w:val="auto"/>
              </w:rPr>
            </w:pPr>
          </w:p>
        </w:tc>
        <w:tc>
          <w:tcPr>
            <w:tcW w:w="164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3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940" w:type="dxa"/>
            <w:vAlign w:val="bottom"/>
            <w:tcBorders>
              <w:top w:val="single" w:sz="8" w:color="auto"/>
            </w:tcBorders>
          </w:tcPr>
          <w:p>
            <w:pPr>
              <w:spacing w:after="0" w:line="20" w:lineRule="exact"/>
              <w:rPr>
                <w:sz w:val="1"/>
                <w:szCs w:val="1"/>
                <w:color w:val="auto"/>
              </w:rPr>
            </w:pPr>
          </w:p>
        </w:tc>
        <w:tc>
          <w:tcPr>
            <w:tcW w:w="238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500" w:type="dxa"/>
            <w:vAlign w:val="bottom"/>
          </w:tcPr>
          <w:p>
            <w:pPr>
              <w:spacing w:after="0" w:line="20" w:lineRule="exact"/>
              <w:rPr>
                <w:sz w:val="1"/>
                <w:szCs w:val="1"/>
                <w:color w:val="auto"/>
              </w:rPr>
            </w:pPr>
          </w:p>
        </w:tc>
        <w:tc>
          <w:tcPr>
            <w:tcW w:w="16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5"/>
        </w:trPr>
        <w:tc>
          <w:tcPr>
            <w:tcW w:w="20" w:type="dxa"/>
            <w:vAlign w:val="bottom"/>
            <w:vMerge w:val="restart"/>
          </w:tcPr>
          <w:p>
            <w:pPr>
              <w:spacing w:after="0"/>
              <w:rPr>
                <w:sz w:val="18"/>
                <w:szCs w:val="18"/>
                <w:color w:val="auto"/>
              </w:rPr>
            </w:pPr>
          </w:p>
        </w:tc>
        <w:tc>
          <w:tcPr>
            <w:tcW w:w="2940" w:type="dxa"/>
            <w:vAlign w:val="bottom"/>
            <w:shd w:val="clear" w:color="auto" w:fill="CCEEFF"/>
          </w:tcPr>
          <w:p>
            <w:pPr>
              <w:spacing w:after="0"/>
              <w:rPr>
                <w:sz w:val="18"/>
                <w:szCs w:val="18"/>
                <w:color w:val="auto"/>
              </w:rPr>
            </w:pPr>
          </w:p>
        </w:tc>
        <w:tc>
          <w:tcPr>
            <w:tcW w:w="23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500" w:type="dxa"/>
            <w:vAlign w:val="bottom"/>
            <w:shd w:val="clear" w:color="auto" w:fill="CCEEFF"/>
          </w:tcPr>
          <w:p>
            <w:pPr>
              <w:spacing w:after="0"/>
              <w:rPr>
                <w:sz w:val="18"/>
                <w:szCs w:val="18"/>
                <w:color w:val="auto"/>
              </w:rPr>
            </w:pPr>
          </w:p>
        </w:tc>
        <w:tc>
          <w:tcPr>
            <w:tcW w:w="16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vMerge w:val="continue"/>
          </w:tcPr>
          <w:p>
            <w:pPr>
              <w:spacing w:after="0"/>
              <w:rPr>
                <w:sz w:val="18"/>
                <w:szCs w:val="18"/>
                <w:color w:val="auto"/>
              </w:rPr>
            </w:pPr>
          </w:p>
        </w:tc>
        <w:tc>
          <w:tcPr>
            <w:tcW w:w="5320" w:type="dxa"/>
            <w:vAlign w:val="bottom"/>
            <w:gridSpan w:val="2"/>
          </w:tcPr>
          <w:p>
            <w:pPr>
              <w:spacing w:after="0"/>
              <w:rPr>
                <w:sz w:val="20"/>
                <w:szCs w:val="20"/>
                <w:color w:val="auto"/>
              </w:rPr>
            </w:pPr>
            <w:r>
              <w:rPr>
                <w:rFonts w:ascii="Arial" w:cs="Arial" w:eastAsia="Arial" w:hAnsi="Arial"/>
                <w:sz w:val="18"/>
                <w:szCs w:val="18"/>
                <w:color w:val="auto"/>
              </w:rPr>
              <w:t>Basic earnings per share</w:t>
            </w:r>
          </w:p>
        </w:tc>
        <w:tc>
          <w:tcPr>
            <w:tcW w:w="640" w:type="dxa"/>
            <w:vAlign w:val="bottom"/>
            <w:gridSpan w:val="2"/>
          </w:tcPr>
          <w:p>
            <w:pPr>
              <w:jc w:val="right"/>
              <w:ind w:right="30"/>
              <w:spacing w:after="0"/>
              <w:rPr>
                <w:sz w:val="20"/>
                <w:szCs w:val="20"/>
                <w:color w:val="auto"/>
              </w:rPr>
            </w:pPr>
            <w:r>
              <w:rPr>
                <w:rFonts w:ascii="Arial" w:cs="Arial" w:eastAsia="Arial" w:hAnsi="Arial"/>
                <w:sz w:val="18"/>
                <w:szCs w:val="18"/>
                <w:color w:val="auto"/>
              </w:rPr>
              <w:t>$</w:t>
            </w:r>
          </w:p>
        </w:tc>
        <w:tc>
          <w:tcPr>
            <w:tcW w:w="1500" w:type="dxa"/>
            <w:vAlign w:val="bottom"/>
          </w:tcPr>
          <w:p>
            <w:pPr>
              <w:jc w:val="right"/>
              <w:ind w:right="110"/>
              <w:spacing w:after="0"/>
              <w:rPr>
                <w:sz w:val="20"/>
                <w:szCs w:val="20"/>
                <w:color w:val="auto"/>
              </w:rPr>
            </w:pPr>
            <w:r>
              <w:rPr>
                <w:rFonts w:ascii="Arial" w:cs="Arial" w:eastAsia="Arial" w:hAnsi="Arial"/>
                <w:sz w:val="18"/>
                <w:szCs w:val="18"/>
                <w:color w:val="auto"/>
              </w:rPr>
              <w:t>2,861</w:t>
            </w:r>
          </w:p>
        </w:tc>
        <w:tc>
          <w:tcPr>
            <w:tcW w:w="1640" w:type="dxa"/>
            <w:vAlign w:val="bottom"/>
          </w:tcPr>
          <w:p>
            <w:pPr>
              <w:jc w:val="right"/>
              <w:ind w:right="10"/>
              <w:spacing w:after="0"/>
              <w:rPr>
                <w:sz w:val="20"/>
                <w:szCs w:val="20"/>
                <w:color w:val="auto"/>
              </w:rPr>
            </w:pPr>
            <w:r>
              <w:rPr>
                <w:rFonts w:ascii="Arial" w:cs="Arial" w:eastAsia="Arial" w:hAnsi="Arial"/>
                <w:sz w:val="18"/>
                <w:szCs w:val="18"/>
                <w:color w:val="auto"/>
              </w:rPr>
              <w:t>10,613,639</w:t>
            </w:r>
          </w:p>
        </w:tc>
        <w:tc>
          <w:tcPr>
            <w:tcW w:w="32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400" w:type="dxa"/>
            <w:vAlign w:val="bottom"/>
            <w:gridSpan w:val="2"/>
          </w:tcPr>
          <w:p>
            <w:pPr>
              <w:jc w:val="right"/>
              <w:ind w:right="100"/>
              <w:spacing w:after="0"/>
              <w:rPr>
                <w:sz w:val="20"/>
                <w:szCs w:val="20"/>
                <w:color w:val="auto"/>
              </w:rPr>
            </w:pPr>
            <w:r>
              <w:rPr>
                <w:rFonts w:ascii="Arial" w:cs="Arial" w:eastAsia="Arial" w:hAnsi="Arial"/>
                <w:sz w:val="18"/>
                <w:szCs w:val="18"/>
                <w:color w:val="auto"/>
              </w:rPr>
              <w:t>0.27</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53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Add effect of dilutive securities:</w:t>
            </w:r>
          </w:p>
        </w:tc>
        <w:tc>
          <w:tcPr>
            <w:tcW w:w="4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500" w:type="dxa"/>
            <w:vAlign w:val="bottom"/>
            <w:shd w:val="clear" w:color="auto" w:fill="CCEEFF"/>
          </w:tcPr>
          <w:p>
            <w:pPr>
              <w:spacing w:after="0"/>
              <w:rPr>
                <w:sz w:val="18"/>
                <w:szCs w:val="18"/>
                <w:color w:val="auto"/>
              </w:rPr>
            </w:pPr>
          </w:p>
        </w:tc>
        <w:tc>
          <w:tcPr>
            <w:tcW w:w="16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5320" w:type="dxa"/>
            <w:vAlign w:val="bottom"/>
            <w:gridSpan w:val="2"/>
          </w:tcPr>
          <w:p>
            <w:pPr>
              <w:ind w:left="140"/>
              <w:spacing w:after="0"/>
              <w:rPr>
                <w:sz w:val="20"/>
                <w:szCs w:val="20"/>
                <w:color w:val="auto"/>
              </w:rPr>
            </w:pPr>
            <w:r>
              <w:rPr>
                <w:rFonts w:ascii="Arial" w:cs="Arial" w:eastAsia="Arial" w:hAnsi="Arial"/>
                <w:sz w:val="18"/>
                <w:szCs w:val="18"/>
                <w:color w:val="auto"/>
              </w:rPr>
              <w:t>Options and restricted shares</w:t>
            </w:r>
          </w:p>
        </w:tc>
        <w:tc>
          <w:tcPr>
            <w:tcW w:w="420" w:type="dxa"/>
            <w:vAlign w:val="bottom"/>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500" w:type="dxa"/>
            <w:vAlign w:val="bottom"/>
            <w:tcBorders>
              <w:bottom w:val="single" w:sz="8" w:color="auto"/>
            </w:tcBorders>
          </w:tcPr>
          <w:p>
            <w:pPr>
              <w:jc w:val="right"/>
              <w:ind w:right="110"/>
              <w:spacing w:after="0"/>
              <w:rPr>
                <w:sz w:val="20"/>
                <w:szCs w:val="20"/>
                <w:color w:val="auto"/>
              </w:rPr>
            </w:pPr>
            <w:r>
              <w:rPr>
                <w:rFonts w:ascii="Arial" w:cs="Arial" w:eastAsia="Arial" w:hAnsi="Arial"/>
                <w:sz w:val="18"/>
                <w:szCs w:val="18"/>
                <w:color w:val="auto"/>
              </w:rPr>
              <w:t>-</w:t>
            </w:r>
          </w:p>
        </w:tc>
        <w:tc>
          <w:tcPr>
            <w:tcW w:w="164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105,636</w:t>
            </w:r>
          </w:p>
        </w:tc>
        <w:tc>
          <w:tcPr>
            <w:tcW w:w="320" w:type="dxa"/>
            <w:vAlign w:val="bottom"/>
            <w:tcBorders>
              <w:bottom w:val="single" w:sz="8" w:color="auto"/>
            </w:tcBorders>
          </w:tcPr>
          <w:p>
            <w:pPr>
              <w:spacing w:after="0"/>
              <w:rPr>
                <w:sz w:val="18"/>
                <w:szCs w:val="18"/>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20" w:type="dxa"/>
            <w:vAlign w:val="bottom"/>
          </w:tcPr>
          <w:p>
            <w:pPr>
              <w:spacing w:after="0"/>
              <w:rPr>
                <w:sz w:val="21"/>
                <w:szCs w:val="21"/>
                <w:color w:val="auto"/>
              </w:rPr>
            </w:pPr>
          </w:p>
        </w:tc>
        <w:tc>
          <w:tcPr>
            <w:tcW w:w="532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Diluted earnings per share</w:t>
            </w:r>
          </w:p>
        </w:tc>
        <w:tc>
          <w:tcPr>
            <w:tcW w:w="4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50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rPr>
              <w:t>2,861</w:t>
            </w:r>
          </w:p>
        </w:tc>
        <w:tc>
          <w:tcPr>
            <w:tcW w:w="16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10,719,275</w:t>
            </w:r>
          </w:p>
        </w:tc>
        <w:tc>
          <w:tcPr>
            <w:tcW w:w="3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0.27</w:t>
            </w:r>
          </w:p>
        </w:tc>
        <w:tc>
          <w:tcPr>
            <w:tcW w:w="1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bl>
    <w:p>
      <w:pPr>
        <w:spacing w:after="0" w:line="201" w:lineRule="exact"/>
        <w:rPr>
          <w:sz w:val="20"/>
          <w:szCs w:val="20"/>
          <w:color w:val="auto"/>
        </w:rPr>
      </w:pPr>
    </w:p>
    <w:p>
      <w:pPr>
        <w:spacing w:after="0"/>
        <w:rPr>
          <w:sz w:val="20"/>
          <w:szCs w:val="20"/>
          <w:color w:val="auto"/>
        </w:rPr>
      </w:pPr>
      <w:r>
        <w:rPr>
          <w:rFonts w:ascii="Arial" w:cs="Arial" w:eastAsia="Arial" w:hAnsi="Arial"/>
          <w:sz w:val="18"/>
          <w:szCs w:val="18"/>
          <w:color w:val="auto"/>
        </w:rPr>
        <w:t>*Due to the net loss, the potentially dilutive securities would have been anti-dilutive and are therefore excluded.</w:t>
      </w:r>
    </w:p>
    <w:p>
      <w:pPr>
        <w:spacing w:after="0" w:line="224" w:lineRule="exact"/>
        <w:rPr>
          <w:sz w:val="20"/>
          <w:szCs w:val="20"/>
          <w:color w:val="auto"/>
        </w:rPr>
      </w:pPr>
    </w:p>
    <w:p>
      <w:pPr>
        <w:ind w:right="40"/>
        <w:spacing w:after="0" w:line="276" w:lineRule="auto"/>
        <w:rPr>
          <w:sz w:val="20"/>
          <w:szCs w:val="20"/>
          <w:color w:val="auto"/>
        </w:rPr>
      </w:pPr>
      <w:r>
        <w:rPr>
          <w:rFonts w:ascii="Arial" w:cs="Arial" w:eastAsia="Arial" w:hAnsi="Arial"/>
          <w:sz w:val="18"/>
          <w:szCs w:val="18"/>
          <w:color w:val="auto"/>
        </w:rPr>
        <w:t>For the quarters ended February 24, 2018 and February 25, 2017, the following potentially dilutive shares were excluded from the computations as their effect was anti-dilutive:</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60" w:type="dxa"/>
            <w:vAlign w:val="bottom"/>
          </w:tcPr>
          <w:p>
            <w:pPr>
              <w:spacing w:after="0"/>
              <w:rPr>
                <w:sz w:val="20"/>
                <w:szCs w:val="20"/>
                <w:color w:val="auto"/>
              </w:rPr>
            </w:pPr>
          </w:p>
        </w:tc>
        <w:tc>
          <w:tcPr>
            <w:tcW w:w="3540" w:type="dxa"/>
            <w:vAlign w:val="bottom"/>
          </w:tcPr>
          <w:p>
            <w:pPr>
              <w:spacing w:after="0"/>
              <w:rPr>
                <w:sz w:val="20"/>
                <w:szCs w:val="20"/>
                <w:color w:val="auto"/>
              </w:rPr>
            </w:pPr>
          </w:p>
        </w:tc>
        <w:tc>
          <w:tcPr>
            <w:tcW w:w="3340" w:type="dxa"/>
            <w:vAlign w:val="bottom"/>
          </w:tcPr>
          <w:p>
            <w:pPr>
              <w:spacing w:after="0"/>
              <w:rPr>
                <w:sz w:val="20"/>
                <w:szCs w:val="20"/>
                <w:color w:val="auto"/>
              </w:rPr>
            </w:pPr>
          </w:p>
        </w:tc>
        <w:tc>
          <w:tcPr>
            <w:tcW w:w="3380" w:type="dxa"/>
            <w:vAlign w:val="bottom"/>
            <w:gridSpan w:val="3"/>
          </w:tcPr>
          <w:p>
            <w:pPr>
              <w:ind w:left="1060"/>
              <w:spacing w:after="0"/>
              <w:rPr>
                <w:sz w:val="20"/>
                <w:szCs w:val="20"/>
                <w:color w:val="auto"/>
              </w:rPr>
            </w:pPr>
            <w:r>
              <w:rPr>
                <w:rFonts w:ascii="Arial" w:cs="Arial" w:eastAsia="Arial" w:hAnsi="Arial"/>
                <w:sz w:val="18"/>
                <w:szCs w:val="18"/>
                <w:b w:val="1"/>
                <w:bCs w:val="1"/>
                <w:color w:val="auto"/>
              </w:rPr>
              <w:t>Quarter Ended</w:t>
            </w:r>
          </w:p>
        </w:tc>
        <w:tc>
          <w:tcPr>
            <w:tcW w:w="5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90"/>
        </w:trPr>
        <w:tc>
          <w:tcPr>
            <w:tcW w:w="660" w:type="dxa"/>
            <w:vAlign w:val="bottom"/>
          </w:tcPr>
          <w:p>
            <w:pPr>
              <w:spacing w:after="0"/>
              <w:rPr>
                <w:sz w:val="16"/>
                <w:szCs w:val="16"/>
                <w:color w:val="auto"/>
              </w:rPr>
            </w:pPr>
          </w:p>
        </w:tc>
        <w:tc>
          <w:tcPr>
            <w:tcW w:w="3540" w:type="dxa"/>
            <w:vAlign w:val="bottom"/>
          </w:tcPr>
          <w:p>
            <w:pPr>
              <w:spacing w:after="0"/>
              <w:rPr>
                <w:sz w:val="16"/>
                <w:szCs w:val="16"/>
                <w:color w:val="auto"/>
              </w:rPr>
            </w:pPr>
          </w:p>
        </w:tc>
        <w:tc>
          <w:tcPr>
            <w:tcW w:w="3340" w:type="dxa"/>
            <w:vAlign w:val="bottom"/>
          </w:tcPr>
          <w:p>
            <w:pPr>
              <w:spacing w:after="0"/>
              <w:rPr>
                <w:sz w:val="16"/>
                <w:szCs w:val="16"/>
                <w:color w:val="auto"/>
              </w:rPr>
            </w:pPr>
          </w:p>
        </w:tc>
        <w:tc>
          <w:tcPr>
            <w:tcW w:w="1800" w:type="dxa"/>
            <w:vAlign w:val="bottom"/>
            <w:tcBorders>
              <w:top w:val="single" w:sz="8" w:color="auto"/>
            </w:tcBorders>
          </w:tcPr>
          <w:p>
            <w:pPr>
              <w:jc w:val="center"/>
              <w:ind w:right="150"/>
              <w:spacing w:after="0" w:line="190" w:lineRule="exact"/>
              <w:rPr>
                <w:sz w:val="20"/>
                <w:szCs w:val="20"/>
                <w:color w:val="auto"/>
              </w:rPr>
            </w:pPr>
            <w:r>
              <w:rPr>
                <w:rFonts w:ascii="Arial" w:cs="Arial" w:eastAsia="Arial" w:hAnsi="Arial"/>
                <w:sz w:val="18"/>
                <w:szCs w:val="18"/>
                <w:b w:val="1"/>
                <w:bCs w:val="1"/>
                <w:color w:val="auto"/>
                <w:w w:val="93"/>
              </w:rPr>
              <w:t>February 24,</w:t>
            </w:r>
          </w:p>
        </w:tc>
        <w:tc>
          <w:tcPr>
            <w:tcW w:w="1480" w:type="dxa"/>
            <w:vAlign w:val="bottom"/>
            <w:tcBorders>
              <w:top w:val="single" w:sz="8" w:color="auto"/>
            </w:tcBorders>
          </w:tcPr>
          <w:p>
            <w:pPr>
              <w:jc w:val="center"/>
              <w:spacing w:after="0" w:line="190" w:lineRule="exact"/>
              <w:rPr>
                <w:sz w:val="20"/>
                <w:szCs w:val="20"/>
                <w:color w:val="auto"/>
              </w:rPr>
            </w:pPr>
            <w:r>
              <w:rPr>
                <w:rFonts w:ascii="Arial" w:cs="Arial" w:eastAsia="Arial" w:hAnsi="Arial"/>
                <w:sz w:val="18"/>
                <w:szCs w:val="18"/>
                <w:b w:val="1"/>
                <w:bCs w:val="1"/>
                <w:color w:val="auto"/>
                <w:w w:val="93"/>
              </w:rPr>
              <w:t>February 25,</w:t>
            </w:r>
          </w:p>
        </w:tc>
        <w:tc>
          <w:tcPr>
            <w:tcW w:w="10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4"/>
        </w:trPr>
        <w:tc>
          <w:tcPr>
            <w:tcW w:w="660" w:type="dxa"/>
            <w:vAlign w:val="bottom"/>
          </w:tcPr>
          <w:p>
            <w:pPr>
              <w:spacing w:after="0"/>
              <w:rPr>
                <w:sz w:val="20"/>
                <w:szCs w:val="20"/>
                <w:color w:val="auto"/>
              </w:rPr>
            </w:pPr>
          </w:p>
        </w:tc>
        <w:tc>
          <w:tcPr>
            <w:tcW w:w="3540" w:type="dxa"/>
            <w:vAlign w:val="bottom"/>
          </w:tcPr>
          <w:p>
            <w:pPr>
              <w:spacing w:after="0"/>
              <w:rPr>
                <w:sz w:val="20"/>
                <w:szCs w:val="20"/>
                <w:color w:val="auto"/>
              </w:rPr>
            </w:pPr>
          </w:p>
        </w:tc>
        <w:tc>
          <w:tcPr>
            <w:tcW w:w="5140" w:type="dxa"/>
            <w:vAlign w:val="bottom"/>
            <w:gridSpan w:val="2"/>
          </w:tcPr>
          <w:p>
            <w:pPr>
              <w:jc w:val="right"/>
              <w:ind w:right="750"/>
              <w:spacing w:after="0"/>
              <w:rPr>
                <w:sz w:val="20"/>
                <w:szCs w:val="20"/>
                <w:color w:val="auto"/>
              </w:rPr>
            </w:pPr>
            <w:r>
              <w:rPr>
                <w:rFonts w:ascii="Arial" w:cs="Arial" w:eastAsia="Arial" w:hAnsi="Arial"/>
                <w:sz w:val="18"/>
                <w:szCs w:val="18"/>
                <w:b w:val="1"/>
                <w:bCs w:val="1"/>
                <w:color w:val="auto"/>
              </w:rPr>
              <w:t>2018</w:t>
            </w:r>
          </w:p>
        </w:tc>
        <w:tc>
          <w:tcPr>
            <w:tcW w:w="1480" w:type="dxa"/>
            <w:vAlign w:val="bottom"/>
          </w:tcPr>
          <w:p>
            <w:pPr>
              <w:jc w:val="right"/>
              <w:ind w:right="49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9"/>
        </w:trPr>
        <w:tc>
          <w:tcPr>
            <w:tcW w:w="660" w:type="dxa"/>
            <w:vAlign w:val="bottom"/>
            <w:vMerge w:val="restart"/>
          </w:tcPr>
          <w:p>
            <w:pPr>
              <w:spacing w:after="0"/>
              <w:rPr>
                <w:sz w:val="18"/>
                <w:szCs w:val="18"/>
                <w:color w:val="auto"/>
              </w:rPr>
            </w:pPr>
          </w:p>
        </w:tc>
        <w:tc>
          <w:tcPr>
            <w:tcW w:w="3540" w:type="dxa"/>
            <w:vAlign w:val="bottom"/>
          </w:tcPr>
          <w:p>
            <w:pPr>
              <w:spacing w:after="0"/>
              <w:rPr>
                <w:sz w:val="18"/>
                <w:szCs w:val="18"/>
                <w:color w:val="auto"/>
              </w:rPr>
            </w:pPr>
          </w:p>
        </w:tc>
        <w:tc>
          <w:tcPr>
            <w:tcW w:w="3340" w:type="dxa"/>
            <w:vAlign w:val="bottom"/>
          </w:tcPr>
          <w:p>
            <w:pPr>
              <w:spacing w:after="0"/>
              <w:rPr>
                <w:sz w:val="18"/>
                <w:szCs w:val="18"/>
                <w:color w:val="auto"/>
              </w:rPr>
            </w:pPr>
          </w:p>
        </w:tc>
        <w:tc>
          <w:tcPr>
            <w:tcW w:w="1800" w:type="dxa"/>
            <w:vAlign w:val="bottom"/>
            <w:tcBorders>
              <w:top w:val="single" w:sz="8" w:color="auto"/>
            </w:tcBorders>
          </w:tcPr>
          <w:p>
            <w:pPr>
              <w:spacing w:after="0"/>
              <w:rPr>
                <w:sz w:val="18"/>
                <w:szCs w:val="18"/>
                <w:color w:val="auto"/>
              </w:rPr>
            </w:pPr>
          </w:p>
        </w:tc>
        <w:tc>
          <w:tcPr>
            <w:tcW w:w="148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660" w:type="dxa"/>
            <w:vAlign w:val="bottom"/>
            <w:vMerge w:val="continue"/>
          </w:tcPr>
          <w:p>
            <w:pPr>
              <w:spacing w:after="0"/>
              <w:rPr>
                <w:sz w:val="18"/>
                <w:szCs w:val="18"/>
                <w:color w:val="auto"/>
              </w:rPr>
            </w:pPr>
          </w:p>
        </w:tc>
        <w:tc>
          <w:tcPr>
            <w:tcW w:w="3540" w:type="dxa"/>
            <w:vAlign w:val="bottom"/>
            <w:shd w:val="clear" w:color="auto" w:fill="CCEEFF"/>
          </w:tcPr>
          <w:p>
            <w:pPr>
              <w:spacing w:after="0"/>
              <w:rPr>
                <w:sz w:val="20"/>
                <w:szCs w:val="20"/>
                <w:color w:val="auto"/>
              </w:rPr>
            </w:pPr>
            <w:r>
              <w:rPr>
                <w:rFonts w:ascii="Arial" w:cs="Arial" w:eastAsia="Arial" w:hAnsi="Arial"/>
                <w:sz w:val="18"/>
                <w:szCs w:val="18"/>
                <w:color w:val="auto"/>
              </w:rPr>
              <w:t>Stock options</w:t>
            </w:r>
          </w:p>
        </w:tc>
        <w:tc>
          <w:tcPr>
            <w:tcW w:w="5140" w:type="dxa"/>
            <w:vAlign w:val="bottom"/>
            <w:gridSpan w:val="2"/>
            <w:shd w:val="clear" w:color="auto" w:fill="CCEEFF"/>
          </w:tcPr>
          <w:p>
            <w:pPr>
              <w:ind w:left="4400"/>
              <w:spacing w:after="0"/>
              <w:rPr>
                <w:sz w:val="20"/>
                <w:szCs w:val="20"/>
                <w:color w:val="auto"/>
              </w:rPr>
            </w:pPr>
            <w:r>
              <w:rPr>
                <w:rFonts w:ascii="Arial" w:cs="Arial" w:eastAsia="Arial" w:hAnsi="Arial"/>
                <w:sz w:val="18"/>
                <w:szCs w:val="18"/>
                <w:color w:val="auto"/>
              </w:rPr>
              <w:t>11,750</w:t>
            </w:r>
          </w:p>
        </w:tc>
        <w:tc>
          <w:tcPr>
            <w:tcW w:w="15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660" w:type="dxa"/>
            <w:vAlign w:val="bottom"/>
          </w:tcPr>
          <w:p>
            <w:pPr>
              <w:spacing w:after="0"/>
              <w:rPr>
                <w:sz w:val="18"/>
                <w:szCs w:val="18"/>
                <w:color w:val="auto"/>
              </w:rPr>
            </w:pPr>
          </w:p>
        </w:tc>
        <w:tc>
          <w:tcPr>
            <w:tcW w:w="3540" w:type="dxa"/>
            <w:vAlign w:val="bottom"/>
          </w:tcPr>
          <w:p>
            <w:pPr>
              <w:spacing w:after="0"/>
              <w:rPr>
                <w:sz w:val="20"/>
                <w:szCs w:val="20"/>
                <w:color w:val="auto"/>
              </w:rPr>
            </w:pPr>
            <w:r>
              <w:rPr>
                <w:rFonts w:ascii="Arial" w:cs="Arial" w:eastAsia="Arial" w:hAnsi="Arial"/>
                <w:sz w:val="18"/>
                <w:szCs w:val="18"/>
                <w:color w:val="auto"/>
              </w:rPr>
              <w:t>Unvested shares</w:t>
            </w:r>
          </w:p>
        </w:tc>
        <w:tc>
          <w:tcPr>
            <w:tcW w:w="5140" w:type="dxa"/>
            <w:vAlign w:val="bottom"/>
            <w:gridSpan w:val="2"/>
          </w:tcPr>
          <w:p>
            <w:pPr>
              <w:ind w:left="4400"/>
              <w:spacing w:after="0"/>
              <w:rPr>
                <w:sz w:val="20"/>
                <w:szCs w:val="20"/>
                <w:color w:val="auto"/>
              </w:rPr>
            </w:pPr>
            <w:r>
              <w:rPr>
                <w:rFonts w:ascii="Arial" w:cs="Arial" w:eastAsia="Arial" w:hAnsi="Arial"/>
                <w:sz w:val="18"/>
                <w:szCs w:val="18"/>
                <w:color w:val="auto"/>
              </w:rPr>
              <w:t>59,138</w:t>
            </w:r>
          </w:p>
        </w:tc>
        <w:tc>
          <w:tcPr>
            <w:tcW w:w="15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660" w:type="dxa"/>
            <w:vAlign w:val="bottom"/>
          </w:tcPr>
          <w:p>
            <w:pPr>
              <w:spacing w:after="0"/>
              <w:rPr>
                <w:sz w:val="18"/>
                <w:szCs w:val="18"/>
                <w:color w:val="auto"/>
              </w:rPr>
            </w:pPr>
          </w:p>
        </w:tc>
        <w:tc>
          <w:tcPr>
            <w:tcW w:w="3540" w:type="dxa"/>
            <w:vAlign w:val="bottom"/>
            <w:shd w:val="clear" w:color="auto" w:fill="CCEEFF"/>
          </w:tcPr>
          <w:p>
            <w:pPr>
              <w:spacing w:after="0"/>
              <w:rPr>
                <w:sz w:val="18"/>
                <w:szCs w:val="18"/>
                <w:color w:val="auto"/>
              </w:rPr>
            </w:pPr>
          </w:p>
        </w:tc>
        <w:tc>
          <w:tcPr>
            <w:tcW w:w="3340" w:type="dxa"/>
            <w:vAlign w:val="bottom"/>
            <w:shd w:val="clear" w:color="auto" w:fill="CCEEFF"/>
          </w:tcPr>
          <w:p>
            <w:pPr>
              <w:spacing w:after="0"/>
              <w:rPr>
                <w:sz w:val="18"/>
                <w:szCs w:val="18"/>
                <w:color w:val="auto"/>
              </w:rPr>
            </w:pPr>
          </w:p>
        </w:tc>
        <w:tc>
          <w:tcPr>
            <w:tcW w:w="1800" w:type="dxa"/>
            <w:vAlign w:val="bottom"/>
            <w:tcBorders>
              <w:top w:val="single" w:sz="8" w:color="auto"/>
            </w:tcBorders>
            <w:shd w:val="clear" w:color="auto" w:fill="CCEEFF"/>
          </w:tcPr>
          <w:p>
            <w:pPr>
              <w:spacing w:after="0"/>
              <w:rPr>
                <w:sz w:val="18"/>
                <w:szCs w:val="18"/>
                <w:color w:val="auto"/>
              </w:rPr>
            </w:pPr>
          </w:p>
        </w:tc>
        <w:tc>
          <w:tcPr>
            <w:tcW w:w="148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660" w:type="dxa"/>
            <w:vAlign w:val="bottom"/>
          </w:tcPr>
          <w:p>
            <w:pPr>
              <w:spacing w:after="0"/>
              <w:rPr>
                <w:sz w:val="18"/>
                <w:szCs w:val="18"/>
                <w:color w:val="auto"/>
              </w:rPr>
            </w:pPr>
          </w:p>
        </w:tc>
        <w:tc>
          <w:tcPr>
            <w:tcW w:w="3540" w:type="dxa"/>
            <w:vAlign w:val="bottom"/>
          </w:tcPr>
          <w:p>
            <w:pPr>
              <w:ind w:left="320"/>
              <w:spacing w:after="0"/>
              <w:rPr>
                <w:sz w:val="20"/>
                <w:szCs w:val="20"/>
                <w:color w:val="auto"/>
              </w:rPr>
            </w:pPr>
            <w:r>
              <w:rPr>
                <w:rFonts w:ascii="Arial" w:cs="Arial" w:eastAsia="Arial" w:hAnsi="Arial"/>
                <w:sz w:val="18"/>
                <w:szCs w:val="18"/>
                <w:color w:val="auto"/>
              </w:rPr>
              <w:t>Total anti-dilutive securities</w:t>
            </w:r>
          </w:p>
        </w:tc>
        <w:tc>
          <w:tcPr>
            <w:tcW w:w="3340" w:type="dxa"/>
            <w:vAlign w:val="bottom"/>
          </w:tcPr>
          <w:p>
            <w:pPr>
              <w:spacing w:after="0"/>
              <w:rPr>
                <w:sz w:val="18"/>
                <w:szCs w:val="18"/>
                <w:color w:val="auto"/>
              </w:rPr>
            </w:pPr>
          </w:p>
        </w:tc>
        <w:tc>
          <w:tcPr>
            <w:tcW w:w="1800" w:type="dxa"/>
            <w:vAlign w:val="bottom"/>
          </w:tcPr>
          <w:p>
            <w:pPr>
              <w:ind w:left="1060"/>
              <w:spacing w:after="0"/>
              <w:rPr>
                <w:sz w:val="20"/>
                <w:szCs w:val="20"/>
                <w:color w:val="auto"/>
              </w:rPr>
            </w:pPr>
            <w:r>
              <w:rPr>
                <w:rFonts w:ascii="Arial" w:cs="Arial" w:eastAsia="Arial" w:hAnsi="Arial"/>
                <w:sz w:val="18"/>
                <w:szCs w:val="18"/>
                <w:color w:val="auto"/>
              </w:rPr>
              <w:t>70,888</w:t>
            </w:r>
          </w:p>
        </w:tc>
        <w:tc>
          <w:tcPr>
            <w:tcW w:w="15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60" w:type="dxa"/>
            <w:vAlign w:val="bottom"/>
          </w:tcPr>
          <w:p>
            <w:pPr>
              <w:spacing w:after="0" w:line="20" w:lineRule="exact"/>
              <w:rPr>
                <w:sz w:val="1"/>
                <w:szCs w:val="1"/>
                <w:color w:val="auto"/>
              </w:rPr>
            </w:pPr>
          </w:p>
        </w:tc>
        <w:tc>
          <w:tcPr>
            <w:tcW w:w="3540" w:type="dxa"/>
            <w:vAlign w:val="bottom"/>
          </w:tcPr>
          <w:p>
            <w:pPr>
              <w:spacing w:after="0" w:line="20" w:lineRule="exact"/>
              <w:rPr>
                <w:sz w:val="1"/>
                <w:szCs w:val="1"/>
                <w:color w:val="auto"/>
              </w:rPr>
            </w:pPr>
          </w:p>
        </w:tc>
        <w:tc>
          <w:tcPr>
            <w:tcW w:w="3340" w:type="dxa"/>
            <w:vAlign w:val="bottom"/>
          </w:tcPr>
          <w:p>
            <w:pPr>
              <w:spacing w:after="0" w:line="20" w:lineRule="exact"/>
              <w:rPr>
                <w:sz w:val="1"/>
                <w:szCs w:val="1"/>
                <w:color w:val="auto"/>
              </w:rPr>
            </w:pPr>
          </w:p>
        </w:tc>
        <w:tc>
          <w:tcPr>
            <w:tcW w:w="1800" w:type="dxa"/>
            <w:vAlign w:val="bottom"/>
            <w:tcBorders>
              <w:top w:val="single" w:sz="8" w:color="auto"/>
              <w:bottom w:val="single" w:sz="8" w:color="auto"/>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1"/>
        </w:trPr>
        <w:tc>
          <w:tcPr>
            <w:tcW w:w="660" w:type="dxa"/>
            <w:vAlign w:val="bottom"/>
          </w:tcPr>
          <w:p>
            <w:pPr>
              <w:spacing w:after="0"/>
              <w:rPr>
                <w:sz w:val="24"/>
                <w:szCs w:val="24"/>
                <w:color w:val="auto"/>
              </w:rPr>
            </w:pPr>
          </w:p>
        </w:tc>
        <w:tc>
          <w:tcPr>
            <w:tcW w:w="3540" w:type="dxa"/>
            <w:vAlign w:val="bottom"/>
          </w:tcPr>
          <w:p>
            <w:pPr>
              <w:spacing w:after="0"/>
              <w:rPr>
                <w:sz w:val="24"/>
                <w:szCs w:val="24"/>
                <w:color w:val="auto"/>
              </w:rPr>
            </w:pPr>
          </w:p>
        </w:tc>
        <w:tc>
          <w:tcPr>
            <w:tcW w:w="5140" w:type="dxa"/>
            <w:vAlign w:val="bottom"/>
            <w:gridSpan w:val="2"/>
          </w:tcPr>
          <w:p>
            <w:pPr>
              <w:ind w:left="1220"/>
              <w:spacing w:after="0"/>
              <w:rPr>
                <w:sz w:val="20"/>
                <w:szCs w:val="20"/>
                <w:color w:val="auto"/>
              </w:rPr>
            </w:pPr>
            <w:r>
              <w:rPr>
                <w:rFonts w:ascii="Arial" w:cs="Arial" w:eastAsia="Arial" w:hAnsi="Arial"/>
                <w:sz w:val="18"/>
                <w:szCs w:val="18"/>
                <w:color w:val="auto"/>
              </w:rPr>
              <w:t>18 of 39</w:t>
            </w:r>
          </w:p>
        </w:tc>
        <w:tc>
          <w:tcPr>
            <w:tcW w:w="14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4"/>
        </w:trPr>
        <w:tc>
          <w:tcPr>
            <w:tcW w:w="660" w:type="dxa"/>
            <w:vAlign w:val="bottom"/>
            <w:tcBorders>
              <w:bottom w:val="single" w:sz="8" w:color="auto"/>
            </w:tcBorders>
          </w:tcPr>
          <w:p>
            <w:pPr>
              <w:spacing w:after="0"/>
              <w:rPr>
                <w:sz w:val="9"/>
                <w:szCs w:val="9"/>
                <w:color w:val="auto"/>
              </w:rPr>
            </w:pPr>
          </w:p>
        </w:tc>
        <w:tc>
          <w:tcPr>
            <w:tcW w:w="3540" w:type="dxa"/>
            <w:vAlign w:val="bottom"/>
            <w:tcBorders>
              <w:bottom w:val="single" w:sz="8" w:color="auto"/>
            </w:tcBorders>
          </w:tcPr>
          <w:p>
            <w:pPr>
              <w:spacing w:after="0"/>
              <w:rPr>
                <w:sz w:val="9"/>
                <w:szCs w:val="9"/>
                <w:color w:val="auto"/>
              </w:rPr>
            </w:pPr>
          </w:p>
        </w:tc>
        <w:tc>
          <w:tcPr>
            <w:tcW w:w="3340" w:type="dxa"/>
            <w:vAlign w:val="bottom"/>
            <w:tcBorders>
              <w:bottom w:val="single" w:sz="8" w:color="auto"/>
            </w:tcBorders>
          </w:tcPr>
          <w:p>
            <w:pPr>
              <w:spacing w:after="0"/>
              <w:rPr>
                <w:sz w:val="9"/>
                <w:szCs w:val="9"/>
                <w:color w:val="auto"/>
              </w:rPr>
            </w:pPr>
          </w:p>
        </w:tc>
        <w:tc>
          <w:tcPr>
            <w:tcW w:w="1800" w:type="dxa"/>
            <w:vAlign w:val="bottom"/>
            <w:tcBorders>
              <w:bottom w:val="single" w:sz="8" w:color="auto"/>
            </w:tcBorders>
          </w:tcPr>
          <w:p>
            <w:pPr>
              <w:spacing w:after="0"/>
              <w:rPr>
                <w:sz w:val="9"/>
                <w:szCs w:val="9"/>
                <w:color w:val="auto"/>
              </w:rPr>
            </w:pPr>
          </w:p>
        </w:tc>
        <w:tc>
          <w:tcPr>
            <w:tcW w:w="1480" w:type="dxa"/>
            <w:vAlign w:val="bottom"/>
            <w:tcBorders>
              <w:bottom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50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583" w:right="239" w:bottom="1440" w:gutter="0" w:footer="0" w:header="0"/>
        </w:sectPr>
      </w:pPr>
    </w:p>
    <w:bookmarkStart w:id="18" w:name="page19"/>
    <w:bookmarkEnd w:id="18"/>
    <w:p>
      <w:pPr>
        <w:jc w:val="center"/>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NOTES TO CONDENSED CONSOLIDATED FINANCIAL STATEMENTS-UNAUDITED</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FEBRUARY 24, 2018</w:t>
      </w:r>
    </w:p>
    <w:p>
      <w:pPr>
        <w:spacing w:after="0" w:line="8" w:lineRule="exact"/>
        <w:rPr>
          <w:sz w:val="20"/>
          <w:szCs w:val="20"/>
          <w:color w:val="auto"/>
        </w:rPr>
      </w:pPr>
    </w:p>
    <w:p>
      <w:pPr>
        <w:jc w:val="center"/>
        <w:ind w:right="40"/>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00" w:lineRule="exact"/>
        <w:rPr>
          <w:sz w:val="20"/>
          <w:szCs w:val="20"/>
          <w:color w:val="auto"/>
        </w:rPr>
      </w:pPr>
    </w:p>
    <w:p>
      <w:pPr>
        <w:spacing w:after="0" w:line="24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12. Segment Information</w:t>
      </w:r>
    </w:p>
    <w:p>
      <w:pPr>
        <w:spacing w:after="0" w:line="228" w:lineRule="exact"/>
        <w:rPr>
          <w:sz w:val="20"/>
          <w:szCs w:val="20"/>
          <w:color w:val="auto"/>
        </w:rPr>
      </w:pPr>
    </w:p>
    <w:p>
      <w:pPr>
        <w:spacing w:after="0"/>
        <w:rPr>
          <w:sz w:val="20"/>
          <w:szCs w:val="20"/>
          <w:color w:val="auto"/>
        </w:rPr>
      </w:pPr>
      <w:r>
        <w:rPr>
          <w:rFonts w:ascii="Arial" w:cs="Arial" w:eastAsia="Arial" w:hAnsi="Arial"/>
          <w:sz w:val="17"/>
          <w:szCs w:val="17"/>
          <w:color w:val="auto"/>
        </w:rPr>
        <w:t xml:space="preserve">We have strategically aligned our business into three reportable segments as defined in ASC 280, </w:t>
      </w:r>
      <w:r>
        <w:rPr>
          <w:rFonts w:ascii="Arial" w:cs="Arial" w:eastAsia="Arial" w:hAnsi="Arial"/>
          <w:sz w:val="17"/>
          <w:szCs w:val="17"/>
          <w:i w:val="1"/>
          <w:iCs w:val="1"/>
          <w:color w:val="auto"/>
        </w:rPr>
        <w:t>Segment Reporting</w:t>
      </w:r>
      <w:r>
        <w:rPr>
          <w:rFonts w:ascii="Arial" w:cs="Arial" w:eastAsia="Arial" w:hAnsi="Arial"/>
          <w:sz w:val="17"/>
          <w:szCs w:val="17"/>
          <w:color w:val="auto"/>
        </w:rPr>
        <w:t>, and as described below:</w:t>
      </w:r>
    </w:p>
    <w:p>
      <w:pPr>
        <w:spacing w:after="0" w:line="231" w:lineRule="exact"/>
        <w:rPr>
          <w:sz w:val="20"/>
          <w:szCs w:val="20"/>
          <w:color w:val="auto"/>
        </w:rPr>
      </w:pPr>
    </w:p>
    <w:p>
      <w:pPr>
        <w:jc w:val="both"/>
        <w:ind w:left="660" w:hanging="329"/>
        <w:spacing w:after="0" w:line="293" w:lineRule="auto"/>
        <w:tabs>
          <w:tab w:leader="none" w:pos="660" w:val="left"/>
        </w:tabs>
        <w:numPr>
          <w:ilvl w:val="0"/>
          <w:numId w:val="4"/>
        </w:numPr>
        <w:rPr>
          <w:rFonts w:ascii="Arial" w:cs="Arial" w:eastAsia="Arial" w:hAnsi="Arial"/>
          <w:sz w:val="16"/>
          <w:szCs w:val="16"/>
          <w:b w:val="1"/>
          <w:bCs w:val="1"/>
          <w:color w:val="auto"/>
        </w:rPr>
      </w:pPr>
      <w:r>
        <w:rPr>
          <w:rFonts w:ascii="Arial" w:cs="Arial" w:eastAsia="Arial" w:hAnsi="Arial"/>
          <w:sz w:val="16"/>
          <w:szCs w:val="16"/>
          <w:b w:val="1"/>
          <w:bCs w:val="1"/>
          <w:color w:val="auto"/>
        </w:rPr>
        <w:t xml:space="preserve">Wholesale. </w:t>
      </w:r>
      <w:r>
        <w:rPr>
          <w:rFonts w:ascii="Arial" w:cs="Arial" w:eastAsia="Arial" w:hAnsi="Arial"/>
          <w:sz w:val="16"/>
          <w:szCs w:val="16"/>
          <w:color w:val="auto"/>
        </w:rPr>
        <w:t>The wholesale home furnishings segment is involved principally in the design, manufacture, sourcing, sale and distribution of furniture</w:t>
      </w:r>
      <w:r>
        <w:rPr>
          <w:rFonts w:ascii="Arial" w:cs="Arial" w:eastAsia="Arial" w:hAnsi="Arial"/>
          <w:sz w:val="16"/>
          <w:szCs w:val="16"/>
          <w:b w:val="1"/>
          <w:bCs w:val="1"/>
          <w:color w:val="auto"/>
        </w:rPr>
        <w:t xml:space="preserve"> </w:t>
      </w:r>
      <w:r>
        <w:rPr>
          <w:rFonts w:ascii="Arial" w:cs="Arial" w:eastAsia="Arial" w:hAnsi="Arial"/>
          <w:sz w:val="16"/>
          <w:szCs w:val="16"/>
          <w:color w:val="auto"/>
        </w:rPr>
        <w:t>products to a network of Bassett stores (Company-owned and licensee-owned retail stores) and independent furniture retailers. Our wholesale segment includes our wood and upholstery operations, which now include Lane Venture (see Note 3, Business Combinations), as well as all corporate selling, general and administrative expenses, including those corporate expenses related to both Company- and licensee-owned stores. Our wholesale segment also includes our holdings of short-term investments and retail real estate previously leased as licensee stores. The earnings and costs associated with these assets are included in other loss, net, in our condensed consolidated statements of operations.</w:t>
      </w:r>
    </w:p>
    <w:p>
      <w:pPr>
        <w:spacing w:after="0" w:line="159" w:lineRule="exact"/>
        <w:rPr>
          <w:rFonts w:ascii="Arial" w:cs="Arial" w:eastAsia="Arial" w:hAnsi="Arial"/>
          <w:sz w:val="16"/>
          <w:szCs w:val="16"/>
          <w:b w:val="1"/>
          <w:bCs w:val="1"/>
          <w:color w:val="auto"/>
        </w:rPr>
      </w:pPr>
    </w:p>
    <w:p>
      <w:pPr>
        <w:ind w:left="660" w:hanging="329"/>
        <w:spacing w:after="0" w:line="280" w:lineRule="auto"/>
        <w:tabs>
          <w:tab w:leader="none" w:pos="660" w:val="left"/>
        </w:tabs>
        <w:numPr>
          <w:ilvl w:val="0"/>
          <w:numId w:val="4"/>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Retail – Company-owned stores. </w:t>
      </w:r>
      <w:r>
        <w:rPr>
          <w:rFonts w:ascii="Arial" w:cs="Arial" w:eastAsia="Arial" w:hAnsi="Arial"/>
          <w:sz w:val="18"/>
          <w:szCs w:val="18"/>
          <w:color w:val="auto"/>
        </w:rPr>
        <w:t>Our retail segment consists of Company-owned stores and includes the revenues, expenses, assets and liabilities</w:t>
      </w:r>
      <w:r>
        <w:rPr>
          <w:rFonts w:ascii="Arial" w:cs="Arial" w:eastAsia="Arial" w:hAnsi="Arial"/>
          <w:sz w:val="18"/>
          <w:szCs w:val="18"/>
          <w:b w:val="1"/>
          <w:bCs w:val="1"/>
          <w:color w:val="auto"/>
        </w:rPr>
        <w:t xml:space="preserve"> </w:t>
      </w:r>
      <w:r>
        <w:rPr>
          <w:rFonts w:ascii="Arial" w:cs="Arial" w:eastAsia="Arial" w:hAnsi="Arial"/>
          <w:sz w:val="18"/>
          <w:szCs w:val="18"/>
          <w:color w:val="auto"/>
        </w:rPr>
        <w:t>and capital expenditures directly related to these stores.</w:t>
      </w:r>
    </w:p>
    <w:p>
      <w:pPr>
        <w:spacing w:after="0" w:line="163" w:lineRule="exact"/>
        <w:rPr>
          <w:rFonts w:ascii="Arial" w:cs="Arial" w:eastAsia="Arial" w:hAnsi="Arial"/>
          <w:sz w:val="18"/>
          <w:szCs w:val="18"/>
          <w:b w:val="1"/>
          <w:bCs w:val="1"/>
          <w:color w:val="auto"/>
        </w:rPr>
      </w:pPr>
    </w:p>
    <w:p>
      <w:pPr>
        <w:jc w:val="both"/>
        <w:ind w:left="660" w:hanging="329"/>
        <w:spacing w:after="0" w:line="255" w:lineRule="auto"/>
        <w:tabs>
          <w:tab w:leader="none" w:pos="660" w:val="left"/>
        </w:tabs>
        <w:numPr>
          <w:ilvl w:val="0"/>
          <w:numId w:val="4"/>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Logistical services. </w:t>
      </w:r>
      <w:r>
        <w:rPr>
          <w:rFonts w:ascii="Arial" w:cs="Arial" w:eastAsia="Arial" w:hAnsi="Arial"/>
          <w:sz w:val="18"/>
          <w:szCs w:val="18"/>
          <w:color w:val="auto"/>
        </w:rPr>
        <w:t>Our logistical services operating segment reflects the operations of Zenith. In addition to providing shipping, delivery and</w:t>
      </w:r>
      <w:r>
        <w:rPr>
          <w:rFonts w:ascii="Arial" w:cs="Arial" w:eastAsia="Arial" w:hAnsi="Arial"/>
          <w:sz w:val="18"/>
          <w:szCs w:val="18"/>
          <w:b w:val="1"/>
          <w:bCs w:val="1"/>
          <w:color w:val="auto"/>
        </w:rPr>
        <w:t xml:space="preserve"> </w:t>
      </w:r>
      <w:r>
        <w:rPr>
          <w:rFonts w:ascii="Arial" w:cs="Arial" w:eastAsia="Arial" w:hAnsi="Arial"/>
          <w:sz w:val="18"/>
          <w:szCs w:val="18"/>
          <w:color w:val="auto"/>
        </w:rPr>
        <w:t>warehousing services for the Company, Zenith also provides similar services to other customers, primarily in the furniture industry. Revenue from the performance of these services to other customers is included in logistical services revenue in our condensed consolidated statement of income. Zenith’s total operating costs, including those associated with providing logistical services to the Company as well as to third-party customers, are included in selling, general and administrative expenses and were $24,919 and $22,560 for the quarters ended February 24, 2018 and February 25, 2017, respectively.</w:t>
      </w:r>
    </w:p>
    <w:p>
      <w:pPr>
        <w:spacing w:after="0" w:line="192" w:lineRule="exact"/>
        <w:rPr>
          <w:sz w:val="20"/>
          <w:szCs w:val="20"/>
          <w:color w:val="auto"/>
        </w:rPr>
      </w:pPr>
    </w:p>
    <w:p>
      <w:pPr>
        <w:jc w:val="both"/>
        <w:spacing w:after="0" w:line="256" w:lineRule="auto"/>
        <w:rPr>
          <w:sz w:val="20"/>
          <w:szCs w:val="20"/>
          <w:color w:val="auto"/>
        </w:rPr>
      </w:pPr>
      <w:r>
        <w:rPr>
          <w:rFonts w:ascii="Arial" w:cs="Arial" w:eastAsia="Arial" w:hAnsi="Arial"/>
          <w:sz w:val="18"/>
          <w:szCs w:val="18"/>
          <w:color w:val="auto"/>
        </w:rPr>
        <w:t>Inter-company net sales elimination represents the elimination of wholesale sales to our Company-owned stores and the elimination of Zenith logistics revenue from our wholesale and retail segments. Inter-company income elimination includes the embedded wholesale profit in the Company-owned store inventory that has not been realized. These profits will be recorded when merchandise is delivered to the retail consumer. The inter-company income elimination also includes rent paid by our retail stores occupying Company-owned real estate, and the elimination of shipping and handling charges from Zenith for services provided to our wholesale and retail operations.</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82550</wp:posOffset>
            </wp:positionV>
            <wp:extent cx="7247255" cy="171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47255" cy="17145"/>
                    </a:xfrm>
                    <a:prstGeom prst="rect">
                      <a:avLst/>
                    </a:prstGeom>
                    <a:noFill/>
                  </pic:spPr>
                </pic:pic>
              </a:graphicData>
            </a:graphic>
          </wp:anchor>
        </w:drawing>
      </w:r>
    </w:p>
    <w:p>
      <w:pPr>
        <w:sectPr>
          <w:pgSz w:w="11900" w:h="16838" w:orient="portrait"/>
          <w:cols w:equalWidth="0" w:num="1">
            <w:col w:w="11420"/>
          </w:cols>
          <w:pgMar w:left="240" w:top="583" w:right="239" w:bottom="1440" w:gutter="0" w:footer="0" w:header="0"/>
        </w:sectPr>
      </w:pPr>
    </w:p>
    <w:bookmarkStart w:id="19" w:name="page20"/>
    <w:bookmarkEnd w:id="19"/>
    <w:tbl>
      <w:tblPr>
        <w:tblLayout w:type="fixed"/>
        <w:tblInd w:w="0" w:type="dxa"/>
        <w:tblCellMar>
          <w:top w:w="0" w:type="dxa"/>
          <w:left w:w="0" w:type="dxa"/>
          <w:bottom w:w="0" w:type="dxa"/>
          <w:right w:w="0" w:type="dxa"/>
        </w:tblCellMar>
      </w:tblPr>
      <w:tr>
        <w:trPr>
          <w:trHeight w:val="207"/>
        </w:trPr>
        <w:tc>
          <w:tcPr>
            <w:tcW w:w="20" w:type="dxa"/>
            <w:vAlign w:val="bottom"/>
          </w:tcPr>
          <w:p>
            <w:pPr>
              <w:spacing w:after="0"/>
              <w:rPr>
                <w:sz w:val="17"/>
                <w:szCs w:val="17"/>
                <w:color w:val="auto"/>
              </w:rPr>
            </w:pPr>
          </w:p>
        </w:tc>
        <w:tc>
          <w:tcPr>
            <w:tcW w:w="23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3940" w:type="dxa"/>
            <w:vAlign w:val="bottom"/>
            <w:tcBorders>
              <w:bottom w:val="single" w:sz="8" w:color="auto"/>
            </w:tcBorders>
            <w:gridSpan w:val="8"/>
          </w:tcPr>
          <w:p>
            <w:pPr>
              <w:jc w:val="center"/>
              <w:spacing w:after="0"/>
              <w:rPr>
                <w:sz w:val="20"/>
                <w:szCs w:val="20"/>
                <w:color w:val="auto"/>
              </w:rPr>
            </w:pPr>
            <w:r>
              <w:rPr>
                <w:rFonts w:ascii="Arial" w:cs="Arial" w:eastAsia="Arial" w:hAnsi="Arial"/>
                <w:sz w:val="18"/>
                <w:szCs w:val="18"/>
                <w:color w:val="auto"/>
                <w:w w:val="97"/>
              </w:rPr>
              <w:t>PART I-FINANCIAL INFORMATION-CONTINUED</w:t>
            </w:r>
          </w:p>
        </w:tc>
        <w:tc>
          <w:tcPr>
            <w:tcW w:w="106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22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5"/>
        </w:trPr>
        <w:tc>
          <w:tcPr>
            <w:tcW w:w="20" w:type="dxa"/>
            <w:vAlign w:val="bottom"/>
          </w:tcPr>
          <w:p>
            <w:pPr>
              <w:spacing w:after="0"/>
              <w:rPr>
                <w:sz w:val="16"/>
                <w:szCs w:val="16"/>
                <w:color w:val="auto"/>
              </w:rPr>
            </w:pPr>
          </w:p>
        </w:tc>
        <w:tc>
          <w:tcPr>
            <w:tcW w:w="234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460" w:type="dxa"/>
            <w:vAlign w:val="bottom"/>
            <w:gridSpan w:val="11"/>
          </w:tcPr>
          <w:p>
            <w:pPr>
              <w:jc w:val="center"/>
              <w:ind w:right="400"/>
              <w:spacing w:after="0" w:line="195" w:lineRule="exact"/>
              <w:rPr>
                <w:sz w:val="20"/>
                <w:szCs w:val="20"/>
                <w:color w:val="auto"/>
              </w:rPr>
            </w:pPr>
            <w:r>
              <w:rPr>
                <w:rFonts w:ascii="Arial" w:cs="Arial" w:eastAsia="Arial" w:hAnsi="Arial"/>
                <w:sz w:val="18"/>
                <w:szCs w:val="18"/>
                <w:color w:val="auto"/>
                <w:w w:val="95"/>
              </w:rPr>
              <w:t>BASSETT FURNITURE INDUSTRIES, INCORPORATED AND SUBSIDIARIES</w:t>
            </w:r>
          </w:p>
        </w:tc>
        <w:tc>
          <w:tcPr>
            <w:tcW w:w="22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3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100" w:type="dxa"/>
            <w:vAlign w:val="bottom"/>
            <w:gridSpan w:val="2"/>
            <w:shd w:val="clear" w:color="auto" w:fill="000000"/>
          </w:tcPr>
          <w:p>
            <w:pPr>
              <w:spacing w:after="0" w:line="20" w:lineRule="exact"/>
              <w:rPr>
                <w:sz w:val="1"/>
                <w:szCs w:val="1"/>
                <w:color w:val="auto"/>
              </w:rPr>
            </w:pPr>
          </w:p>
        </w:tc>
        <w:tc>
          <w:tcPr>
            <w:tcW w:w="1120" w:type="dxa"/>
            <w:vAlign w:val="bottom"/>
            <w:shd w:val="clear" w:color="auto" w:fill="000000"/>
          </w:tcPr>
          <w:p>
            <w:pPr>
              <w:spacing w:after="0" w:line="20" w:lineRule="exact"/>
              <w:rPr>
                <w:sz w:val="1"/>
                <w:szCs w:val="1"/>
                <w:color w:val="auto"/>
              </w:rPr>
            </w:pPr>
          </w:p>
        </w:tc>
        <w:tc>
          <w:tcPr>
            <w:tcW w:w="1620" w:type="dxa"/>
            <w:vAlign w:val="bottom"/>
            <w:gridSpan w:val="3"/>
            <w:shd w:val="clear" w:color="auto" w:fill="000000"/>
          </w:tcPr>
          <w:p>
            <w:pPr>
              <w:spacing w:after="0" w:line="20" w:lineRule="exact"/>
              <w:rPr>
                <w:sz w:val="1"/>
                <w:szCs w:val="1"/>
                <w:color w:val="auto"/>
              </w:rPr>
            </w:pPr>
          </w:p>
        </w:tc>
        <w:tc>
          <w:tcPr>
            <w:tcW w:w="1140" w:type="dxa"/>
            <w:vAlign w:val="bottom"/>
            <w:gridSpan w:val="2"/>
            <w:shd w:val="clear" w:color="auto" w:fill="000000"/>
          </w:tcPr>
          <w:p>
            <w:pPr>
              <w:spacing w:after="0" w:line="20" w:lineRule="exact"/>
              <w:rPr>
                <w:sz w:val="1"/>
                <w:szCs w:val="1"/>
                <w:color w:val="auto"/>
              </w:rPr>
            </w:pPr>
          </w:p>
        </w:tc>
        <w:tc>
          <w:tcPr>
            <w:tcW w:w="1080" w:type="dxa"/>
            <w:vAlign w:val="bottom"/>
            <w:gridSpan w:val="2"/>
            <w:shd w:val="clear" w:color="auto" w:fill="000000"/>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2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5"/>
        </w:trPr>
        <w:tc>
          <w:tcPr>
            <w:tcW w:w="20" w:type="dxa"/>
            <w:vAlign w:val="bottom"/>
          </w:tcPr>
          <w:p>
            <w:pPr>
              <w:spacing w:after="0"/>
              <w:rPr>
                <w:sz w:val="16"/>
                <w:szCs w:val="16"/>
                <w:color w:val="auto"/>
              </w:rPr>
            </w:pPr>
          </w:p>
        </w:tc>
        <w:tc>
          <w:tcPr>
            <w:tcW w:w="9120" w:type="dxa"/>
            <w:vAlign w:val="bottom"/>
            <w:gridSpan w:val="13"/>
          </w:tcPr>
          <w:p>
            <w:pPr>
              <w:jc w:val="center"/>
              <w:ind w:left="2170"/>
              <w:spacing w:after="0" w:line="195" w:lineRule="exact"/>
              <w:rPr>
                <w:sz w:val="20"/>
                <w:szCs w:val="20"/>
                <w:color w:val="auto"/>
              </w:rPr>
            </w:pPr>
            <w:r>
              <w:rPr>
                <w:rFonts w:ascii="Arial" w:cs="Arial" w:eastAsia="Arial" w:hAnsi="Arial"/>
                <w:sz w:val="18"/>
                <w:szCs w:val="18"/>
                <w:color w:val="auto"/>
                <w:w w:val="96"/>
              </w:rPr>
              <w:t>NOTES TO CONDENSED CONSOLIDATED FINANCIAL STATEMENTS-UNAUDITED</w:t>
            </w:r>
          </w:p>
        </w:tc>
        <w:tc>
          <w:tcPr>
            <w:tcW w:w="22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5"/>
        </w:trPr>
        <w:tc>
          <w:tcPr>
            <w:tcW w:w="20" w:type="dxa"/>
            <w:vAlign w:val="bottom"/>
          </w:tcPr>
          <w:p>
            <w:pPr>
              <w:spacing w:after="0"/>
              <w:rPr>
                <w:sz w:val="16"/>
                <w:szCs w:val="16"/>
                <w:color w:val="auto"/>
              </w:rPr>
            </w:pPr>
          </w:p>
        </w:tc>
        <w:tc>
          <w:tcPr>
            <w:tcW w:w="2340" w:type="dxa"/>
            <w:vAlign w:val="bottom"/>
          </w:tcPr>
          <w:p>
            <w:pPr>
              <w:spacing w:after="0"/>
              <w:rPr>
                <w:sz w:val="16"/>
                <w:szCs w:val="16"/>
                <w:color w:val="auto"/>
              </w:rPr>
            </w:pPr>
          </w:p>
        </w:tc>
        <w:tc>
          <w:tcPr>
            <w:tcW w:w="320" w:type="dxa"/>
            <w:vAlign w:val="bottom"/>
            <w:tcBorders>
              <w:top w:val="single" w:sz="8" w:color="auto"/>
            </w:tcBorders>
          </w:tcPr>
          <w:p>
            <w:pPr>
              <w:spacing w:after="0"/>
              <w:rPr>
                <w:sz w:val="16"/>
                <w:szCs w:val="16"/>
                <w:color w:val="auto"/>
              </w:rPr>
            </w:pPr>
          </w:p>
        </w:tc>
        <w:tc>
          <w:tcPr>
            <w:tcW w:w="1060" w:type="dxa"/>
            <w:vAlign w:val="bottom"/>
            <w:tcBorders>
              <w:top w:val="single" w:sz="8" w:color="auto"/>
            </w:tcBorders>
          </w:tcPr>
          <w:p>
            <w:pPr>
              <w:spacing w:after="0"/>
              <w:rPr>
                <w:sz w:val="16"/>
                <w:szCs w:val="16"/>
                <w:color w:val="auto"/>
              </w:rPr>
            </w:pPr>
          </w:p>
        </w:tc>
        <w:tc>
          <w:tcPr>
            <w:tcW w:w="40" w:type="dxa"/>
            <w:vAlign w:val="bottom"/>
            <w:tcBorders>
              <w:top w:val="single" w:sz="8" w:color="auto"/>
            </w:tcBorders>
          </w:tcPr>
          <w:p>
            <w:pPr>
              <w:spacing w:after="0"/>
              <w:rPr>
                <w:sz w:val="16"/>
                <w:szCs w:val="16"/>
                <w:color w:val="auto"/>
              </w:rPr>
            </w:pPr>
          </w:p>
        </w:tc>
        <w:tc>
          <w:tcPr>
            <w:tcW w:w="1120" w:type="dxa"/>
            <w:vAlign w:val="bottom"/>
            <w:tcBorders>
              <w:top w:val="single" w:sz="8" w:color="auto"/>
            </w:tcBorders>
          </w:tcPr>
          <w:p>
            <w:pPr>
              <w:spacing w:after="0"/>
              <w:rPr>
                <w:sz w:val="16"/>
                <w:szCs w:val="16"/>
                <w:color w:val="auto"/>
              </w:rPr>
            </w:pPr>
          </w:p>
        </w:tc>
        <w:tc>
          <w:tcPr>
            <w:tcW w:w="2560" w:type="dxa"/>
            <w:vAlign w:val="bottom"/>
            <w:tcBorders>
              <w:top w:val="single" w:sz="8" w:color="auto"/>
            </w:tcBorders>
            <w:gridSpan w:val="4"/>
          </w:tcPr>
          <w:p>
            <w:pPr>
              <w:jc w:val="center"/>
              <w:ind w:right="850"/>
              <w:spacing w:after="0" w:line="195" w:lineRule="exact"/>
              <w:rPr>
                <w:sz w:val="20"/>
                <w:szCs w:val="20"/>
                <w:color w:val="auto"/>
              </w:rPr>
            </w:pPr>
            <w:r>
              <w:rPr>
                <w:rFonts w:ascii="Arial" w:cs="Arial" w:eastAsia="Arial" w:hAnsi="Arial"/>
                <w:sz w:val="18"/>
                <w:szCs w:val="18"/>
                <w:color w:val="auto"/>
                <w:w w:val="93"/>
              </w:rPr>
              <w:t>FEBRUARY 24, 2018</w:t>
            </w:r>
          </w:p>
        </w:tc>
        <w:tc>
          <w:tcPr>
            <w:tcW w:w="200" w:type="dxa"/>
            <w:vAlign w:val="bottom"/>
            <w:tcBorders>
              <w:top w:val="single" w:sz="8" w:color="auto"/>
            </w:tcBorders>
          </w:tcPr>
          <w:p>
            <w:pPr>
              <w:spacing w:after="0"/>
              <w:rPr>
                <w:sz w:val="16"/>
                <w:szCs w:val="16"/>
                <w:color w:val="auto"/>
              </w:rPr>
            </w:pPr>
          </w:p>
        </w:tc>
        <w:tc>
          <w:tcPr>
            <w:tcW w:w="20" w:type="dxa"/>
            <w:vAlign w:val="bottom"/>
            <w:tcBorders>
              <w:top w:val="single" w:sz="8" w:color="auto"/>
            </w:tcBorders>
          </w:tcPr>
          <w:p>
            <w:pPr>
              <w:spacing w:after="0"/>
              <w:rPr>
                <w:sz w:val="16"/>
                <w:szCs w:val="16"/>
                <w:color w:val="auto"/>
              </w:rPr>
            </w:pPr>
          </w:p>
        </w:tc>
        <w:tc>
          <w:tcPr>
            <w:tcW w:w="1060" w:type="dxa"/>
            <w:vAlign w:val="bottom"/>
            <w:tcBorders>
              <w:top w:val="single" w:sz="8" w:color="auto"/>
            </w:tcBorders>
          </w:tcPr>
          <w:p>
            <w:pPr>
              <w:spacing w:after="0"/>
              <w:rPr>
                <w:sz w:val="16"/>
                <w:szCs w:val="16"/>
                <w:color w:val="auto"/>
              </w:rPr>
            </w:pPr>
          </w:p>
        </w:tc>
        <w:tc>
          <w:tcPr>
            <w:tcW w:w="400" w:type="dxa"/>
            <w:vAlign w:val="bottom"/>
            <w:tcBorders>
              <w:top w:val="single" w:sz="8" w:color="auto"/>
            </w:tcBorders>
          </w:tcPr>
          <w:p>
            <w:pPr>
              <w:spacing w:after="0"/>
              <w:rPr>
                <w:sz w:val="16"/>
                <w:szCs w:val="16"/>
                <w:color w:val="auto"/>
              </w:rPr>
            </w:pPr>
          </w:p>
        </w:tc>
        <w:tc>
          <w:tcPr>
            <w:tcW w:w="22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3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1620" w:type="dxa"/>
            <w:vAlign w:val="bottom"/>
            <w:gridSpan w:val="3"/>
            <w:shd w:val="clear" w:color="auto" w:fill="000000"/>
          </w:tcPr>
          <w:p>
            <w:pPr>
              <w:spacing w:after="0" w:line="20" w:lineRule="exact"/>
              <w:rPr>
                <w:sz w:val="1"/>
                <w:szCs w:val="1"/>
                <w:color w:val="auto"/>
              </w:rPr>
            </w:pPr>
          </w:p>
        </w:tc>
        <w:tc>
          <w:tcPr>
            <w:tcW w:w="11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2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5"/>
        </w:trPr>
        <w:tc>
          <w:tcPr>
            <w:tcW w:w="20" w:type="dxa"/>
            <w:vAlign w:val="bottom"/>
          </w:tcPr>
          <w:p>
            <w:pPr>
              <w:spacing w:after="0"/>
              <w:rPr>
                <w:sz w:val="16"/>
                <w:szCs w:val="16"/>
                <w:color w:val="auto"/>
              </w:rPr>
            </w:pPr>
          </w:p>
        </w:tc>
        <w:tc>
          <w:tcPr>
            <w:tcW w:w="234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3880" w:type="dxa"/>
            <w:vAlign w:val="bottom"/>
            <w:tcBorders>
              <w:bottom w:val="single" w:sz="8" w:color="auto"/>
            </w:tcBorders>
            <w:gridSpan w:val="6"/>
          </w:tcPr>
          <w:p>
            <w:pPr>
              <w:jc w:val="center"/>
              <w:spacing w:after="0" w:line="195" w:lineRule="exact"/>
              <w:rPr>
                <w:sz w:val="20"/>
                <w:szCs w:val="20"/>
                <w:color w:val="auto"/>
              </w:rPr>
            </w:pPr>
            <w:r>
              <w:rPr>
                <w:rFonts w:ascii="Arial" w:cs="Arial" w:eastAsia="Arial" w:hAnsi="Arial"/>
                <w:sz w:val="18"/>
                <w:szCs w:val="18"/>
                <w:color w:val="auto"/>
                <w:w w:val="88"/>
              </w:rPr>
              <w:t>(Dollars in thousands except share and per share data)</w:t>
            </w:r>
          </w:p>
        </w:tc>
        <w:tc>
          <w:tcPr>
            <w:tcW w:w="2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22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1"/>
        </w:trPr>
        <w:tc>
          <w:tcPr>
            <w:tcW w:w="6040" w:type="dxa"/>
            <w:vAlign w:val="bottom"/>
            <w:gridSpan w:val="8"/>
          </w:tcPr>
          <w:p>
            <w:pPr>
              <w:spacing w:after="0"/>
              <w:rPr>
                <w:sz w:val="20"/>
                <w:szCs w:val="20"/>
                <w:color w:val="auto"/>
              </w:rPr>
            </w:pPr>
            <w:r>
              <w:rPr>
                <w:rFonts w:ascii="Arial" w:cs="Arial" w:eastAsia="Arial" w:hAnsi="Arial"/>
                <w:sz w:val="18"/>
                <w:szCs w:val="18"/>
                <w:color w:val="auto"/>
              </w:rPr>
              <w:t>The following table presents our segment information:</w:t>
            </w:r>
          </w:p>
        </w:tc>
        <w:tc>
          <w:tcPr>
            <w:tcW w:w="4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0"/>
        </w:trPr>
        <w:tc>
          <w:tcPr>
            <w:tcW w:w="20" w:type="dxa"/>
            <w:vAlign w:val="bottom"/>
          </w:tcPr>
          <w:p>
            <w:pPr>
              <w:spacing w:after="0"/>
              <w:rPr>
                <w:sz w:val="24"/>
                <w:szCs w:val="24"/>
                <w:color w:val="auto"/>
              </w:rPr>
            </w:pPr>
          </w:p>
        </w:tc>
        <w:tc>
          <w:tcPr>
            <w:tcW w:w="23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620" w:type="dxa"/>
            <w:vAlign w:val="bottom"/>
            <w:gridSpan w:val="5"/>
          </w:tcPr>
          <w:p>
            <w:pPr>
              <w:jc w:val="right"/>
              <w:ind w:right="1140"/>
              <w:spacing w:after="0"/>
              <w:rPr>
                <w:sz w:val="20"/>
                <w:szCs w:val="20"/>
                <w:color w:val="auto"/>
              </w:rPr>
            </w:pPr>
            <w:r>
              <w:rPr>
                <w:rFonts w:ascii="Arial" w:cs="Arial" w:eastAsia="Arial" w:hAnsi="Arial"/>
                <w:sz w:val="18"/>
                <w:szCs w:val="18"/>
                <w:b w:val="1"/>
                <w:bCs w:val="1"/>
                <w:color w:val="auto"/>
              </w:rPr>
              <w:t>Quarter Ended</w:t>
            </w:r>
          </w:p>
        </w:tc>
        <w:tc>
          <w:tcPr>
            <w:tcW w:w="2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234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240" w:type="dxa"/>
            <w:vAlign w:val="bottom"/>
            <w:tcBorders>
              <w:top w:val="single" w:sz="8" w:color="auto"/>
            </w:tcBorders>
          </w:tcPr>
          <w:p>
            <w:pPr>
              <w:spacing w:after="0"/>
              <w:rPr>
                <w:sz w:val="16"/>
                <w:szCs w:val="16"/>
                <w:color w:val="auto"/>
              </w:rPr>
            </w:pPr>
          </w:p>
        </w:tc>
        <w:tc>
          <w:tcPr>
            <w:tcW w:w="1420" w:type="dxa"/>
            <w:vAlign w:val="bottom"/>
            <w:tcBorders>
              <w:top w:val="single" w:sz="8" w:color="auto"/>
            </w:tcBorders>
            <w:gridSpan w:val="2"/>
          </w:tcPr>
          <w:p>
            <w:pPr>
              <w:jc w:val="center"/>
              <w:ind w:right="290"/>
              <w:spacing w:after="0" w:line="190" w:lineRule="exact"/>
              <w:rPr>
                <w:sz w:val="20"/>
                <w:szCs w:val="20"/>
                <w:color w:val="auto"/>
              </w:rPr>
            </w:pPr>
            <w:r>
              <w:rPr>
                <w:rFonts w:ascii="Arial" w:cs="Arial" w:eastAsia="Arial" w:hAnsi="Arial"/>
                <w:sz w:val="18"/>
                <w:szCs w:val="18"/>
                <w:b w:val="1"/>
                <w:bCs w:val="1"/>
                <w:color w:val="auto"/>
                <w:w w:val="93"/>
              </w:rPr>
              <w:t>February 24,</w:t>
            </w:r>
          </w:p>
        </w:tc>
        <w:tc>
          <w:tcPr>
            <w:tcW w:w="200" w:type="dxa"/>
            <w:vAlign w:val="bottom"/>
            <w:tcBorders>
              <w:top w:val="single" w:sz="8" w:color="auto"/>
            </w:tcBorders>
          </w:tcPr>
          <w:p>
            <w:pPr>
              <w:spacing w:after="0"/>
              <w:rPr>
                <w:sz w:val="16"/>
                <w:szCs w:val="16"/>
                <w:color w:val="auto"/>
              </w:rPr>
            </w:pPr>
          </w:p>
        </w:tc>
        <w:tc>
          <w:tcPr>
            <w:tcW w:w="20" w:type="dxa"/>
            <w:vAlign w:val="bottom"/>
            <w:tcBorders>
              <w:top w:val="single" w:sz="8" w:color="auto"/>
            </w:tcBorders>
          </w:tcPr>
          <w:p>
            <w:pPr>
              <w:spacing w:after="0"/>
              <w:rPr>
                <w:sz w:val="16"/>
                <w:szCs w:val="16"/>
                <w:color w:val="auto"/>
              </w:rPr>
            </w:pPr>
          </w:p>
        </w:tc>
        <w:tc>
          <w:tcPr>
            <w:tcW w:w="1460" w:type="dxa"/>
            <w:vAlign w:val="bottom"/>
            <w:tcBorders>
              <w:top w:val="single" w:sz="8" w:color="auto"/>
            </w:tcBorders>
            <w:gridSpan w:val="2"/>
          </w:tcPr>
          <w:p>
            <w:pPr>
              <w:jc w:val="center"/>
              <w:ind w:right="260"/>
              <w:spacing w:after="0" w:line="190" w:lineRule="exact"/>
              <w:rPr>
                <w:sz w:val="20"/>
                <w:szCs w:val="20"/>
                <w:color w:val="auto"/>
              </w:rPr>
            </w:pPr>
            <w:r>
              <w:rPr>
                <w:rFonts w:ascii="Arial" w:cs="Arial" w:eastAsia="Arial" w:hAnsi="Arial"/>
                <w:sz w:val="18"/>
                <w:szCs w:val="18"/>
                <w:b w:val="1"/>
                <w:bCs w:val="1"/>
                <w:color w:val="auto"/>
                <w:w w:val="93"/>
              </w:rPr>
              <w:t>February 25,</w:t>
            </w:r>
          </w:p>
        </w:tc>
        <w:tc>
          <w:tcPr>
            <w:tcW w:w="22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23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420" w:type="dxa"/>
            <w:vAlign w:val="bottom"/>
            <w:tcBorders>
              <w:bottom w:val="single" w:sz="8" w:color="auto"/>
            </w:tcBorders>
            <w:gridSpan w:val="2"/>
          </w:tcPr>
          <w:p>
            <w:pPr>
              <w:jc w:val="center"/>
              <w:ind w:right="290"/>
              <w:spacing w:after="0"/>
              <w:rPr>
                <w:sz w:val="20"/>
                <w:szCs w:val="20"/>
                <w:color w:val="auto"/>
              </w:rPr>
            </w:pPr>
            <w:r>
              <w:rPr>
                <w:rFonts w:ascii="Arial" w:cs="Arial" w:eastAsia="Arial" w:hAnsi="Arial"/>
                <w:sz w:val="18"/>
                <w:szCs w:val="18"/>
                <w:b w:val="1"/>
                <w:bCs w:val="1"/>
                <w:color w:val="auto"/>
                <w:w w:val="89"/>
              </w:rPr>
              <w:t>2018</w:t>
            </w:r>
          </w:p>
        </w:tc>
        <w:tc>
          <w:tcPr>
            <w:tcW w:w="200" w:type="dxa"/>
            <w:vAlign w:val="bottom"/>
            <w:tcBorders>
              <w:bottom w:val="single" w:sz="8" w:color="auto"/>
            </w:tcBorders>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jc w:val="center"/>
              <w:ind w:left="50"/>
              <w:spacing w:after="0"/>
              <w:rPr>
                <w:sz w:val="20"/>
                <w:szCs w:val="20"/>
                <w:color w:val="auto"/>
              </w:rPr>
            </w:pPr>
            <w:r>
              <w:rPr>
                <w:rFonts w:ascii="Arial" w:cs="Arial" w:eastAsia="Arial" w:hAnsi="Arial"/>
                <w:sz w:val="18"/>
                <w:szCs w:val="18"/>
                <w:b w:val="1"/>
                <w:bCs w:val="1"/>
                <w:color w:val="auto"/>
                <w:w w:val="89"/>
              </w:rPr>
              <w:t>2017</w:t>
            </w:r>
          </w:p>
        </w:tc>
        <w:tc>
          <w:tcPr>
            <w:tcW w:w="400" w:type="dxa"/>
            <w:vAlign w:val="bottom"/>
            <w:tcBorders>
              <w:bottom w:val="single" w:sz="8" w:color="auto"/>
            </w:tcBorders>
          </w:tcPr>
          <w:p>
            <w:pPr>
              <w:spacing w:after="0"/>
              <w:rPr>
                <w:sz w:val="20"/>
                <w:szCs w:val="20"/>
                <w:color w:val="auto"/>
              </w:rPr>
            </w:pPr>
          </w:p>
        </w:tc>
        <w:tc>
          <w:tcPr>
            <w:tcW w:w="22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26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Sales Revenue</w:t>
            </w:r>
          </w:p>
        </w:tc>
        <w:tc>
          <w:tcPr>
            <w:tcW w:w="10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900" w:type="dxa"/>
            <w:vAlign w:val="bottom"/>
            <w:tcBorders>
              <w:right w:val="single" w:sz="8" w:color="CCEEFF"/>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400" w:type="dxa"/>
            <w:vAlign w:val="bottom"/>
            <w:tcBorders>
              <w:right w:val="single" w:sz="8" w:color="CCEEFF"/>
            </w:tcBorders>
            <w:shd w:val="clear" w:color="auto" w:fill="CCEEFF"/>
          </w:tcPr>
          <w:p>
            <w:pPr>
              <w:spacing w:after="0"/>
              <w:rPr>
                <w:sz w:val="18"/>
                <w:szCs w:val="18"/>
                <w:color w:val="auto"/>
              </w:rPr>
            </w:pPr>
          </w:p>
        </w:tc>
        <w:tc>
          <w:tcPr>
            <w:tcW w:w="2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2660" w:type="dxa"/>
            <w:vAlign w:val="bottom"/>
            <w:gridSpan w:val="2"/>
          </w:tcPr>
          <w:p>
            <w:pPr>
              <w:spacing w:after="0"/>
              <w:rPr>
                <w:sz w:val="20"/>
                <w:szCs w:val="20"/>
                <w:color w:val="auto"/>
              </w:rPr>
            </w:pPr>
            <w:r>
              <w:rPr>
                <w:rFonts w:ascii="Arial" w:cs="Arial" w:eastAsia="Arial" w:hAnsi="Arial"/>
                <w:sz w:val="18"/>
                <w:szCs w:val="18"/>
                <w:color w:val="auto"/>
              </w:rPr>
              <w:t>Wholesale</w:t>
            </w:r>
          </w:p>
        </w:tc>
        <w:tc>
          <w:tcPr>
            <w:tcW w:w="3360" w:type="dxa"/>
            <w:vAlign w:val="bottom"/>
            <w:gridSpan w:val="5"/>
          </w:tcPr>
          <w:p>
            <w:pPr>
              <w:jc w:val="right"/>
              <w:ind w:right="130"/>
              <w:spacing w:after="0"/>
              <w:rPr>
                <w:sz w:val="20"/>
                <w:szCs w:val="20"/>
                <w:color w:val="auto"/>
              </w:rPr>
            </w:pPr>
            <w:r>
              <w:rPr>
                <w:rFonts w:ascii="Arial" w:cs="Arial" w:eastAsia="Arial" w:hAnsi="Arial"/>
                <w:sz w:val="18"/>
                <w:szCs w:val="18"/>
                <w:color w:val="auto"/>
              </w:rPr>
              <w:t>$</w:t>
            </w:r>
          </w:p>
        </w:tc>
        <w:tc>
          <w:tcPr>
            <w:tcW w:w="1420" w:type="dxa"/>
            <w:vAlign w:val="bottom"/>
            <w:gridSpan w:val="2"/>
          </w:tcPr>
          <w:p>
            <w:pPr>
              <w:jc w:val="right"/>
              <w:ind w:right="30"/>
              <w:spacing w:after="0"/>
              <w:rPr>
                <w:sz w:val="20"/>
                <w:szCs w:val="20"/>
                <w:color w:val="auto"/>
              </w:rPr>
            </w:pPr>
            <w:r>
              <w:rPr>
                <w:rFonts w:ascii="Arial" w:cs="Arial" w:eastAsia="Arial" w:hAnsi="Arial"/>
                <w:sz w:val="18"/>
                <w:szCs w:val="18"/>
                <w:color w:val="auto"/>
              </w:rPr>
              <w:t>63,100</w:t>
            </w:r>
          </w:p>
        </w:tc>
        <w:tc>
          <w:tcPr>
            <w:tcW w:w="200" w:type="dxa"/>
            <w:vAlign w:val="bottom"/>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1460" w:type="dxa"/>
            <w:vAlign w:val="bottom"/>
            <w:gridSpan w:val="2"/>
          </w:tcPr>
          <w:p>
            <w:pPr>
              <w:jc w:val="right"/>
              <w:ind w:right="80"/>
              <w:spacing w:after="0"/>
              <w:rPr>
                <w:sz w:val="20"/>
                <w:szCs w:val="20"/>
                <w:color w:val="auto"/>
              </w:rPr>
            </w:pPr>
            <w:r>
              <w:rPr>
                <w:rFonts w:ascii="Arial" w:cs="Arial" w:eastAsia="Arial" w:hAnsi="Arial"/>
                <w:sz w:val="18"/>
                <w:szCs w:val="18"/>
                <w:color w:val="auto"/>
              </w:rPr>
              <w:t>61,975</w:t>
            </w:r>
          </w:p>
        </w:tc>
        <w:tc>
          <w:tcPr>
            <w:tcW w:w="2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26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Retail - Company-owned stores</w:t>
            </w:r>
          </w:p>
        </w:tc>
        <w:tc>
          <w:tcPr>
            <w:tcW w:w="10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900" w:type="dxa"/>
            <w:vAlign w:val="bottom"/>
            <w:tcBorders>
              <w:right w:val="single" w:sz="8" w:color="CCEEFF"/>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30"/>
              <w:spacing w:after="0"/>
              <w:rPr>
                <w:sz w:val="20"/>
                <w:szCs w:val="20"/>
                <w:color w:val="auto"/>
              </w:rPr>
            </w:pPr>
            <w:r>
              <w:rPr>
                <w:rFonts w:ascii="Arial" w:cs="Arial" w:eastAsia="Arial" w:hAnsi="Arial"/>
                <w:sz w:val="18"/>
                <w:szCs w:val="18"/>
                <w:color w:val="auto"/>
              </w:rPr>
              <w:t>64,661</w:t>
            </w: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60" w:type="dxa"/>
            <w:vAlign w:val="bottom"/>
            <w:tcBorders>
              <w:right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61,593</w:t>
            </w:r>
          </w:p>
        </w:tc>
        <w:tc>
          <w:tcPr>
            <w:tcW w:w="2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2660" w:type="dxa"/>
            <w:vAlign w:val="bottom"/>
            <w:gridSpan w:val="2"/>
          </w:tcPr>
          <w:p>
            <w:pPr>
              <w:spacing w:after="0"/>
              <w:rPr>
                <w:sz w:val="20"/>
                <w:szCs w:val="20"/>
                <w:color w:val="auto"/>
              </w:rPr>
            </w:pPr>
            <w:r>
              <w:rPr>
                <w:rFonts w:ascii="Arial" w:cs="Arial" w:eastAsia="Arial" w:hAnsi="Arial"/>
                <w:sz w:val="18"/>
                <w:szCs w:val="18"/>
                <w:color w:val="auto"/>
              </w:rPr>
              <w:t>Logistical services</w:t>
            </w:r>
          </w:p>
        </w:tc>
        <w:tc>
          <w:tcPr>
            <w:tcW w:w="10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20" w:type="dxa"/>
            <w:vAlign w:val="bottom"/>
            <w:gridSpan w:val="2"/>
          </w:tcPr>
          <w:p>
            <w:pPr>
              <w:jc w:val="right"/>
              <w:ind w:right="30"/>
              <w:spacing w:after="0"/>
              <w:rPr>
                <w:sz w:val="20"/>
                <w:szCs w:val="20"/>
                <w:color w:val="auto"/>
              </w:rPr>
            </w:pPr>
            <w:r>
              <w:rPr>
                <w:rFonts w:ascii="Arial" w:cs="Arial" w:eastAsia="Arial" w:hAnsi="Arial"/>
                <w:sz w:val="18"/>
                <w:szCs w:val="18"/>
                <w:color w:val="auto"/>
              </w:rPr>
              <w:t>25,249</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60" w:type="dxa"/>
            <w:vAlign w:val="bottom"/>
            <w:gridSpan w:val="2"/>
          </w:tcPr>
          <w:p>
            <w:pPr>
              <w:jc w:val="right"/>
              <w:ind w:right="80"/>
              <w:spacing w:after="0"/>
              <w:rPr>
                <w:sz w:val="20"/>
                <w:szCs w:val="20"/>
                <w:color w:val="auto"/>
              </w:rPr>
            </w:pPr>
            <w:r>
              <w:rPr>
                <w:rFonts w:ascii="Arial" w:cs="Arial" w:eastAsia="Arial" w:hAnsi="Arial"/>
                <w:sz w:val="18"/>
                <w:szCs w:val="18"/>
                <w:color w:val="auto"/>
              </w:rPr>
              <w:t>22,334</w:t>
            </w:r>
          </w:p>
        </w:tc>
        <w:tc>
          <w:tcPr>
            <w:tcW w:w="2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26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Inter-company eliminations:</w:t>
            </w:r>
          </w:p>
        </w:tc>
        <w:tc>
          <w:tcPr>
            <w:tcW w:w="10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900" w:type="dxa"/>
            <w:vAlign w:val="bottom"/>
            <w:tcBorders>
              <w:right w:val="single" w:sz="8" w:color="CCEEFF"/>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400" w:type="dxa"/>
            <w:vAlign w:val="bottom"/>
            <w:tcBorders>
              <w:right w:val="single" w:sz="8" w:color="CCEEFF"/>
            </w:tcBorders>
            <w:shd w:val="clear" w:color="auto" w:fill="CCEEFF"/>
          </w:tcPr>
          <w:p>
            <w:pPr>
              <w:spacing w:after="0"/>
              <w:rPr>
                <w:sz w:val="18"/>
                <w:szCs w:val="18"/>
                <w:color w:val="auto"/>
              </w:rPr>
            </w:pPr>
          </w:p>
        </w:tc>
        <w:tc>
          <w:tcPr>
            <w:tcW w:w="2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2660" w:type="dxa"/>
            <w:vAlign w:val="bottom"/>
            <w:gridSpan w:val="2"/>
          </w:tcPr>
          <w:p>
            <w:pPr>
              <w:ind w:left="140"/>
              <w:spacing w:after="0"/>
              <w:rPr>
                <w:sz w:val="20"/>
                <w:szCs w:val="20"/>
                <w:color w:val="auto"/>
              </w:rPr>
            </w:pPr>
            <w:r>
              <w:rPr>
                <w:rFonts w:ascii="Arial" w:cs="Arial" w:eastAsia="Arial" w:hAnsi="Arial"/>
                <w:sz w:val="18"/>
                <w:szCs w:val="18"/>
                <w:color w:val="auto"/>
              </w:rPr>
              <w:t>Furniture and accessories</w:t>
            </w:r>
          </w:p>
        </w:tc>
        <w:tc>
          <w:tcPr>
            <w:tcW w:w="10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20" w:type="dxa"/>
            <w:vAlign w:val="bottom"/>
            <w:gridSpan w:val="2"/>
          </w:tcPr>
          <w:p>
            <w:pPr>
              <w:jc w:val="right"/>
              <w:spacing w:after="0"/>
              <w:rPr>
                <w:sz w:val="20"/>
                <w:szCs w:val="20"/>
                <w:color w:val="auto"/>
              </w:rPr>
            </w:pPr>
            <w:r>
              <w:rPr>
                <w:rFonts w:ascii="Arial" w:cs="Arial" w:eastAsia="Arial" w:hAnsi="Arial"/>
                <w:sz w:val="18"/>
                <w:szCs w:val="18"/>
                <w:color w:val="auto"/>
              </w:rPr>
              <w:t>(31,638)</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60" w:type="dxa"/>
            <w:vAlign w:val="bottom"/>
            <w:gridSpan w:val="2"/>
          </w:tcPr>
          <w:p>
            <w:pPr>
              <w:jc w:val="right"/>
              <w:ind w:right="20"/>
              <w:spacing w:after="0"/>
              <w:rPr>
                <w:sz w:val="20"/>
                <w:szCs w:val="20"/>
                <w:color w:val="auto"/>
              </w:rPr>
            </w:pPr>
            <w:r>
              <w:rPr>
                <w:rFonts w:ascii="Arial" w:cs="Arial" w:eastAsia="Arial" w:hAnsi="Arial"/>
                <w:sz w:val="18"/>
                <w:szCs w:val="18"/>
                <w:color w:val="auto"/>
              </w:rPr>
              <w:t>(29,870)</w:t>
            </w:r>
          </w:p>
        </w:tc>
        <w:tc>
          <w:tcPr>
            <w:tcW w:w="2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266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Logistical services</w:t>
            </w:r>
          </w:p>
        </w:tc>
        <w:tc>
          <w:tcPr>
            <w:tcW w:w="10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900" w:type="dxa"/>
            <w:vAlign w:val="bottom"/>
            <w:tcBorders>
              <w:right w:val="single" w:sz="8" w:color="CCEEFF"/>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(11,100)</w:t>
            </w: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60" w:type="dxa"/>
            <w:vAlign w:val="bottom"/>
            <w:tcBorders>
              <w:right w:val="single" w:sz="8" w:color="CCEEFF"/>
            </w:tcBorders>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(10,140)</w:t>
            </w:r>
          </w:p>
        </w:tc>
        <w:tc>
          <w:tcPr>
            <w:tcW w:w="2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340" w:type="dxa"/>
            <w:vAlign w:val="bottom"/>
            <w:shd w:val="clear" w:color="auto" w:fill="CCEEFF"/>
          </w:tcPr>
          <w:p>
            <w:pPr>
              <w:spacing w:after="0" w:line="20" w:lineRule="exact"/>
              <w:rPr>
                <w:sz w:val="1"/>
                <w:szCs w:val="1"/>
                <w:color w:val="auto"/>
              </w:rPr>
            </w:pPr>
          </w:p>
        </w:tc>
        <w:tc>
          <w:tcPr>
            <w:tcW w:w="320" w:type="dxa"/>
            <w:vAlign w:val="bottom"/>
            <w:shd w:val="clear" w:color="auto" w:fill="CCEEFF"/>
          </w:tcPr>
          <w:p>
            <w:pPr>
              <w:spacing w:after="0" w:line="20" w:lineRule="exact"/>
              <w:rPr>
                <w:sz w:val="1"/>
                <w:szCs w:val="1"/>
                <w:color w:val="auto"/>
              </w:rPr>
            </w:pPr>
          </w:p>
        </w:tc>
        <w:tc>
          <w:tcPr>
            <w:tcW w:w="1060" w:type="dxa"/>
            <w:vAlign w:val="bottom"/>
            <w:shd w:val="clear" w:color="auto" w:fill="CCEEFF"/>
          </w:tcPr>
          <w:p>
            <w:pPr>
              <w:spacing w:after="0" w:line="20" w:lineRule="exact"/>
              <w:rPr>
                <w:sz w:val="1"/>
                <w:szCs w:val="1"/>
                <w:color w:val="auto"/>
              </w:rPr>
            </w:pPr>
          </w:p>
        </w:tc>
        <w:tc>
          <w:tcPr>
            <w:tcW w:w="40" w:type="dxa"/>
            <w:vAlign w:val="bottom"/>
            <w:shd w:val="clear" w:color="auto" w:fill="CCEEFF"/>
          </w:tcPr>
          <w:p>
            <w:pPr>
              <w:spacing w:after="0" w:line="20" w:lineRule="exact"/>
              <w:rPr>
                <w:sz w:val="1"/>
                <w:szCs w:val="1"/>
                <w:color w:val="auto"/>
              </w:rPr>
            </w:pPr>
          </w:p>
        </w:tc>
        <w:tc>
          <w:tcPr>
            <w:tcW w:w="1120" w:type="dxa"/>
            <w:vAlign w:val="bottom"/>
            <w:shd w:val="clear" w:color="auto" w:fill="CCEEFF"/>
          </w:tcPr>
          <w:p>
            <w:pPr>
              <w:spacing w:after="0" w:line="20" w:lineRule="exact"/>
              <w:rPr>
                <w:sz w:val="1"/>
                <w:szCs w:val="1"/>
                <w:color w:val="auto"/>
              </w:rPr>
            </w:pPr>
          </w:p>
        </w:tc>
        <w:tc>
          <w:tcPr>
            <w:tcW w:w="900" w:type="dxa"/>
            <w:vAlign w:val="bottom"/>
            <w:tcBorders>
              <w:right w:val="single" w:sz="8" w:color="auto"/>
            </w:tcBorders>
            <w:shd w:val="clear" w:color="auto" w:fill="CCEEFF"/>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400" w:type="dxa"/>
            <w:vAlign w:val="bottom"/>
            <w:tcBorders>
              <w:right w:val="single" w:sz="8" w:color="CCEEFF"/>
            </w:tcBorders>
            <w:shd w:val="clear" w:color="auto" w:fill="000000"/>
          </w:tcPr>
          <w:p>
            <w:pPr>
              <w:spacing w:after="0" w:line="20" w:lineRule="exact"/>
              <w:rPr>
                <w:sz w:val="1"/>
                <w:szCs w:val="1"/>
                <w:color w:val="auto"/>
              </w:rPr>
            </w:pPr>
          </w:p>
        </w:tc>
        <w:tc>
          <w:tcPr>
            <w:tcW w:w="22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2680" w:type="dxa"/>
            <w:vAlign w:val="bottom"/>
            <w:gridSpan w:val="3"/>
          </w:tcPr>
          <w:p>
            <w:pPr>
              <w:spacing w:after="0"/>
              <w:rPr>
                <w:sz w:val="20"/>
                <w:szCs w:val="20"/>
                <w:color w:val="auto"/>
              </w:rPr>
            </w:pPr>
            <w:r>
              <w:rPr>
                <w:rFonts w:ascii="Arial" w:cs="Arial" w:eastAsia="Arial" w:hAnsi="Arial"/>
                <w:sz w:val="18"/>
                <w:szCs w:val="18"/>
                <w:color w:val="auto"/>
              </w:rPr>
              <w:t>Consolidated</w:t>
            </w:r>
          </w:p>
        </w:tc>
        <w:tc>
          <w:tcPr>
            <w:tcW w:w="3360" w:type="dxa"/>
            <w:vAlign w:val="bottom"/>
            <w:gridSpan w:val="5"/>
          </w:tcPr>
          <w:p>
            <w:pPr>
              <w:jc w:val="right"/>
              <w:ind w:right="130"/>
              <w:spacing w:after="0"/>
              <w:rPr>
                <w:sz w:val="20"/>
                <w:szCs w:val="20"/>
                <w:color w:val="auto"/>
              </w:rPr>
            </w:pPr>
            <w:r>
              <w:rPr>
                <w:rFonts w:ascii="Arial" w:cs="Arial" w:eastAsia="Arial" w:hAnsi="Arial"/>
                <w:sz w:val="18"/>
                <w:szCs w:val="18"/>
                <w:color w:val="auto"/>
              </w:rPr>
              <w:t>$</w:t>
            </w:r>
          </w:p>
        </w:tc>
        <w:tc>
          <w:tcPr>
            <w:tcW w:w="1420" w:type="dxa"/>
            <w:vAlign w:val="bottom"/>
            <w:gridSpan w:val="2"/>
          </w:tcPr>
          <w:p>
            <w:pPr>
              <w:jc w:val="right"/>
              <w:ind w:right="30"/>
              <w:spacing w:after="0"/>
              <w:rPr>
                <w:sz w:val="20"/>
                <w:szCs w:val="20"/>
                <w:color w:val="auto"/>
              </w:rPr>
            </w:pPr>
            <w:r>
              <w:rPr>
                <w:rFonts w:ascii="Arial" w:cs="Arial" w:eastAsia="Arial" w:hAnsi="Arial"/>
                <w:sz w:val="18"/>
                <w:szCs w:val="18"/>
                <w:color w:val="auto"/>
              </w:rPr>
              <w:t>110,272</w:t>
            </w:r>
          </w:p>
        </w:tc>
        <w:tc>
          <w:tcPr>
            <w:tcW w:w="200" w:type="dxa"/>
            <w:vAlign w:val="bottom"/>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1460" w:type="dxa"/>
            <w:vAlign w:val="bottom"/>
            <w:gridSpan w:val="2"/>
          </w:tcPr>
          <w:p>
            <w:pPr>
              <w:jc w:val="right"/>
              <w:ind w:right="80"/>
              <w:spacing w:after="0"/>
              <w:rPr>
                <w:sz w:val="20"/>
                <w:szCs w:val="20"/>
                <w:color w:val="auto"/>
              </w:rPr>
            </w:pPr>
            <w:r>
              <w:rPr>
                <w:rFonts w:ascii="Arial" w:cs="Arial" w:eastAsia="Arial" w:hAnsi="Arial"/>
                <w:sz w:val="18"/>
                <w:szCs w:val="18"/>
                <w:color w:val="auto"/>
              </w:rPr>
              <w:t>105,892</w:t>
            </w:r>
          </w:p>
        </w:tc>
        <w:tc>
          <w:tcPr>
            <w:tcW w:w="2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3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2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20" w:type="dxa"/>
            <w:vAlign w:val="bottom"/>
            <w:vMerge w:val="restart"/>
          </w:tcPr>
          <w:p>
            <w:pPr>
              <w:spacing w:after="0"/>
              <w:rPr>
                <w:sz w:val="17"/>
                <w:szCs w:val="17"/>
                <w:color w:val="auto"/>
              </w:rPr>
            </w:pPr>
          </w:p>
        </w:tc>
        <w:tc>
          <w:tcPr>
            <w:tcW w:w="234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c>
          <w:tcPr>
            <w:tcW w:w="900" w:type="dxa"/>
            <w:vAlign w:val="bottom"/>
            <w:tcBorders>
              <w:right w:val="single" w:sz="8" w:color="CCEEFF"/>
            </w:tcBorders>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060" w:type="dxa"/>
            <w:vAlign w:val="bottom"/>
            <w:shd w:val="clear" w:color="auto" w:fill="CCEEFF"/>
          </w:tcPr>
          <w:p>
            <w:pPr>
              <w:spacing w:after="0"/>
              <w:rPr>
                <w:sz w:val="17"/>
                <w:szCs w:val="17"/>
                <w:color w:val="auto"/>
              </w:rPr>
            </w:pPr>
          </w:p>
        </w:tc>
        <w:tc>
          <w:tcPr>
            <w:tcW w:w="400" w:type="dxa"/>
            <w:vAlign w:val="bottom"/>
            <w:tcBorders>
              <w:right w:val="single" w:sz="8" w:color="CCEEFF"/>
            </w:tcBorders>
            <w:shd w:val="clear" w:color="auto" w:fill="CCEEFF"/>
          </w:tcPr>
          <w:p>
            <w:pPr>
              <w:spacing w:after="0"/>
              <w:rPr>
                <w:sz w:val="17"/>
                <w:szCs w:val="17"/>
                <w:color w:val="auto"/>
              </w:rPr>
            </w:pPr>
          </w:p>
        </w:tc>
        <w:tc>
          <w:tcPr>
            <w:tcW w:w="22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5"/>
        </w:trPr>
        <w:tc>
          <w:tcPr>
            <w:tcW w:w="20" w:type="dxa"/>
            <w:vAlign w:val="bottom"/>
            <w:vMerge w:val="continue"/>
          </w:tcPr>
          <w:p>
            <w:pPr>
              <w:spacing w:after="0"/>
              <w:rPr>
                <w:sz w:val="18"/>
                <w:szCs w:val="18"/>
                <w:color w:val="auto"/>
              </w:rPr>
            </w:pPr>
          </w:p>
        </w:tc>
        <w:tc>
          <w:tcPr>
            <w:tcW w:w="2660" w:type="dxa"/>
            <w:vAlign w:val="bottom"/>
            <w:gridSpan w:val="2"/>
          </w:tcPr>
          <w:p>
            <w:pPr>
              <w:spacing w:after="0"/>
              <w:rPr>
                <w:sz w:val="20"/>
                <w:szCs w:val="20"/>
                <w:color w:val="auto"/>
              </w:rPr>
            </w:pPr>
            <w:r>
              <w:rPr>
                <w:rFonts w:ascii="Arial" w:cs="Arial" w:eastAsia="Arial" w:hAnsi="Arial"/>
                <w:sz w:val="18"/>
                <w:szCs w:val="18"/>
                <w:b w:val="1"/>
                <w:bCs w:val="1"/>
                <w:color w:val="auto"/>
              </w:rPr>
              <w:t>Income (loss) from Operations</w:t>
            </w:r>
          </w:p>
        </w:tc>
        <w:tc>
          <w:tcPr>
            <w:tcW w:w="10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26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Wholesale</w:t>
            </w:r>
          </w:p>
        </w:tc>
        <w:tc>
          <w:tcPr>
            <w:tcW w:w="3360" w:type="dxa"/>
            <w:vAlign w:val="bottom"/>
            <w:gridSpan w:val="5"/>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1420" w:type="dxa"/>
            <w:vAlign w:val="bottom"/>
            <w:gridSpan w:val="2"/>
            <w:shd w:val="clear" w:color="auto" w:fill="CCEEFF"/>
          </w:tcPr>
          <w:p>
            <w:pPr>
              <w:jc w:val="right"/>
              <w:ind w:right="30"/>
              <w:spacing w:after="0"/>
              <w:rPr>
                <w:sz w:val="20"/>
                <w:szCs w:val="20"/>
                <w:color w:val="auto"/>
              </w:rPr>
            </w:pPr>
            <w:r>
              <w:rPr>
                <w:rFonts w:ascii="Arial" w:cs="Arial" w:eastAsia="Arial" w:hAnsi="Arial"/>
                <w:sz w:val="18"/>
                <w:szCs w:val="18"/>
                <w:color w:val="auto"/>
              </w:rPr>
              <w:t>3,064</w:t>
            </w: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shd w:val="clear" w:color="auto" w:fill="CCEEFF"/>
          </w:tcPr>
          <w:p>
            <w:pPr>
              <w:spacing w:after="0"/>
              <w:rPr>
                <w:sz w:val="18"/>
                <w:szCs w:val="18"/>
                <w:color w:val="auto"/>
              </w:rPr>
            </w:pPr>
          </w:p>
        </w:tc>
        <w:tc>
          <w:tcPr>
            <w:tcW w:w="1460" w:type="dxa"/>
            <w:vAlign w:val="bottom"/>
            <w:tcBorders>
              <w:right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5,893</w:t>
            </w:r>
          </w:p>
        </w:tc>
        <w:tc>
          <w:tcPr>
            <w:tcW w:w="2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2660" w:type="dxa"/>
            <w:vAlign w:val="bottom"/>
            <w:gridSpan w:val="2"/>
          </w:tcPr>
          <w:p>
            <w:pPr>
              <w:spacing w:after="0"/>
              <w:rPr>
                <w:sz w:val="20"/>
                <w:szCs w:val="20"/>
                <w:color w:val="auto"/>
              </w:rPr>
            </w:pPr>
            <w:r>
              <w:rPr>
                <w:rFonts w:ascii="Arial" w:cs="Arial" w:eastAsia="Arial" w:hAnsi="Arial"/>
                <w:sz w:val="18"/>
                <w:szCs w:val="18"/>
                <w:color w:val="auto"/>
              </w:rPr>
              <w:t>Retail - Company-owned stores</w:t>
            </w:r>
          </w:p>
        </w:tc>
        <w:tc>
          <w:tcPr>
            <w:tcW w:w="10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20" w:type="dxa"/>
            <w:vAlign w:val="bottom"/>
            <w:gridSpan w:val="2"/>
          </w:tcPr>
          <w:p>
            <w:pPr>
              <w:jc w:val="right"/>
              <w:spacing w:after="0"/>
              <w:rPr>
                <w:sz w:val="20"/>
                <w:szCs w:val="20"/>
                <w:color w:val="auto"/>
              </w:rPr>
            </w:pPr>
            <w:r>
              <w:rPr>
                <w:rFonts w:ascii="Arial" w:cs="Arial" w:eastAsia="Arial" w:hAnsi="Arial"/>
                <w:sz w:val="18"/>
                <w:szCs w:val="18"/>
                <w:color w:val="auto"/>
              </w:rPr>
              <w:t>(1,513)</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60" w:type="dxa"/>
            <w:vAlign w:val="bottom"/>
            <w:gridSpan w:val="2"/>
          </w:tcPr>
          <w:p>
            <w:pPr>
              <w:jc w:val="right"/>
              <w:ind w:right="20"/>
              <w:spacing w:after="0"/>
              <w:rPr>
                <w:sz w:val="20"/>
                <w:szCs w:val="20"/>
                <w:color w:val="auto"/>
              </w:rPr>
            </w:pPr>
            <w:r>
              <w:rPr>
                <w:rFonts w:ascii="Arial" w:cs="Arial" w:eastAsia="Arial" w:hAnsi="Arial"/>
                <w:sz w:val="18"/>
                <w:szCs w:val="18"/>
                <w:color w:val="auto"/>
              </w:rPr>
              <w:t>(1,343)</w:t>
            </w:r>
          </w:p>
        </w:tc>
        <w:tc>
          <w:tcPr>
            <w:tcW w:w="2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26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Logistical services</w:t>
            </w:r>
          </w:p>
        </w:tc>
        <w:tc>
          <w:tcPr>
            <w:tcW w:w="10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900" w:type="dxa"/>
            <w:vAlign w:val="bottom"/>
            <w:tcBorders>
              <w:right w:val="single" w:sz="8" w:color="CCEEFF"/>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30"/>
              <w:spacing w:after="0"/>
              <w:rPr>
                <w:sz w:val="20"/>
                <w:szCs w:val="20"/>
                <w:color w:val="auto"/>
              </w:rPr>
            </w:pPr>
            <w:r>
              <w:rPr>
                <w:rFonts w:ascii="Arial" w:cs="Arial" w:eastAsia="Arial" w:hAnsi="Arial"/>
                <w:sz w:val="18"/>
                <w:szCs w:val="18"/>
                <w:color w:val="auto"/>
              </w:rPr>
              <w:t>330</w:t>
            </w: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60" w:type="dxa"/>
            <w:vAlign w:val="bottom"/>
            <w:tcBorders>
              <w:right w:val="single" w:sz="8" w:color="CCEEFF"/>
            </w:tcBorders>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(226)</w:t>
            </w:r>
          </w:p>
        </w:tc>
        <w:tc>
          <w:tcPr>
            <w:tcW w:w="2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2660" w:type="dxa"/>
            <w:vAlign w:val="bottom"/>
            <w:gridSpan w:val="2"/>
          </w:tcPr>
          <w:p>
            <w:pPr>
              <w:spacing w:after="0"/>
              <w:rPr>
                <w:sz w:val="20"/>
                <w:szCs w:val="20"/>
                <w:color w:val="auto"/>
              </w:rPr>
            </w:pPr>
            <w:r>
              <w:rPr>
                <w:rFonts w:ascii="Arial" w:cs="Arial" w:eastAsia="Arial" w:hAnsi="Arial"/>
                <w:sz w:val="18"/>
                <w:szCs w:val="18"/>
                <w:color w:val="auto"/>
              </w:rPr>
              <w:t>Inter-company elimination</w:t>
            </w:r>
          </w:p>
        </w:tc>
        <w:tc>
          <w:tcPr>
            <w:tcW w:w="10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420" w:type="dxa"/>
            <w:vAlign w:val="bottom"/>
            <w:tcBorders>
              <w:bottom w:val="single" w:sz="8" w:color="auto"/>
            </w:tcBorders>
            <w:gridSpan w:val="2"/>
          </w:tcPr>
          <w:p>
            <w:pPr>
              <w:jc w:val="right"/>
              <w:ind w:right="30"/>
              <w:spacing w:after="0"/>
              <w:rPr>
                <w:sz w:val="20"/>
                <w:szCs w:val="20"/>
                <w:color w:val="auto"/>
              </w:rPr>
            </w:pPr>
            <w:r>
              <w:rPr>
                <w:rFonts w:ascii="Arial" w:cs="Arial" w:eastAsia="Arial" w:hAnsi="Arial"/>
                <w:sz w:val="18"/>
                <w:szCs w:val="18"/>
                <w:color w:val="auto"/>
              </w:rPr>
              <w:t>169</w:t>
            </w:r>
          </w:p>
        </w:tc>
        <w:tc>
          <w:tcPr>
            <w:tcW w:w="20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460" w:type="dxa"/>
            <w:vAlign w:val="bottom"/>
            <w:tcBorders>
              <w:bottom w:val="single" w:sz="8" w:color="auto"/>
            </w:tcBorders>
            <w:gridSpan w:val="2"/>
          </w:tcPr>
          <w:p>
            <w:pPr>
              <w:jc w:val="right"/>
              <w:ind w:right="80"/>
              <w:spacing w:after="0"/>
              <w:rPr>
                <w:sz w:val="20"/>
                <w:szCs w:val="20"/>
                <w:color w:val="auto"/>
              </w:rPr>
            </w:pPr>
            <w:r>
              <w:rPr>
                <w:rFonts w:ascii="Arial" w:cs="Arial" w:eastAsia="Arial" w:hAnsi="Arial"/>
                <w:sz w:val="18"/>
                <w:szCs w:val="18"/>
                <w:color w:val="auto"/>
              </w:rPr>
              <w:t>340</w:t>
            </w:r>
          </w:p>
        </w:tc>
        <w:tc>
          <w:tcPr>
            <w:tcW w:w="2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20" w:type="dxa"/>
            <w:vAlign w:val="bottom"/>
          </w:tcPr>
          <w:p>
            <w:pPr>
              <w:spacing w:after="0"/>
              <w:rPr>
                <w:sz w:val="21"/>
                <w:szCs w:val="21"/>
                <w:color w:val="auto"/>
              </w:rPr>
            </w:pPr>
          </w:p>
        </w:tc>
        <w:tc>
          <w:tcPr>
            <w:tcW w:w="26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Consolidated</w:t>
            </w:r>
          </w:p>
        </w:tc>
        <w:tc>
          <w:tcPr>
            <w:tcW w:w="3360" w:type="dxa"/>
            <w:vAlign w:val="bottom"/>
            <w:gridSpan w:val="5"/>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1420" w:type="dxa"/>
            <w:vAlign w:val="bottom"/>
            <w:gridSpan w:val="2"/>
            <w:shd w:val="clear" w:color="auto" w:fill="CCEEFF"/>
          </w:tcPr>
          <w:p>
            <w:pPr>
              <w:jc w:val="right"/>
              <w:ind w:right="30"/>
              <w:spacing w:after="0"/>
              <w:rPr>
                <w:sz w:val="20"/>
                <w:szCs w:val="20"/>
                <w:color w:val="auto"/>
              </w:rPr>
            </w:pPr>
            <w:r>
              <w:rPr>
                <w:rFonts w:ascii="Arial" w:cs="Arial" w:eastAsia="Arial" w:hAnsi="Arial"/>
                <w:sz w:val="18"/>
                <w:szCs w:val="18"/>
                <w:color w:val="auto"/>
              </w:rPr>
              <w:t>2,050</w:t>
            </w: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shd w:val="clear" w:color="auto" w:fill="CCEEFF"/>
          </w:tcPr>
          <w:p>
            <w:pPr>
              <w:spacing w:after="0"/>
              <w:rPr>
                <w:sz w:val="21"/>
                <w:szCs w:val="21"/>
                <w:color w:val="auto"/>
              </w:rPr>
            </w:pPr>
          </w:p>
        </w:tc>
        <w:tc>
          <w:tcPr>
            <w:tcW w:w="1460" w:type="dxa"/>
            <w:vAlign w:val="bottom"/>
            <w:tcBorders>
              <w:right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4,664</w:t>
            </w:r>
          </w:p>
        </w:tc>
        <w:tc>
          <w:tcPr>
            <w:tcW w:w="22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6"/>
        </w:trPr>
        <w:tc>
          <w:tcPr>
            <w:tcW w:w="20" w:type="dxa"/>
            <w:vAlign w:val="bottom"/>
            <w:vMerge w:val="restart"/>
          </w:tcPr>
          <w:p>
            <w:pPr>
              <w:spacing w:after="0"/>
              <w:rPr>
                <w:sz w:val="17"/>
                <w:szCs w:val="17"/>
                <w:color w:val="auto"/>
              </w:rPr>
            </w:pPr>
          </w:p>
        </w:tc>
        <w:tc>
          <w:tcPr>
            <w:tcW w:w="2340" w:type="dxa"/>
            <w:vAlign w:val="bottom"/>
            <w:tcBorders>
              <w:top w:val="single" w:sz="8" w:color="CCEEFF"/>
            </w:tcBorders>
          </w:tcPr>
          <w:p>
            <w:pPr>
              <w:spacing w:after="0"/>
              <w:rPr>
                <w:sz w:val="17"/>
                <w:szCs w:val="17"/>
                <w:color w:val="auto"/>
              </w:rPr>
            </w:pPr>
          </w:p>
        </w:tc>
        <w:tc>
          <w:tcPr>
            <w:tcW w:w="320" w:type="dxa"/>
            <w:vAlign w:val="bottom"/>
            <w:tcBorders>
              <w:top w:val="single" w:sz="8" w:color="CCEEFF"/>
            </w:tcBorders>
          </w:tcPr>
          <w:p>
            <w:pPr>
              <w:spacing w:after="0"/>
              <w:rPr>
                <w:sz w:val="17"/>
                <w:szCs w:val="17"/>
                <w:color w:val="auto"/>
              </w:rPr>
            </w:pPr>
          </w:p>
        </w:tc>
        <w:tc>
          <w:tcPr>
            <w:tcW w:w="1060" w:type="dxa"/>
            <w:vAlign w:val="bottom"/>
            <w:tcBorders>
              <w:top w:val="single" w:sz="8" w:color="CCEEFF"/>
            </w:tcBorders>
          </w:tcPr>
          <w:p>
            <w:pPr>
              <w:spacing w:after="0"/>
              <w:rPr>
                <w:sz w:val="17"/>
                <w:szCs w:val="17"/>
                <w:color w:val="auto"/>
              </w:rPr>
            </w:pPr>
          </w:p>
        </w:tc>
        <w:tc>
          <w:tcPr>
            <w:tcW w:w="40" w:type="dxa"/>
            <w:vAlign w:val="bottom"/>
            <w:tcBorders>
              <w:top w:val="single" w:sz="8" w:color="CCEEFF"/>
            </w:tcBorders>
          </w:tcPr>
          <w:p>
            <w:pPr>
              <w:spacing w:after="0"/>
              <w:rPr>
                <w:sz w:val="17"/>
                <w:szCs w:val="17"/>
                <w:color w:val="auto"/>
              </w:rPr>
            </w:pPr>
          </w:p>
        </w:tc>
        <w:tc>
          <w:tcPr>
            <w:tcW w:w="1120" w:type="dxa"/>
            <w:vAlign w:val="bottom"/>
            <w:tcBorders>
              <w:top w:val="single" w:sz="8" w:color="CCEEFF"/>
            </w:tcBorders>
          </w:tcPr>
          <w:p>
            <w:pPr>
              <w:spacing w:after="0"/>
              <w:rPr>
                <w:sz w:val="17"/>
                <w:szCs w:val="17"/>
                <w:color w:val="auto"/>
              </w:rPr>
            </w:pPr>
          </w:p>
        </w:tc>
        <w:tc>
          <w:tcPr>
            <w:tcW w:w="900" w:type="dxa"/>
            <w:vAlign w:val="bottom"/>
            <w:tcBorders>
              <w:top w:val="single" w:sz="8" w:color="CCEEFF"/>
            </w:tcBorders>
          </w:tcPr>
          <w:p>
            <w:pPr>
              <w:spacing w:after="0"/>
              <w:rPr>
                <w:sz w:val="17"/>
                <w:szCs w:val="17"/>
                <w:color w:val="auto"/>
              </w:rPr>
            </w:pPr>
          </w:p>
        </w:tc>
        <w:tc>
          <w:tcPr>
            <w:tcW w:w="240" w:type="dxa"/>
            <w:vAlign w:val="bottom"/>
            <w:tcBorders>
              <w:top w:val="single" w:sz="8" w:color="auto"/>
            </w:tcBorders>
          </w:tcPr>
          <w:p>
            <w:pPr>
              <w:spacing w:after="0"/>
              <w:rPr>
                <w:sz w:val="17"/>
                <w:szCs w:val="17"/>
                <w:color w:val="auto"/>
              </w:rPr>
            </w:pPr>
          </w:p>
        </w:tc>
        <w:tc>
          <w:tcPr>
            <w:tcW w:w="480" w:type="dxa"/>
            <w:vAlign w:val="bottom"/>
            <w:tcBorders>
              <w:top w:val="single" w:sz="8" w:color="auto"/>
            </w:tcBorders>
          </w:tcPr>
          <w:p>
            <w:pPr>
              <w:spacing w:after="0"/>
              <w:rPr>
                <w:sz w:val="17"/>
                <w:szCs w:val="17"/>
                <w:color w:val="auto"/>
              </w:rPr>
            </w:pPr>
          </w:p>
        </w:tc>
        <w:tc>
          <w:tcPr>
            <w:tcW w:w="940" w:type="dxa"/>
            <w:vAlign w:val="bottom"/>
            <w:tcBorders>
              <w:top w:val="single" w:sz="8" w:color="auto"/>
            </w:tcBorders>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20" w:type="dxa"/>
            <w:vAlign w:val="bottom"/>
            <w:tcBorders>
              <w:top w:val="single" w:sz="8" w:color="auto"/>
            </w:tcBorders>
          </w:tcPr>
          <w:p>
            <w:pPr>
              <w:spacing w:after="0"/>
              <w:rPr>
                <w:sz w:val="17"/>
                <w:szCs w:val="17"/>
                <w:color w:val="auto"/>
              </w:rPr>
            </w:pPr>
          </w:p>
        </w:tc>
        <w:tc>
          <w:tcPr>
            <w:tcW w:w="1060" w:type="dxa"/>
            <w:vAlign w:val="bottom"/>
            <w:tcBorders>
              <w:top w:val="single" w:sz="8" w:color="auto"/>
            </w:tcBorders>
          </w:tcPr>
          <w:p>
            <w:pPr>
              <w:spacing w:after="0"/>
              <w:rPr>
                <w:sz w:val="17"/>
                <w:szCs w:val="17"/>
                <w:color w:val="auto"/>
              </w:rPr>
            </w:pPr>
          </w:p>
        </w:tc>
        <w:tc>
          <w:tcPr>
            <w:tcW w:w="400" w:type="dxa"/>
            <w:vAlign w:val="bottom"/>
            <w:tcBorders>
              <w:top w:val="single" w:sz="8" w:color="auto"/>
            </w:tcBorders>
          </w:tcPr>
          <w:p>
            <w:pPr>
              <w:spacing w:after="0"/>
              <w:rPr>
                <w:sz w:val="17"/>
                <w:szCs w:val="17"/>
                <w:color w:val="auto"/>
              </w:rPr>
            </w:pPr>
          </w:p>
        </w:tc>
        <w:tc>
          <w:tcPr>
            <w:tcW w:w="22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5"/>
        </w:trPr>
        <w:tc>
          <w:tcPr>
            <w:tcW w:w="20" w:type="dxa"/>
            <w:vAlign w:val="bottom"/>
            <w:vMerge w:val="continue"/>
          </w:tcPr>
          <w:p>
            <w:pPr>
              <w:spacing w:after="0"/>
              <w:rPr>
                <w:sz w:val="18"/>
                <w:szCs w:val="18"/>
                <w:color w:val="auto"/>
              </w:rPr>
            </w:pPr>
          </w:p>
        </w:tc>
        <w:tc>
          <w:tcPr>
            <w:tcW w:w="26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Depreciation and Amortization</w:t>
            </w:r>
          </w:p>
        </w:tc>
        <w:tc>
          <w:tcPr>
            <w:tcW w:w="10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900" w:type="dxa"/>
            <w:vAlign w:val="bottom"/>
            <w:tcBorders>
              <w:right w:val="single" w:sz="8" w:color="CCEEFF"/>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400" w:type="dxa"/>
            <w:vAlign w:val="bottom"/>
            <w:tcBorders>
              <w:right w:val="single" w:sz="8" w:color="CCEEFF"/>
            </w:tcBorders>
            <w:shd w:val="clear" w:color="auto" w:fill="CCEEFF"/>
          </w:tcPr>
          <w:p>
            <w:pPr>
              <w:spacing w:after="0"/>
              <w:rPr>
                <w:sz w:val="18"/>
                <w:szCs w:val="18"/>
                <w:color w:val="auto"/>
              </w:rPr>
            </w:pPr>
          </w:p>
        </w:tc>
        <w:tc>
          <w:tcPr>
            <w:tcW w:w="2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2660" w:type="dxa"/>
            <w:vAlign w:val="bottom"/>
            <w:gridSpan w:val="2"/>
          </w:tcPr>
          <w:p>
            <w:pPr>
              <w:spacing w:after="0"/>
              <w:rPr>
                <w:sz w:val="20"/>
                <w:szCs w:val="20"/>
                <w:color w:val="auto"/>
              </w:rPr>
            </w:pPr>
            <w:r>
              <w:rPr>
                <w:rFonts w:ascii="Arial" w:cs="Arial" w:eastAsia="Arial" w:hAnsi="Arial"/>
                <w:sz w:val="18"/>
                <w:szCs w:val="18"/>
                <w:color w:val="auto"/>
              </w:rPr>
              <w:t>Wholesale</w:t>
            </w:r>
          </w:p>
        </w:tc>
        <w:tc>
          <w:tcPr>
            <w:tcW w:w="3360" w:type="dxa"/>
            <w:vAlign w:val="bottom"/>
            <w:gridSpan w:val="5"/>
          </w:tcPr>
          <w:p>
            <w:pPr>
              <w:jc w:val="right"/>
              <w:ind w:right="130"/>
              <w:spacing w:after="0"/>
              <w:rPr>
                <w:sz w:val="20"/>
                <w:szCs w:val="20"/>
                <w:color w:val="auto"/>
              </w:rPr>
            </w:pPr>
            <w:r>
              <w:rPr>
                <w:rFonts w:ascii="Arial" w:cs="Arial" w:eastAsia="Arial" w:hAnsi="Arial"/>
                <w:sz w:val="18"/>
                <w:szCs w:val="18"/>
                <w:color w:val="auto"/>
              </w:rPr>
              <w:t>$</w:t>
            </w:r>
          </w:p>
        </w:tc>
        <w:tc>
          <w:tcPr>
            <w:tcW w:w="1420" w:type="dxa"/>
            <w:vAlign w:val="bottom"/>
            <w:gridSpan w:val="2"/>
          </w:tcPr>
          <w:p>
            <w:pPr>
              <w:jc w:val="right"/>
              <w:ind w:right="30"/>
              <w:spacing w:after="0"/>
              <w:rPr>
                <w:sz w:val="20"/>
                <w:szCs w:val="20"/>
                <w:color w:val="auto"/>
              </w:rPr>
            </w:pPr>
            <w:r>
              <w:rPr>
                <w:rFonts w:ascii="Arial" w:cs="Arial" w:eastAsia="Arial" w:hAnsi="Arial"/>
                <w:sz w:val="18"/>
                <w:szCs w:val="18"/>
                <w:color w:val="auto"/>
              </w:rPr>
              <w:t>703</w:t>
            </w:r>
          </w:p>
        </w:tc>
        <w:tc>
          <w:tcPr>
            <w:tcW w:w="200" w:type="dxa"/>
            <w:vAlign w:val="bottom"/>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1460" w:type="dxa"/>
            <w:vAlign w:val="bottom"/>
            <w:gridSpan w:val="2"/>
          </w:tcPr>
          <w:p>
            <w:pPr>
              <w:jc w:val="right"/>
              <w:ind w:right="80"/>
              <w:spacing w:after="0"/>
              <w:rPr>
                <w:sz w:val="20"/>
                <w:szCs w:val="20"/>
                <w:color w:val="auto"/>
              </w:rPr>
            </w:pPr>
            <w:r>
              <w:rPr>
                <w:rFonts w:ascii="Arial" w:cs="Arial" w:eastAsia="Arial" w:hAnsi="Arial"/>
                <w:sz w:val="18"/>
                <w:szCs w:val="18"/>
                <w:color w:val="auto"/>
              </w:rPr>
              <w:t>644</w:t>
            </w:r>
          </w:p>
        </w:tc>
        <w:tc>
          <w:tcPr>
            <w:tcW w:w="2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26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Retail - Company-owned stores</w:t>
            </w:r>
          </w:p>
        </w:tc>
        <w:tc>
          <w:tcPr>
            <w:tcW w:w="10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900" w:type="dxa"/>
            <w:vAlign w:val="bottom"/>
            <w:tcBorders>
              <w:right w:val="single" w:sz="8" w:color="CCEEFF"/>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30"/>
              <w:spacing w:after="0"/>
              <w:rPr>
                <w:sz w:val="20"/>
                <w:szCs w:val="20"/>
                <w:color w:val="auto"/>
              </w:rPr>
            </w:pPr>
            <w:r>
              <w:rPr>
                <w:rFonts w:ascii="Arial" w:cs="Arial" w:eastAsia="Arial" w:hAnsi="Arial"/>
                <w:sz w:val="18"/>
                <w:szCs w:val="18"/>
                <w:color w:val="auto"/>
              </w:rPr>
              <w:t>1,528</w:t>
            </w: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60" w:type="dxa"/>
            <w:vAlign w:val="bottom"/>
            <w:tcBorders>
              <w:right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1,472</w:t>
            </w:r>
          </w:p>
        </w:tc>
        <w:tc>
          <w:tcPr>
            <w:tcW w:w="2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2660" w:type="dxa"/>
            <w:vAlign w:val="bottom"/>
            <w:gridSpan w:val="2"/>
          </w:tcPr>
          <w:p>
            <w:pPr>
              <w:spacing w:after="0"/>
              <w:rPr>
                <w:sz w:val="20"/>
                <w:szCs w:val="20"/>
                <w:color w:val="auto"/>
              </w:rPr>
            </w:pPr>
            <w:r>
              <w:rPr>
                <w:rFonts w:ascii="Arial" w:cs="Arial" w:eastAsia="Arial" w:hAnsi="Arial"/>
                <w:sz w:val="18"/>
                <w:szCs w:val="18"/>
                <w:color w:val="auto"/>
              </w:rPr>
              <w:t>Logistical services</w:t>
            </w:r>
          </w:p>
        </w:tc>
        <w:tc>
          <w:tcPr>
            <w:tcW w:w="10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420" w:type="dxa"/>
            <w:vAlign w:val="bottom"/>
            <w:tcBorders>
              <w:bottom w:val="single" w:sz="8" w:color="auto"/>
            </w:tcBorders>
            <w:gridSpan w:val="2"/>
          </w:tcPr>
          <w:p>
            <w:pPr>
              <w:jc w:val="right"/>
              <w:ind w:right="30"/>
              <w:spacing w:after="0"/>
              <w:rPr>
                <w:sz w:val="20"/>
                <w:szCs w:val="20"/>
                <w:color w:val="auto"/>
              </w:rPr>
            </w:pPr>
            <w:r>
              <w:rPr>
                <w:rFonts w:ascii="Arial" w:cs="Arial" w:eastAsia="Arial" w:hAnsi="Arial"/>
                <w:sz w:val="18"/>
                <w:szCs w:val="18"/>
                <w:color w:val="auto"/>
              </w:rPr>
              <w:t>1,073</w:t>
            </w:r>
          </w:p>
        </w:tc>
        <w:tc>
          <w:tcPr>
            <w:tcW w:w="20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460" w:type="dxa"/>
            <w:vAlign w:val="bottom"/>
            <w:tcBorders>
              <w:bottom w:val="single" w:sz="8" w:color="auto"/>
            </w:tcBorders>
            <w:gridSpan w:val="2"/>
          </w:tcPr>
          <w:p>
            <w:pPr>
              <w:jc w:val="right"/>
              <w:ind w:right="80"/>
              <w:spacing w:after="0"/>
              <w:rPr>
                <w:sz w:val="20"/>
                <w:szCs w:val="20"/>
                <w:color w:val="auto"/>
              </w:rPr>
            </w:pPr>
            <w:r>
              <w:rPr>
                <w:rFonts w:ascii="Arial" w:cs="Arial" w:eastAsia="Arial" w:hAnsi="Arial"/>
                <w:sz w:val="18"/>
                <w:szCs w:val="18"/>
                <w:color w:val="auto"/>
              </w:rPr>
              <w:t>1,235</w:t>
            </w:r>
          </w:p>
        </w:tc>
        <w:tc>
          <w:tcPr>
            <w:tcW w:w="2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20" w:type="dxa"/>
            <w:vAlign w:val="bottom"/>
          </w:tcPr>
          <w:p>
            <w:pPr>
              <w:spacing w:after="0"/>
              <w:rPr>
                <w:sz w:val="21"/>
                <w:szCs w:val="21"/>
                <w:color w:val="auto"/>
              </w:rPr>
            </w:pPr>
          </w:p>
        </w:tc>
        <w:tc>
          <w:tcPr>
            <w:tcW w:w="26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Consolidated</w:t>
            </w:r>
          </w:p>
        </w:tc>
        <w:tc>
          <w:tcPr>
            <w:tcW w:w="3360" w:type="dxa"/>
            <w:vAlign w:val="bottom"/>
            <w:gridSpan w:val="5"/>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1420" w:type="dxa"/>
            <w:vAlign w:val="bottom"/>
            <w:gridSpan w:val="2"/>
            <w:shd w:val="clear" w:color="auto" w:fill="CCEEFF"/>
          </w:tcPr>
          <w:p>
            <w:pPr>
              <w:jc w:val="right"/>
              <w:ind w:right="30"/>
              <w:spacing w:after="0"/>
              <w:rPr>
                <w:sz w:val="20"/>
                <w:szCs w:val="20"/>
                <w:color w:val="auto"/>
              </w:rPr>
            </w:pPr>
            <w:r>
              <w:rPr>
                <w:rFonts w:ascii="Arial" w:cs="Arial" w:eastAsia="Arial" w:hAnsi="Arial"/>
                <w:sz w:val="18"/>
                <w:szCs w:val="18"/>
                <w:color w:val="auto"/>
              </w:rPr>
              <w:t>3,304</w:t>
            </w: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shd w:val="clear" w:color="auto" w:fill="CCEEFF"/>
          </w:tcPr>
          <w:p>
            <w:pPr>
              <w:spacing w:after="0"/>
              <w:rPr>
                <w:sz w:val="21"/>
                <w:szCs w:val="21"/>
                <w:color w:val="auto"/>
              </w:rPr>
            </w:pPr>
          </w:p>
        </w:tc>
        <w:tc>
          <w:tcPr>
            <w:tcW w:w="1460" w:type="dxa"/>
            <w:vAlign w:val="bottom"/>
            <w:tcBorders>
              <w:right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3,351</w:t>
            </w:r>
          </w:p>
        </w:tc>
        <w:tc>
          <w:tcPr>
            <w:tcW w:w="22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6"/>
        </w:trPr>
        <w:tc>
          <w:tcPr>
            <w:tcW w:w="20" w:type="dxa"/>
            <w:vAlign w:val="bottom"/>
            <w:vMerge w:val="restart"/>
          </w:tcPr>
          <w:p>
            <w:pPr>
              <w:spacing w:after="0"/>
              <w:rPr>
                <w:sz w:val="17"/>
                <w:szCs w:val="17"/>
                <w:color w:val="auto"/>
              </w:rPr>
            </w:pPr>
          </w:p>
        </w:tc>
        <w:tc>
          <w:tcPr>
            <w:tcW w:w="2340" w:type="dxa"/>
            <w:vAlign w:val="bottom"/>
            <w:tcBorders>
              <w:top w:val="single" w:sz="8" w:color="CCEEFF"/>
            </w:tcBorders>
          </w:tcPr>
          <w:p>
            <w:pPr>
              <w:spacing w:after="0"/>
              <w:rPr>
                <w:sz w:val="17"/>
                <w:szCs w:val="17"/>
                <w:color w:val="auto"/>
              </w:rPr>
            </w:pPr>
          </w:p>
        </w:tc>
        <w:tc>
          <w:tcPr>
            <w:tcW w:w="320" w:type="dxa"/>
            <w:vAlign w:val="bottom"/>
            <w:tcBorders>
              <w:top w:val="single" w:sz="8" w:color="CCEEFF"/>
            </w:tcBorders>
          </w:tcPr>
          <w:p>
            <w:pPr>
              <w:spacing w:after="0"/>
              <w:rPr>
                <w:sz w:val="17"/>
                <w:szCs w:val="17"/>
                <w:color w:val="auto"/>
              </w:rPr>
            </w:pPr>
          </w:p>
        </w:tc>
        <w:tc>
          <w:tcPr>
            <w:tcW w:w="1060" w:type="dxa"/>
            <w:vAlign w:val="bottom"/>
            <w:tcBorders>
              <w:top w:val="single" w:sz="8" w:color="CCEEFF"/>
            </w:tcBorders>
          </w:tcPr>
          <w:p>
            <w:pPr>
              <w:spacing w:after="0"/>
              <w:rPr>
                <w:sz w:val="17"/>
                <w:szCs w:val="17"/>
                <w:color w:val="auto"/>
              </w:rPr>
            </w:pPr>
          </w:p>
        </w:tc>
        <w:tc>
          <w:tcPr>
            <w:tcW w:w="40" w:type="dxa"/>
            <w:vAlign w:val="bottom"/>
            <w:tcBorders>
              <w:top w:val="single" w:sz="8" w:color="CCEEFF"/>
            </w:tcBorders>
          </w:tcPr>
          <w:p>
            <w:pPr>
              <w:spacing w:after="0"/>
              <w:rPr>
                <w:sz w:val="17"/>
                <w:szCs w:val="17"/>
                <w:color w:val="auto"/>
              </w:rPr>
            </w:pPr>
          </w:p>
        </w:tc>
        <w:tc>
          <w:tcPr>
            <w:tcW w:w="1120" w:type="dxa"/>
            <w:vAlign w:val="bottom"/>
            <w:tcBorders>
              <w:top w:val="single" w:sz="8" w:color="CCEEFF"/>
            </w:tcBorders>
          </w:tcPr>
          <w:p>
            <w:pPr>
              <w:spacing w:after="0"/>
              <w:rPr>
                <w:sz w:val="17"/>
                <w:szCs w:val="17"/>
                <w:color w:val="auto"/>
              </w:rPr>
            </w:pPr>
          </w:p>
        </w:tc>
        <w:tc>
          <w:tcPr>
            <w:tcW w:w="900" w:type="dxa"/>
            <w:vAlign w:val="bottom"/>
            <w:tcBorders>
              <w:top w:val="single" w:sz="8" w:color="CCEEFF"/>
            </w:tcBorders>
          </w:tcPr>
          <w:p>
            <w:pPr>
              <w:spacing w:after="0"/>
              <w:rPr>
                <w:sz w:val="17"/>
                <w:szCs w:val="17"/>
                <w:color w:val="auto"/>
              </w:rPr>
            </w:pPr>
          </w:p>
        </w:tc>
        <w:tc>
          <w:tcPr>
            <w:tcW w:w="240" w:type="dxa"/>
            <w:vAlign w:val="bottom"/>
            <w:tcBorders>
              <w:top w:val="single" w:sz="8" w:color="auto"/>
            </w:tcBorders>
          </w:tcPr>
          <w:p>
            <w:pPr>
              <w:spacing w:after="0"/>
              <w:rPr>
                <w:sz w:val="17"/>
                <w:szCs w:val="17"/>
                <w:color w:val="auto"/>
              </w:rPr>
            </w:pPr>
          </w:p>
        </w:tc>
        <w:tc>
          <w:tcPr>
            <w:tcW w:w="480" w:type="dxa"/>
            <w:vAlign w:val="bottom"/>
            <w:tcBorders>
              <w:top w:val="single" w:sz="8" w:color="auto"/>
            </w:tcBorders>
          </w:tcPr>
          <w:p>
            <w:pPr>
              <w:spacing w:after="0"/>
              <w:rPr>
                <w:sz w:val="17"/>
                <w:szCs w:val="17"/>
                <w:color w:val="auto"/>
              </w:rPr>
            </w:pPr>
          </w:p>
        </w:tc>
        <w:tc>
          <w:tcPr>
            <w:tcW w:w="940" w:type="dxa"/>
            <w:vAlign w:val="bottom"/>
            <w:tcBorders>
              <w:top w:val="single" w:sz="8" w:color="auto"/>
            </w:tcBorders>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20" w:type="dxa"/>
            <w:vAlign w:val="bottom"/>
            <w:tcBorders>
              <w:top w:val="single" w:sz="8" w:color="auto"/>
            </w:tcBorders>
          </w:tcPr>
          <w:p>
            <w:pPr>
              <w:spacing w:after="0"/>
              <w:rPr>
                <w:sz w:val="17"/>
                <w:szCs w:val="17"/>
                <w:color w:val="auto"/>
              </w:rPr>
            </w:pPr>
          </w:p>
        </w:tc>
        <w:tc>
          <w:tcPr>
            <w:tcW w:w="1060" w:type="dxa"/>
            <w:vAlign w:val="bottom"/>
            <w:tcBorders>
              <w:top w:val="single" w:sz="8" w:color="auto"/>
            </w:tcBorders>
          </w:tcPr>
          <w:p>
            <w:pPr>
              <w:spacing w:after="0"/>
              <w:rPr>
                <w:sz w:val="17"/>
                <w:szCs w:val="17"/>
                <w:color w:val="auto"/>
              </w:rPr>
            </w:pPr>
          </w:p>
        </w:tc>
        <w:tc>
          <w:tcPr>
            <w:tcW w:w="400" w:type="dxa"/>
            <w:vAlign w:val="bottom"/>
            <w:tcBorders>
              <w:top w:val="single" w:sz="8" w:color="auto"/>
            </w:tcBorders>
          </w:tcPr>
          <w:p>
            <w:pPr>
              <w:spacing w:after="0"/>
              <w:rPr>
                <w:sz w:val="17"/>
                <w:szCs w:val="17"/>
                <w:color w:val="auto"/>
              </w:rPr>
            </w:pPr>
          </w:p>
        </w:tc>
        <w:tc>
          <w:tcPr>
            <w:tcW w:w="22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5"/>
        </w:trPr>
        <w:tc>
          <w:tcPr>
            <w:tcW w:w="20" w:type="dxa"/>
            <w:vAlign w:val="bottom"/>
            <w:vMerge w:val="continue"/>
          </w:tcPr>
          <w:p>
            <w:pPr>
              <w:spacing w:after="0"/>
              <w:rPr>
                <w:sz w:val="18"/>
                <w:szCs w:val="18"/>
                <w:color w:val="auto"/>
              </w:rPr>
            </w:pPr>
          </w:p>
        </w:tc>
        <w:tc>
          <w:tcPr>
            <w:tcW w:w="26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Capital Expenditures</w:t>
            </w:r>
          </w:p>
        </w:tc>
        <w:tc>
          <w:tcPr>
            <w:tcW w:w="10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900" w:type="dxa"/>
            <w:vAlign w:val="bottom"/>
            <w:tcBorders>
              <w:right w:val="single" w:sz="8" w:color="CCEEFF"/>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400" w:type="dxa"/>
            <w:vAlign w:val="bottom"/>
            <w:tcBorders>
              <w:right w:val="single" w:sz="8" w:color="CCEEFF"/>
            </w:tcBorders>
            <w:shd w:val="clear" w:color="auto" w:fill="CCEEFF"/>
          </w:tcPr>
          <w:p>
            <w:pPr>
              <w:spacing w:after="0"/>
              <w:rPr>
                <w:sz w:val="18"/>
                <w:szCs w:val="18"/>
                <w:color w:val="auto"/>
              </w:rPr>
            </w:pPr>
          </w:p>
        </w:tc>
        <w:tc>
          <w:tcPr>
            <w:tcW w:w="2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2660" w:type="dxa"/>
            <w:vAlign w:val="bottom"/>
            <w:gridSpan w:val="2"/>
          </w:tcPr>
          <w:p>
            <w:pPr>
              <w:spacing w:after="0"/>
              <w:rPr>
                <w:sz w:val="20"/>
                <w:szCs w:val="20"/>
                <w:color w:val="auto"/>
              </w:rPr>
            </w:pPr>
            <w:r>
              <w:rPr>
                <w:rFonts w:ascii="Arial" w:cs="Arial" w:eastAsia="Arial" w:hAnsi="Arial"/>
                <w:sz w:val="18"/>
                <w:szCs w:val="18"/>
                <w:color w:val="auto"/>
              </w:rPr>
              <w:t>Wholesale</w:t>
            </w:r>
          </w:p>
        </w:tc>
        <w:tc>
          <w:tcPr>
            <w:tcW w:w="3360" w:type="dxa"/>
            <w:vAlign w:val="bottom"/>
            <w:gridSpan w:val="5"/>
          </w:tcPr>
          <w:p>
            <w:pPr>
              <w:jc w:val="right"/>
              <w:ind w:right="130"/>
              <w:spacing w:after="0"/>
              <w:rPr>
                <w:sz w:val="20"/>
                <w:szCs w:val="20"/>
                <w:color w:val="auto"/>
              </w:rPr>
            </w:pPr>
            <w:r>
              <w:rPr>
                <w:rFonts w:ascii="Arial" w:cs="Arial" w:eastAsia="Arial" w:hAnsi="Arial"/>
                <w:sz w:val="18"/>
                <w:szCs w:val="18"/>
                <w:color w:val="auto"/>
              </w:rPr>
              <w:t>$</w:t>
            </w:r>
          </w:p>
        </w:tc>
        <w:tc>
          <w:tcPr>
            <w:tcW w:w="1420" w:type="dxa"/>
            <w:vAlign w:val="bottom"/>
            <w:gridSpan w:val="2"/>
          </w:tcPr>
          <w:p>
            <w:pPr>
              <w:jc w:val="right"/>
              <w:ind w:right="30"/>
              <w:spacing w:after="0"/>
              <w:rPr>
                <w:sz w:val="20"/>
                <w:szCs w:val="20"/>
                <w:color w:val="auto"/>
              </w:rPr>
            </w:pPr>
            <w:r>
              <w:rPr>
                <w:rFonts w:ascii="Arial" w:cs="Arial" w:eastAsia="Arial" w:hAnsi="Arial"/>
                <w:sz w:val="18"/>
                <w:szCs w:val="18"/>
                <w:color w:val="auto"/>
              </w:rPr>
              <w:t>1,217</w:t>
            </w:r>
          </w:p>
        </w:tc>
        <w:tc>
          <w:tcPr>
            <w:tcW w:w="200" w:type="dxa"/>
            <w:vAlign w:val="bottom"/>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1460" w:type="dxa"/>
            <w:vAlign w:val="bottom"/>
            <w:gridSpan w:val="2"/>
          </w:tcPr>
          <w:p>
            <w:pPr>
              <w:jc w:val="right"/>
              <w:ind w:right="80"/>
              <w:spacing w:after="0"/>
              <w:rPr>
                <w:sz w:val="20"/>
                <w:szCs w:val="20"/>
                <w:color w:val="auto"/>
              </w:rPr>
            </w:pPr>
            <w:r>
              <w:rPr>
                <w:rFonts w:ascii="Arial" w:cs="Arial" w:eastAsia="Arial" w:hAnsi="Arial"/>
                <w:sz w:val="18"/>
                <w:szCs w:val="18"/>
                <w:color w:val="auto"/>
              </w:rPr>
              <w:t>1,627</w:t>
            </w:r>
          </w:p>
        </w:tc>
        <w:tc>
          <w:tcPr>
            <w:tcW w:w="2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26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Retail - Company-owned stores</w:t>
            </w:r>
          </w:p>
        </w:tc>
        <w:tc>
          <w:tcPr>
            <w:tcW w:w="10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900" w:type="dxa"/>
            <w:vAlign w:val="bottom"/>
            <w:tcBorders>
              <w:right w:val="single" w:sz="8" w:color="CCEEFF"/>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30"/>
              <w:spacing w:after="0"/>
              <w:rPr>
                <w:sz w:val="20"/>
                <w:szCs w:val="20"/>
                <w:color w:val="auto"/>
              </w:rPr>
            </w:pPr>
            <w:r>
              <w:rPr>
                <w:rFonts w:ascii="Arial" w:cs="Arial" w:eastAsia="Arial" w:hAnsi="Arial"/>
                <w:sz w:val="18"/>
                <w:szCs w:val="18"/>
                <w:color w:val="auto"/>
              </w:rPr>
              <w:t>2,601</w:t>
            </w: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60" w:type="dxa"/>
            <w:vAlign w:val="bottom"/>
            <w:tcBorders>
              <w:right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3,703</w:t>
            </w:r>
          </w:p>
        </w:tc>
        <w:tc>
          <w:tcPr>
            <w:tcW w:w="2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2660" w:type="dxa"/>
            <w:vAlign w:val="bottom"/>
            <w:gridSpan w:val="2"/>
          </w:tcPr>
          <w:p>
            <w:pPr>
              <w:spacing w:after="0"/>
              <w:rPr>
                <w:sz w:val="20"/>
                <w:szCs w:val="20"/>
                <w:color w:val="auto"/>
              </w:rPr>
            </w:pPr>
            <w:r>
              <w:rPr>
                <w:rFonts w:ascii="Arial" w:cs="Arial" w:eastAsia="Arial" w:hAnsi="Arial"/>
                <w:sz w:val="18"/>
                <w:szCs w:val="18"/>
                <w:color w:val="auto"/>
              </w:rPr>
              <w:t>Logistical services</w:t>
            </w:r>
          </w:p>
        </w:tc>
        <w:tc>
          <w:tcPr>
            <w:tcW w:w="10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420" w:type="dxa"/>
            <w:vAlign w:val="bottom"/>
            <w:tcBorders>
              <w:bottom w:val="single" w:sz="8" w:color="auto"/>
            </w:tcBorders>
            <w:gridSpan w:val="2"/>
          </w:tcPr>
          <w:p>
            <w:pPr>
              <w:jc w:val="right"/>
              <w:ind w:right="30"/>
              <w:spacing w:after="0"/>
              <w:rPr>
                <w:sz w:val="20"/>
                <w:szCs w:val="20"/>
                <w:color w:val="auto"/>
              </w:rPr>
            </w:pPr>
            <w:r>
              <w:rPr>
                <w:rFonts w:ascii="Arial" w:cs="Arial" w:eastAsia="Arial" w:hAnsi="Arial"/>
                <w:sz w:val="18"/>
                <w:szCs w:val="18"/>
                <w:color w:val="auto"/>
              </w:rPr>
              <w:t>140</w:t>
            </w:r>
          </w:p>
        </w:tc>
        <w:tc>
          <w:tcPr>
            <w:tcW w:w="20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460" w:type="dxa"/>
            <w:vAlign w:val="bottom"/>
            <w:tcBorders>
              <w:bottom w:val="single" w:sz="8" w:color="auto"/>
            </w:tcBorders>
            <w:gridSpan w:val="2"/>
          </w:tcPr>
          <w:p>
            <w:pPr>
              <w:jc w:val="right"/>
              <w:ind w:right="80"/>
              <w:spacing w:after="0"/>
              <w:rPr>
                <w:sz w:val="20"/>
                <w:szCs w:val="20"/>
                <w:color w:val="auto"/>
              </w:rPr>
            </w:pPr>
            <w:r>
              <w:rPr>
                <w:rFonts w:ascii="Arial" w:cs="Arial" w:eastAsia="Arial" w:hAnsi="Arial"/>
                <w:sz w:val="18"/>
                <w:szCs w:val="18"/>
                <w:color w:val="auto"/>
              </w:rPr>
              <w:t>280</w:t>
            </w:r>
          </w:p>
        </w:tc>
        <w:tc>
          <w:tcPr>
            <w:tcW w:w="2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20" w:type="dxa"/>
            <w:vAlign w:val="bottom"/>
          </w:tcPr>
          <w:p>
            <w:pPr>
              <w:spacing w:after="0"/>
              <w:rPr>
                <w:sz w:val="21"/>
                <w:szCs w:val="21"/>
                <w:color w:val="auto"/>
              </w:rPr>
            </w:pPr>
          </w:p>
        </w:tc>
        <w:tc>
          <w:tcPr>
            <w:tcW w:w="266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Consolidated</w:t>
            </w:r>
          </w:p>
        </w:tc>
        <w:tc>
          <w:tcPr>
            <w:tcW w:w="3120" w:type="dxa"/>
            <w:vAlign w:val="bottom"/>
            <w:tcBorders>
              <w:bottom w:val="single" w:sz="8" w:color="CCEEFF"/>
              <w:right w:val="single" w:sz="8" w:color="CCEEFF"/>
            </w:tcBorders>
            <w:gridSpan w:val="4"/>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0"/>
                <w:szCs w:val="10"/>
                <w:color w:val="auto"/>
                <w:w w:val="71"/>
              </w:rPr>
              <w:t>$</w:t>
            </w:r>
          </w:p>
        </w:tc>
        <w:tc>
          <w:tcPr>
            <w:tcW w:w="1420" w:type="dxa"/>
            <w:vAlign w:val="bottom"/>
            <w:tcBorders>
              <w:bottom w:val="single" w:sz="8" w:color="auto"/>
            </w:tcBorders>
            <w:gridSpan w:val="2"/>
            <w:shd w:val="clear" w:color="auto" w:fill="CCEEFF"/>
          </w:tcPr>
          <w:p>
            <w:pPr>
              <w:jc w:val="right"/>
              <w:ind w:right="30"/>
              <w:spacing w:after="0"/>
              <w:rPr>
                <w:sz w:val="20"/>
                <w:szCs w:val="20"/>
                <w:color w:val="auto"/>
              </w:rPr>
            </w:pPr>
            <w:r>
              <w:rPr>
                <w:rFonts w:ascii="Arial" w:cs="Arial" w:eastAsia="Arial" w:hAnsi="Arial"/>
                <w:sz w:val="18"/>
                <w:szCs w:val="18"/>
                <w:color w:val="auto"/>
              </w:rPr>
              <w:t>3,958</w:t>
            </w: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tcBorders>
              <w:bottom w:val="single" w:sz="8" w:color="auto"/>
            </w:tcBorders>
            <w:shd w:val="clear" w:color="auto" w:fill="CCEEFF"/>
          </w:tcPr>
          <w:p>
            <w:pPr>
              <w:spacing w:after="0"/>
              <w:rPr>
                <w:sz w:val="21"/>
                <w:szCs w:val="21"/>
                <w:color w:val="auto"/>
              </w:rPr>
            </w:pPr>
          </w:p>
        </w:tc>
        <w:tc>
          <w:tcPr>
            <w:tcW w:w="1460" w:type="dxa"/>
            <w:vAlign w:val="bottom"/>
            <w:tcBorders>
              <w:bottom w:val="single" w:sz="8" w:color="auto"/>
              <w:right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5,610</w:t>
            </w:r>
          </w:p>
        </w:tc>
        <w:tc>
          <w:tcPr>
            <w:tcW w:w="22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20"/>
        </w:trPr>
        <w:tc>
          <w:tcPr>
            <w:tcW w:w="20" w:type="dxa"/>
            <w:vAlign w:val="bottom"/>
          </w:tcPr>
          <w:p>
            <w:pPr>
              <w:spacing w:after="0"/>
              <w:rPr>
                <w:sz w:val="24"/>
                <w:szCs w:val="24"/>
                <w:color w:val="auto"/>
              </w:rPr>
            </w:pPr>
          </w:p>
        </w:tc>
        <w:tc>
          <w:tcPr>
            <w:tcW w:w="23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420" w:type="dxa"/>
            <w:vAlign w:val="bottom"/>
            <w:gridSpan w:val="2"/>
          </w:tcPr>
          <w:p>
            <w:pPr>
              <w:jc w:val="center"/>
              <w:ind w:right="270"/>
              <w:spacing w:after="0"/>
              <w:rPr>
                <w:sz w:val="20"/>
                <w:szCs w:val="20"/>
                <w:color w:val="auto"/>
              </w:rPr>
            </w:pPr>
            <w:r>
              <w:rPr>
                <w:rFonts w:ascii="Arial" w:cs="Arial" w:eastAsia="Arial" w:hAnsi="Arial"/>
                <w:sz w:val="18"/>
                <w:szCs w:val="18"/>
                <w:b w:val="1"/>
                <w:bCs w:val="1"/>
                <w:color w:val="auto"/>
                <w:w w:val="84"/>
              </w:rPr>
              <w:t>As of</w:t>
            </w: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6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8"/>
              </w:rPr>
              <w:t>As of</w:t>
            </w:r>
          </w:p>
        </w:tc>
        <w:tc>
          <w:tcPr>
            <w:tcW w:w="2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23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20" w:type="dxa"/>
            <w:vAlign w:val="bottom"/>
            <w:gridSpan w:val="2"/>
          </w:tcPr>
          <w:p>
            <w:pPr>
              <w:jc w:val="center"/>
              <w:ind w:right="270"/>
              <w:spacing w:after="0"/>
              <w:rPr>
                <w:sz w:val="20"/>
                <w:szCs w:val="20"/>
                <w:color w:val="auto"/>
              </w:rPr>
            </w:pPr>
            <w:r>
              <w:rPr>
                <w:rFonts w:ascii="Arial" w:cs="Arial" w:eastAsia="Arial" w:hAnsi="Arial"/>
                <w:sz w:val="18"/>
                <w:szCs w:val="18"/>
                <w:b w:val="1"/>
                <w:bCs w:val="1"/>
                <w:color w:val="auto"/>
                <w:w w:val="91"/>
              </w:rPr>
              <w:t>February 24,</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6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91"/>
              </w:rPr>
              <w:t>November 25,</w:t>
            </w:r>
          </w:p>
        </w:tc>
        <w:tc>
          <w:tcPr>
            <w:tcW w:w="2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680" w:type="dxa"/>
            <w:vAlign w:val="bottom"/>
            <w:gridSpan w:val="3"/>
          </w:tcPr>
          <w:p>
            <w:pPr>
              <w:spacing w:after="0"/>
              <w:rPr>
                <w:sz w:val="20"/>
                <w:szCs w:val="20"/>
                <w:color w:val="auto"/>
              </w:rPr>
            </w:pPr>
            <w:r>
              <w:rPr>
                <w:rFonts w:ascii="Arial" w:cs="Arial" w:eastAsia="Arial" w:hAnsi="Arial"/>
                <w:sz w:val="18"/>
                <w:szCs w:val="18"/>
                <w:b w:val="1"/>
                <w:bCs w:val="1"/>
                <w:color w:val="auto"/>
              </w:rPr>
              <w:t>Identifiable Assets</w:t>
            </w:r>
          </w:p>
        </w:tc>
        <w:tc>
          <w:tcPr>
            <w:tcW w:w="10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420" w:type="dxa"/>
            <w:vAlign w:val="bottom"/>
            <w:tcBorders>
              <w:bottom w:val="single" w:sz="8" w:color="auto"/>
            </w:tcBorders>
            <w:gridSpan w:val="2"/>
          </w:tcPr>
          <w:p>
            <w:pPr>
              <w:jc w:val="center"/>
              <w:ind w:right="290"/>
              <w:spacing w:after="0"/>
              <w:rPr>
                <w:sz w:val="20"/>
                <w:szCs w:val="20"/>
                <w:color w:val="auto"/>
              </w:rPr>
            </w:pPr>
            <w:r>
              <w:rPr>
                <w:rFonts w:ascii="Arial" w:cs="Arial" w:eastAsia="Arial" w:hAnsi="Arial"/>
                <w:sz w:val="18"/>
                <w:szCs w:val="18"/>
                <w:b w:val="1"/>
                <w:bCs w:val="1"/>
                <w:color w:val="auto"/>
                <w:w w:val="89"/>
              </w:rPr>
              <w:t>2018</w:t>
            </w:r>
          </w:p>
        </w:tc>
        <w:tc>
          <w:tcPr>
            <w:tcW w:w="200" w:type="dxa"/>
            <w:vAlign w:val="bottom"/>
            <w:tcBorders>
              <w:bottom w:val="single" w:sz="8" w:color="auto"/>
            </w:tcBorders>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jc w:val="center"/>
              <w:ind w:left="50"/>
              <w:spacing w:after="0"/>
              <w:rPr>
                <w:sz w:val="20"/>
                <w:szCs w:val="20"/>
                <w:color w:val="auto"/>
              </w:rPr>
            </w:pPr>
            <w:r>
              <w:rPr>
                <w:rFonts w:ascii="Arial" w:cs="Arial" w:eastAsia="Arial" w:hAnsi="Arial"/>
                <w:sz w:val="18"/>
                <w:szCs w:val="18"/>
                <w:b w:val="1"/>
                <w:bCs w:val="1"/>
                <w:color w:val="auto"/>
                <w:w w:val="89"/>
              </w:rPr>
              <w:t>2017</w:t>
            </w:r>
          </w:p>
        </w:tc>
        <w:tc>
          <w:tcPr>
            <w:tcW w:w="400" w:type="dxa"/>
            <w:vAlign w:val="bottom"/>
            <w:tcBorders>
              <w:bottom w:val="single" w:sz="8" w:color="auto"/>
            </w:tcBorders>
          </w:tcPr>
          <w:p>
            <w:pPr>
              <w:spacing w:after="0"/>
              <w:rPr>
                <w:sz w:val="20"/>
                <w:szCs w:val="20"/>
                <w:color w:val="auto"/>
              </w:rPr>
            </w:pPr>
          </w:p>
        </w:tc>
        <w:tc>
          <w:tcPr>
            <w:tcW w:w="22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26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Wholesale</w:t>
            </w:r>
          </w:p>
        </w:tc>
        <w:tc>
          <w:tcPr>
            <w:tcW w:w="3360" w:type="dxa"/>
            <w:vAlign w:val="bottom"/>
            <w:gridSpan w:val="5"/>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1420" w:type="dxa"/>
            <w:vAlign w:val="bottom"/>
            <w:gridSpan w:val="2"/>
            <w:shd w:val="clear" w:color="auto" w:fill="CCEEFF"/>
          </w:tcPr>
          <w:p>
            <w:pPr>
              <w:jc w:val="right"/>
              <w:ind w:right="30"/>
              <w:spacing w:after="0"/>
              <w:rPr>
                <w:sz w:val="20"/>
                <w:szCs w:val="20"/>
                <w:color w:val="auto"/>
              </w:rPr>
            </w:pPr>
            <w:r>
              <w:rPr>
                <w:rFonts w:ascii="Arial" w:cs="Arial" w:eastAsia="Arial" w:hAnsi="Arial"/>
                <w:sz w:val="18"/>
                <w:szCs w:val="18"/>
                <w:color w:val="auto"/>
              </w:rPr>
              <w:t>140,701</w:t>
            </w: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shd w:val="clear" w:color="auto" w:fill="CCEEFF"/>
          </w:tcPr>
          <w:p>
            <w:pPr>
              <w:spacing w:after="0"/>
              <w:rPr>
                <w:sz w:val="18"/>
                <w:szCs w:val="18"/>
                <w:color w:val="auto"/>
              </w:rPr>
            </w:pPr>
          </w:p>
        </w:tc>
        <w:tc>
          <w:tcPr>
            <w:tcW w:w="1460" w:type="dxa"/>
            <w:vAlign w:val="bottom"/>
            <w:tcBorders>
              <w:right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152,181</w:t>
            </w:r>
          </w:p>
        </w:tc>
        <w:tc>
          <w:tcPr>
            <w:tcW w:w="2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2660" w:type="dxa"/>
            <w:vAlign w:val="bottom"/>
            <w:gridSpan w:val="2"/>
          </w:tcPr>
          <w:p>
            <w:pPr>
              <w:spacing w:after="0"/>
              <w:rPr>
                <w:sz w:val="20"/>
                <w:szCs w:val="20"/>
                <w:color w:val="auto"/>
              </w:rPr>
            </w:pPr>
            <w:r>
              <w:rPr>
                <w:rFonts w:ascii="Arial" w:cs="Arial" w:eastAsia="Arial" w:hAnsi="Arial"/>
                <w:sz w:val="18"/>
                <w:szCs w:val="18"/>
                <w:color w:val="auto"/>
              </w:rPr>
              <w:t>Retail - Company-owned stores</w:t>
            </w:r>
          </w:p>
        </w:tc>
        <w:tc>
          <w:tcPr>
            <w:tcW w:w="10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20" w:type="dxa"/>
            <w:vAlign w:val="bottom"/>
            <w:gridSpan w:val="2"/>
          </w:tcPr>
          <w:p>
            <w:pPr>
              <w:jc w:val="right"/>
              <w:ind w:right="30"/>
              <w:spacing w:after="0"/>
              <w:rPr>
                <w:sz w:val="20"/>
                <w:szCs w:val="20"/>
                <w:color w:val="auto"/>
              </w:rPr>
            </w:pPr>
            <w:r>
              <w:rPr>
                <w:rFonts w:ascii="Arial" w:cs="Arial" w:eastAsia="Arial" w:hAnsi="Arial"/>
                <w:sz w:val="18"/>
                <w:szCs w:val="18"/>
                <w:color w:val="auto"/>
              </w:rPr>
              <w:t>93,490</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60" w:type="dxa"/>
            <w:vAlign w:val="bottom"/>
            <w:gridSpan w:val="2"/>
          </w:tcPr>
          <w:p>
            <w:pPr>
              <w:jc w:val="right"/>
              <w:ind w:right="80"/>
              <w:spacing w:after="0"/>
              <w:rPr>
                <w:sz w:val="20"/>
                <w:szCs w:val="20"/>
                <w:color w:val="auto"/>
              </w:rPr>
            </w:pPr>
            <w:r>
              <w:rPr>
                <w:rFonts w:ascii="Arial" w:cs="Arial" w:eastAsia="Arial" w:hAnsi="Arial"/>
                <w:sz w:val="18"/>
                <w:szCs w:val="18"/>
                <w:color w:val="auto"/>
              </w:rPr>
              <w:t>89,271</w:t>
            </w:r>
          </w:p>
        </w:tc>
        <w:tc>
          <w:tcPr>
            <w:tcW w:w="2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266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Logistical services</w:t>
            </w:r>
          </w:p>
        </w:tc>
        <w:tc>
          <w:tcPr>
            <w:tcW w:w="1060" w:type="dxa"/>
            <w:vAlign w:val="bottom"/>
            <w:tcBorders>
              <w:bottom w:val="single" w:sz="8" w:color="CCEEFF"/>
            </w:tcBorders>
            <w:shd w:val="clear" w:color="auto" w:fill="CCEEFF"/>
          </w:tcPr>
          <w:p>
            <w:pPr>
              <w:spacing w:after="0"/>
              <w:rPr>
                <w:sz w:val="18"/>
                <w:szCs w:val="18"/>
                <w:color w:val="auto"/>
              </w:rPr>
            </w:pPr>
          </w:p>
        </w:tc>
        <w:tc>
          <w:tcPr>
            <w:tcW w:w="40" w:type="dxa"/>
            <w:vAlign w:val="bottom"/>
            <w:tcBorders>
              <w:bottom w:val="single" w:sz="8" w:color="CCEEFF"/>
            </w:tcBorders>
            <w:shd w:val="clear" w:color="auto" w:fill="CCEEFF"/>
          </w:tcPr>
          <w:p>
            <w:pPr>
              <w:spacing w:after="0"/>
              <w:rPr>
                <w:sz w:val="18"/>
                <w:szCs w:val="18"/>
                <w:color w:val="auto"/>
              </w:rPr>
            </w:pPr>
          </w:p>
        </w:tc>
        <w:tc>
          <w:tcPr>
            <w:tcW w:w="1120" w:type="dxa"/>
            <w:vAlign w:val="bottom"/>
            <w:tcBorders>
              <w:bottom w:val="single" w:sz="8" w:color="CCEEFF"/>
            </w:tcBorders>
            <w:shd w:val="clear" w:color="auto" w:fill="CCEEFF"/>
          </w:tcPr>
          <w:p>
            <w:pPr>
              <w:spacing w:after="0"/>
              <w:rPr>
                <w:sz w:val="18"/>
                <w:szCs w:val="18"/>
                <w:color w:val="auto"/>
              </w:rPr>
            </w:pPr>
          </w:p>
        </w:tc>
        <w:tc>
          <w:tcPr>
            <w:tcW w:w="900" w:type="dxa"/>
            <w:vAlign w:val="bottom"/>
            <w:tcBorders>
              <w:bottom w:val="single" w:sz="8" w:color="CCEEFF"/>
              <w:right w:val="single" w:sz="8" w:color="CCEEFF"/>
            </w:tcBorders>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1420" w:type="dxa"/>
            <w:vAlign w:val="bottom"/>
            <w:tcBorders>
              <w:bottom w:val="single" w:sz="8" w:color="auto"/>
            </w:tcBorders>
            <w:gridSpan w:val="2"/>
            <w:shd w:val="clear" w:color="auto" w:fill="CCEEFF"/>
          </w:tcPr>
          <w:p>
            <w:pPr>
              <w:jc w:val="right"/>
              <w:ind w:right="30"/>
              <w:spacing w:after="0"/>
              <w:rPr>
                <w:sz w:val="20"/>
                <w:szCs w:val="20"/>
                <w:color w:val="auto"/>
              </w:rPr>
            </w:pPr>
            <w:r>
              <w:rPr>
                <w:rFonts w:ascii="Arial" w:cs="Arial" w:eastAsia="Arial" w:hAnsi="Arial"/>
                <w:sz w:val="18"/>
                <w:szCs w:val="18"/>
                <w:color w:val="auto"/>
              </w:rPr>
              <w:t>52,474</w:t>
            </w:r>
          </w:p>
        </w:tc>
        <w:tc>
          <w:tcPr>
            <w:tcW w:w="200" w:type="dxa"/>
            <w:vAlign w:val="bottom"/>
            <w:tcBorders>
              <w:bottom w:val="single" w:sz="8" w:color="auto"/>
            </w:tcBorders>
            <w:shd w:val="clear" w:color="auto" w:fill="CCEEFF"/>
          </w:tcPr>
          <w:p>
            <w:pPr>
              <w:spacing w:after="0"/>
              <w:rPr>
                <w:sz w:val="18"/>
                <w:szCs w:val="18"/>
                <w:color w:val="auto"/>
              </w:rPr>
            </w:pPr>
          </w:p>
        </w:tc>
        <w:tc>
          <w:tcPr>
            <w:tcW w:w="20" w:type="dxa"/>
            <w:vAlign w:val="bottom"/>
            <w:tcBorders>
              <w:bottom w:val="single" w:sz="8" w:color="auto"/>
            </w:tcBorders>
            <w:shd w:val="clear" w:color="auto" w:fill="CCEEFF"/>
          </w:tcPr>
          <w:p>
            <w:pPr>
              <w:spacing w:after="0"/>
              <w:rPr>
                <w:sz w:val="18"/>
                <w:szCs w:val="18"/>
                <w:color w:val="auto"/>
              </w:rPr>
            </w:pPr>
          </w:p>
        </w:tc>
        <w:tc>
          <w:tcPr>
            <w:tcW w:w="1460" w:type="dxa"/>
            <w:vAlign w:val="bottom"/>
            <w:tcBorders>
              <w:bottom w:val="single" w:sz="8" w:color="auto"/>
              <w:right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52,296</w:t>
            </w:r>
          </w:p>
        </w:tc>
        <w:tc>
          <w:tcPr>
            <w:tcW w:w="2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680" w:type="dxa"/>
            <w:vAlign w:val="bottom"/>
            <w:gridSpan w:val="3"/>
          </w:tcPr>
          <w:p>
            <w:pPr>
              <w:spacing w:after="0"/>
              <w:rPr>
                <w:sz w:val="20"/>
                <w:szCs w:val="20"/>
                <w:color w:val="auto"/>
              </w:rPr>
            </w:pPr>
            <w:r>
              <w:rPr>
                <w:rFonts w:ascii="Arial" w:cs="Arial" w:eastAsia="Arial" w:hAnsi="Arial"/>
                <w:sz w:val="18"/>
                <w:szCs w:val="18"/>
                <w:color w:val="auto"/>
              </w:rPr>
              <w:t>Consolidated</w:t>
            </w:r>
          </w:p>
        </w:tc>
        <w:tc>
          <w:tcPr>
            <w:tcW w:w="3360" w:type="dxa"/>
            <w:vAlign w:val="bottom"/>
            <w:gridSpan w:val="5"/>
          </w:tcPr>
          <w:p>
            <w:pPr>
              <w:jc w:val="right"/>
              <w:ind w:right="110"/>
              <w:spacing w:after="0"/>
              <w:rPr>
                <w:sz w:val="20"/>
                <w:szCs w:val="20"/>
                <w:color w:val="auto"/>
              </w:rPr>
            </w:pPr>
            <w:r>
              <w:rPr>
                <w:rFonts w:ascii="Arial" w:cs="Arial" w:eastAsia="Arial" w:hAnsi="Arial"/>
                <w:sz w:val="18"/>
                <w:szCs w:val="18"/>
                <w:color w:val="auto"/>
              </w:rPr>
              <w:t>$</w:t>
            </w:r>
          </w:p>
        </w:tc>
        <w:tc>
          <w:tcPr>
            <w:tcW w:w="1420" w:type="dxa"/>
            <w:vAlign w:val="bottom"/>
            <w:gridSpan w:val="2"/>
          </w:tcPr>
          <w:p>
            <w:pPr>
              <w:jc w:val="right"/>
              <w:ind w:right="30"/>
              <w:spacing w:after="0"/>
              <w:rPr>
                <w:sz w:val="20"/>
                <w:szCs w:val="20"/>
                <w:color w:val="auto"/>
              </w:rPr>
            </w:pPr>
            <w:r>
              <w:rPr>
                <w:rFonts w:ascii="Arial" w:cs="Arial" w:eastAsia="Arial" w:hAnsi="Arial"/>
                <w:sz w:val="18"/>
                <w:szCs w:val="18"/>
                <w:color w:val="auto"/>
              </w:rPr>
              <w:t>286,665</w:t>
            </w:r>
          </w:p>
        </w:tc>
        <w:tc>
          <w:tcPr>
            <w:tcW w:w="200" w:type="dxa"/>
            <w:vAlign w:val="bottom"/>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1460" w:type="dxa"/>
            <w:vAlign w:val="bottom"/>
            <w:gridSpan w:val="2"/>
          </w:tcPr>
          <w:p>
            <w:pPr>
              <w:jc w:val="right"/>
              <w:ind w:right="80"/>
              <w:spacing w:after="0"/>
              <w:rPr>
                <w:sz w:val="20"/>
                <w:szCs w:val="20"/>
                <w:color w:val="auto"/>
              </w:rPr>
            </w:pPr>
            <w:r>
              <w:rPr>
                <w:rFonts w:ascii="Arial" w:cs="Arial" w:eastAsia="Arial" w:hAnsi="Arial"/>
                <w:sz w:val="18"/>
                <w:szCs w:val="18"/>
                <w:color w:val="auto"/>
              </w:rPr>
              <w:t>293,748</w:t>
            </w:r>
          </w:p>
        </w:tc>
        <w:tc>
          <w:tcPr>
            <w:tcW w:w="2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3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2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1"/>
        </w:trPr>
        <w:tc>
          <w:tcPr>
            <w:tcW w:w="20" w:type="dxa"/>
            <w:vAlign w:val="bottom"/>
          </w:tcPr>
          <w:p>
            <w:pPr>
              <w:spacing w:after="0"/>
              <w:rPr>
                <w:sz w:val="24"/>
                <w:szCs w:val="24"/>
                <w:color w:val="auto"/>
              </w:rPr>
            </w:pPr>
          </w:p>
        </w:tc>
        <w:tc>
          <w:tcPr>
            <w:tcW w:w="23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140" w:type="dxa"/>
            <w:vAlign w:val="bottom"/>
            <w:gridSpan w:val="2"/>
          </w:tcPr>
          <w:p>
            <w:pPr>
              <w:jc w:val="center"/>
              <w:ind w:left="410"/>
              <w:spacing w:after="0"/>
              <w:rPr>
                <w:sz w:val="20"/>
                <w:szCs w:val="20"/>
                <w:color w:val="auto"/>
              </w:rPr>
            </w:pPr>
            <w:r>
              <w:rPr>
                <w:rFonts w:ascii="Arial" w:cs="Arial" w:eastAsia="Arial" w:hAnsi="Arial"/>
                <w:sz w:val="18"/>
                <w:szCs w:val="18"/>
                <w:color w:val="auto"/>
                <w:w w:val="92"/>
              </w:rPr>
              <w:t>20 of 39</w:t>
            </w:r>
          </w:p>
        </w:tc>
        <w:tc>
          <w:tcPr>
            <w:tcW w:w="4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2340" w:type="dxa"/>
            <w:vAlign w:val="bottom"/>
            <w:tcBorders>
              <w:bottom w:val="single" w:sz="8" w:color="auto"/>
            </w:tcBorders>
          </w:tcPr>
          <w:p>
            <w:pPr>
              <w:spacing w:after="0"/>
              <w:rPr>
                <w:sz w:val="9"/>
                <w:szCs w:val="9"/>
                <w:color w:val="auto"/>
              </w:rPr>
            </w:pPr>
          </w:p>
        </w:tc>
        <w:tc>
          <w:tcPr>
            <w:tcW w:w="320" w:type="dxa"/>
            <w:vAlign w:val="bottom"/>
            <w:tcBorders>
              <w:bottom w:val="single" w:sz="8" w:color="auto"/>
            </w:tcBorders>
          </w:tcPr>
          <w:p>
            <w:pPr>
              <w:spacing w:after="0"/>
              <w:rPr>
                <w:sz w:val="9"/>
                <w:szCs w:val="9"/>
                <w:color w:val="auto"/>
              </w:rPr>
            </w:pPr>
          </w:p>
        </w:tc>
        <w:tc>
          <w:tcPr>
            <w:tcW w:w="1060" w:type="dxa"/>
            <w:vAlign w:val="bottom"/>
            <w:tcBorders>
              <w:bottom w:val="single" w:sz="8" w:color="auto"/>
            </w:tcBorders>
          </w:tcPr>
          <w:p>
            <w:pPr>
              <w:spacing w:after="0"/>
              <w:rPr>
                <w:sz w:val="9"/>
                <w:szCs w:val="9"/>
                <w:color w:val="auto"/>
              </w:rPr>
            </w:pPr>
          </w:p>
        </w:tc>
        <w:tc>
          <w:tcPr>
            <w:tcW w:w="40" w:type="dxa"/>
            <w:vAlign w:val="bottom"/>
            <w:tcBorders>
              <w:bottom w:val="single" w:sz="8" w:color="auto"/>
            </w:tcBorders>
          </w:tcPr>
          <w:p>
            <w:pPr>
              <w:spacing w:after="0"/>
              <w:rPr>
                <w:sz w:val="9"/>
                <w:szCs w:val="9"/>
                <w:color w:val="auto"/>
              </w:rPr>
            </w:pPr>
          </w:p>
        </w:tc>
        <w:tc>
          <w:tcPr>
            <w:tcW w:w="1120" w:type="dxa"/>
            <w:vAlign w:val="bottom"/>
            <w:tcBorders>
              <w:bottom w:val="single" w:sz="8" w:color="auto"/>
            </w:tcBorders>
          </w:tcPr>
          <w:p>
            <w:pPr>
              <w:spacing w:after="0"/>
              <w:rPr>
                <w:sz w:val="9"/>
                <w:szCs w:val="9"/>
                <w:color w:val="auto"/>
              </w:rPr>
            </w:pPr>
          </w:p>
        </w:tc>
        <w:tc>
          <w:tcPr>
            <w:tcW w:w="900" w:type="dxa"/>
            <w:vAlign w:val="bottom"/>
            <w:tcBorders>
              <w:bottom w:val="single" w:sz="8" w:color="auto"/>
            </w:tcBorders>
          </w:tcPr>
          <w:p>
            <w:pPr>
              <w:spacing w:after="0"/>
              <w:rPr>
                <w:sz w:val="9"/>
                <w:szCs w:val="9"/>
                <w:color w:val="auto"/>
              </w:rPr>
            </w:pPr>
          </w:p>
        </w:tc>
        <w:tc>
          <w:tcPr>
            <w:tcW w:w="240" w:type="dxa"/>
            <w:vAlign w:val="bottom"/>
            <w:tcBorders>
              <w:bottom w:val="single" w:sz="8" w:color="auto"/>
            </w:tcBorders>
          </w:tcPr>
          <w:p>
            <w:pPr>
              <w:spacing w:after="0"/>
              <w:rPr>
                <w:sz w:val="9"/>
                <w:szCs w:val="9"/>
                <w:color w:val="auto"/>
              </w:rPr>
            </w:pPr>
          </w:p>
        </w:tc>
        <w:tc>
          <w:tcPr>
            <w:tcW w:w="480" w:type="dxa"/>
            <w:vAlign w:val="bottom"/>
            <w:tcBorders>
              <w:bottom w:val="single" w:sz="8" w:color="auto"/>
            </w:tcBorders>
          </w:tcPr>
          <w:p>
            <w:pPr>
              <w:spacing w:after="0"/>
              <w:rPr>
                <w:sz w:val="9"/>
                <w:szCs w:val="9"/>
                <w:color w:val="auto"/>
              </w:rPr>
            </w:pPr>
          </w:p>
        </w:tc>
        <w:tc>
          <w:tcPr>
            <w:tcW w:w="940" w:type="dxa"/>
            <w:vAlign w:val="bottom"/>
            <w:tcBorders>
              <w:bottom w:val="single" w:sz="8" w:color="auto"/>
            </w:tcBorders>
          </w:tcPr>
          <w:p>
            <w:pPr>
              <w:spacing w:after="0"/>
              <w:rPr>
                <w:sz w:val="9"/>
                <w:szCs w:val="9"/>
                <w:color w:val="auto"/>
              </w:rPr>
            </w:pPr>
          </w:p>
        </w:tc>
        <w:tc>
          <w:tcPr>
            <w:tcW w:w="200" w:type="dxa"/>
            <w:vAlign w:val="bottom"/>
            <w:tcBorders>
              <w:bottom w:val="single" w:sz="8" w:color="auto"/>
            </w:tcBorders>
          </w:tcPr>
          <w:p>
            <w:pPr>
              <w:spacing w:after="0"/>
              <w:rPr>
                <w:sz w:val="9"/>
                <w:szCs w:val="9"/>
                <w:color w:val="auto"/>
              </w:rPr>
            </w:pPr>
          </w:p>
        </w:tc>
        <w:tc>
          <w:tcPr>
            <w:tcW w:w="20" w:type="dxa"/>
            <w:vAlign w:val="bottom"/>
            <w:tcBorders>
              <w:bottom w:val="single" w:sz="8" w:color="auto"/>
            </w:tcBorders>
          </w:tcPr>
          <w:p>
            <w:pPr>
              <w:spacing w:after="0"/>
              <w:rPr>
                <w:sz w:val="9"/>
                <w:szCs w:val="9"/>
                <w:color w:val="auto"/>
              </w:rPr>
            </w:pPr>
          </w:p>
        </w:tc>
        <w:tc>
          <w:tcPr>
            <w:tcW w:w="1060" w:type="dxa"/>
            <w:vAlign w:val="bottom"/>
            <w:tcBorders>
              <w:bottom w:val="single" w:sz="8" w:color="auto"/>
            </w:tcBorders>
          </w:tcPr>
          <w:p>
            <w:pPr>
              <w:spacing w:after="0"/>
              <w:rPr>
                <w:sz w:val="9"/>
                <w:szCs w:val="9"/>
                <w:color w:val="auto"/>
              </w:rPr>
            </w:pPr>
          </w:p>
        </w:tc>
        <w:tc>
          <w:tcPr>
            <w:tcW w:w="400" w:type="dxa"/>
            <w:vAlign w:val="bottom"/>
            <w:tcBorders>
              <w:bottom w:val="single" w:sz="8" w:color="auto"/>
            </w:tcBorders>
          </w:tcPr>
          <w:p>
            <w:pPr>
              <w:spacing w:after="0"/>
              <w:rPr>
                <w:sz w:val="9"/>
                <w:szCs w:val="9"/>
                <w:color w:val="auto"/>
              </w:rPr>
            </w:pPr>
          </w:p>
        </w:tc>
        <w:tc>
          <w:tcPr>
            <w:tcW w:w="228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565" w:right="239" w:bottom="1440" w:gutter="0" w:footer="0" w:header="0"/>
        </w:sectPr>
      </w:pPr>
    </w:p>
    <w:bookmarkStart w:id="20" w:name="page21"/>
    <w:bookmarkEnd w:id="20"/>
    <w:p>
      <w:pPr>
        <w:jc w:val="center"/>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NOTES TO CONDENSED CONSOLIDATED FINANCIAL STATEMENTS-UNAUDITED</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FEBRUARY 24, 2018</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00" w:lineRule="exact"/>
        <w:rPr>
          <w:sz w:val="20"/>
          <w:szCs w:val="20"/>
          <w:color w:val="auto"/>
        </w:rPr>
      </w:pPr>
    </w:p>
    <w:p>
      <w:pPr>
        <w:spacing w:after="0" w:line="24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13. Recent Accounting Pronouncements</w:t>
      </w:r>
    </w:p>
    <w:p>
      <w:pPr>
        <w:spacing w:after="0" w:line="228" w:lineRule="exact"/>
        <w:rPr>
          <w:sz w:val="20"/>
          <w:szCs w:val="20"/>
          <w:color w:val="auto"/>
        </w:rPr>
      </w:pPr>
    </w:p>
    <w:p>
      <w:pPr>
        <w:jc w:val="both"/>
        <w:spacing w:after="0" w:line="284" w:lineRule="auto"/>
        <w:rPr>
          <w:sz w:val="20"/>
          <w:szCs w:val="20"/>
          <w:color w:val="auto"/>
        </w:rPr>
      </w:pPr>
      <w:r>
        <w:rPr>
          <w:rFonts w:ascii="Arial" w:cs="Arial" w:eastAsia="Arial" w:hAnsi="Arial"/>
          <w:sz w:val="16"/>
          <w:szCs w:val="16"/>
          <w:color w:val="auto"/>
        </w:rPr>
        <w:t xml:space="preserve">In May 2014, the FASB issued Accounting Standards Update No. 2014-09 (ASU 2014-09), which creates ASC Topic 606, </w:t>
      </w:r>
      <w:r>
        <w:rPr>
          <w:rFonts w:ascii="Arial" w:cs="Arial" w:eastAsia="Arial" w:hAnsi="Arial"/>
          <w:sz w:val="16"/>
          <w:szCs w:val="16"/>
          <w:i w:val="1"/>
          <w:iCs w:val="1"/>
          <w:color w:val="auto"/>
        </w:rPr>
        <w:t>Revenue from Contracts with</w:t>
      </w:r>
      <w:r>
        <w:rPr>
          <w:rFonts w:ascii="Arial" w:cs="Arial" w:eastAsia="Arial" w:hAnsi="Arial"/>
          <w:sz w:val="16"/>
          <w:szCs w:val="16"/>
          <w:color w:val="auto"/>
        </w:rPr>
        <w:t xml:space="preserve"> </w:t>
      </w:r>
      <w:r>
        <w:rPr>
          <w:rFonts w:ascii="Arial" w:cs="Arial" w:eastAsia="Arial" w:hAnsi="Arial"/>
          <w:sz w:val="16"/>
          <w:szCs w:val="16"/>
          <w:i w:val="1"/>
          <w:iCs w:val="1"/>
          <w:color w:val="auto"/>
        </w:rPr>
        <w:t>Customers</w:t>
      </w:r>
      <w:r>
        <w:rPr>
          <w:rFonts w:ascii="Arial" w:cs="Arial" w:eastAsia="Arial" w:hAnsi="Arial"/>
          <w:sz w:val="16"/>
          <w:szCs w:val="16"/>
          <w:color w:val="auto"/>
        </w:rPr>
        <w:t>, and supersedes the revenue recognition requirements in Topic 605, Revenue Recognition, including most industry-specific revenue recognition</w:t>
      </w:r>
      <w:r>
        <w:rPr>
          <w:rFonts w:ascii="Arial" w:cs="Arial" w:eastAsia="Arial" w:hAnsi="Arial"/>
          <w:sz w:val="16"/>
          <w:szCs w:val="16"/>
          <w:i w:val="1"/>
          <w:iCs w:val="1"/>
          <w:color w:val="auto"/>
        </w:rPr>
        <w:t xml:space="preserve"> </w:t>
      </w:r>
      <w:r>
        <w:rPr>
          <w:rFonts w:ascii="Arial" w:cs="Arial" w:eastAsia="Arial" w:hAnsi="Arial"/>
          <w:sz w:val="16"/>
          <w:szCs w:val="16"/>
          <w:color w:val="auto"/>
        </w:rPr>
        <w:t>guidance throughout the Industry Topics of the Codification. In addition, ASU 2014-09 supersedes the cost guidance in Subtopic 605-35, Revenue Recognition—Construction-Type and Production-Type Contracts, and creates new Subtopic 340-40, Other Assets and Deferred Costs—Contracts with Customers. In summary, the core principle of Topic 606 is to recognize revenue when promised goods or services are transferred to customers in an amount that reflects the consideration that is expected to be received for those goods or services. Companies are allowed to select between two transition methods: (1) a full retrospective transition method with the application of the new guidance to each prior reporting period presented, or (2) a retrospective transition method that recognizes the cumulative effect on prior periods at the date of adoption together with additional footnote disclosures. In addition, during 2016 the FASB has issued ASU 2016-08, ASU 2016-10 and ASU 2016-12, all of which clarify certain implementation guidance within ASU 2014-09, and ASU 2016-11, which rescinds certain SEC guidance within the ASC effective upon an entity’s adoption of ASU 2014-09. The amendments in ASU 2014-09 are effective for annual reporting periods beginning after December 15, 2017, including interim periods within that reporting period, and early application is not permitted. Therefore the amendments in ASU 2014-09 will become effective for us as of the beginning of our 2019 fiscal year. In order to evaluate the impact that the adoption of ASU 2014-09 will have on our consolidated financial statements, we have initiated a comprehensive review of the significant revenue streams across our wholesale, retail and logistical services reportable segments. The focus of this review includes, among other things, the identification of the significant contracts and other arrangements we have with our customers to identify significant performance obligations, factors affecting the determination of transaction price, such as variable consideration, and factors affecting the classification of receipts as revenue, such as principal versus agent considerations. We are also reviewing our current accounting policies, procedures and controls with respect to these contracts and arrangements to determine what changes, if any, may be required by the adoption of ASU 2014-09. We have not yet made a determination as to the impact that adoption will have on our consolidated financial statements, nor have we made any decision on the method of adoption.</w:t>
      </w:r>
    </w:p>
    <w:p>
      <w:pPr>
        <w:spacing w:after="0" w:line="170" w:lineRule="exact"/>
        <w:rPr>
          <w:sz w:val="20"/>
          <w:szCs w:val="20"/>
          <w:color w:val="auto"/>
        </w:rPr>
      </w:pPr>
    </w:p>
    <w:p>
      <w:pPr>
        <w:jc w:val="both"/>
        <w:spacing w:after="0" w:line="252" w:lineRule="auto"/>
        <w:rPr>
          <w:sz w:val="20"/>
          <w:szCs w:val="20"/>
          <w:color w:val="auto"/>
        </w:rPr>
      </w:pPr>
      <w:r>
        <w:rPr>
          <w:rFonts w:ascii="Arial" w:cs="Arial" w:eastAsia="Arial" w:hAnsi="Arial"/>
          <w:sz w:val="18"/>
          <w:szCs w:val="18"/>
          <w:color w:val="auto"/>
        </w:rPr>
        <w:t xml:space="preserve">In January 2016, the FASB issued Accounting Standards Update No. 2016-01, </w:t>
      </w:r>
      <w:r>
        <w:rPr>
          <w:rFonts w:ascii="Arial" w:cs="Arial" w:eastAsia="Arial" w:hAnsi="Arial"/>
          <w:sz w:val="18"/>
          <w:szCs w:val="18"/>
          <w:i w:val="1"/>
          <w:iCs w:val="1"/>
          <w:color w:val="auto"/>
        </w:rPr>
        <w:t>Financial Instruments - Overall (Subtopic</w:t>
      </w:r>
      <w:r>
        <w:rPr>
          <w:rFonts w:ascii="Arial" w:cs="Arial" w:eastAsia="Arial" w:hAnsi="Arial"/>
          <w:sz w:val="18"/>
          <w:szCs w:val="18"/>
          <w:color w:val="auto"/>
        </w:rPr>
        <w:t xml:space="preserve"> 825</w:t>
      </w:r>
      <w:r>
        <w:rPr>
          <w:rFonts w:ascii="Arial" w:cs="Arial" w:eastAsia="Arial" w:hAnsi="Arial"/>
          <w:sz w:val="18"/>
          <w:szCs w:val="18"/>
          <w:i w:val="1"/>
          <w:iCs w:val="1"/>
          <w:color w:val="auto"/>
        </w:rPr>
        <w:t>-</w:t>
      </w:r>
      <w:r>
        <w:rPr>
          <w:rFonts w:ascii="Arial" w:cs="Arial" w:eastAsia="Arial" w:hAnsi="Arial"/>
          <w:sz w:val="18"/>
          <w:szCs w:val="18"/>
          <w:color w:val="auto"/>
        </w:rPr>
        <w:t>10</w:t>
      </w:r>
      <w:r>
        <w:rPr>
          <w:rFonts w:ascii="Arial" w:cs="Arial" w:eastAsia="Arial" w:hAnsi="Arial"/>
          <w:sz w:val="18"/>
          <w:szCs w:val="18"/>
          <w:i w:val="1"/>
          <w:iCs w:val="1"/>
          <w:color w:val="auto"/>
        </w:rPr>
        <w:t>): Recognition and</w:t>
      </w:r>
      <w:r>
        <w:rPr>
          <w:rFonts w:ascii="Arial" w:cs="Arial" w:eastAsia="Arial" w:hAnsi="Arial"/>
          <w:sz w:val="18"/>
          <w:szCs w:val="18"/>
          <w:color w:val="auto"/>
        </w:rPr>
        <w:t xml:space="preserve"> </w:t>
      </w:r>
      <w:r>
        <w:rPr>
          <w:rFonts w:ascii="Arial" w:cs="Arial" w:eastAsia="Arial" w:hAnsi="Arial"/>
          <w:sz w:val="18"/>
          <w:szCs w:val="18"/>
          <w:i w:val="1"/>
          <w:iCs w:val="1"/>
          <w:color w:val="auto"/>
        </w:rPr>
        <w:t>Measurement of Financial Assets and Financial Liabilities</w:t>
      </w:r>
      <w:r>
        <w:rPr>
          <w:rFonts w:ascii="Arial" w:cs="Arial" w:eastAsia="Arial" w:hAnsi="Arial"/>
          <w:sz w:val="18"/>
          <w:szCs w:val="18"/>
          <w:color w:val="auto"/>
        </w:rPr>
        <w:t>. ASU 2016-01 requires that equity investments (except those accounted for under the equity</w:t>
      </w:r>
      <w:r>
        <w:rPr>
          <w:rFonts w:ascii="Arial" w:cs="Arial" w:eastAsia="Arial" w:hAnsi="Arial"/>
          <w:sz w:val="18"/>
          <w:szCs w:val="18"/>
          <w:i w:val="1"/>
          <w:iCs w:val="1"/>
          <w:color w:val="auto"/>
        </w:rPr>
        <w:t xml:space="preserve"> </w:t>
      </w:r>
      <w:r>
        <w:rPr>
          <w:rFonts w:ascii="Arial" w:cs="Arial" w:eastAsia="Arial" w:hAnsi="Arial"/>
          <w:sz w:val="18"/>
          <w:szCs w:val="18"/>
          <w:color w:val="auto"/>
        </w:rPr>
        <w:t>method of accounting or those that result in consolidation of the investee) are to be measured at fair value with changes in fair value recognized in net income. However, an entity may choose to measure equity investments that do not have readily determinable fair values at cost minus impairment, if any, plus or minus changes resulting from observable price changes in orderly transactions for the identical or a similar investment of the same issuer. Furthermore, equity investments without readily determinable fair values are to be assessed for impairment using a quantitative approach. The amendments in ASU 2016-01 should be applied by means of a cumulative-effect adjustment to the balance sheet as of the beginning of the fiscal year of adoption, with other amendments related specifically to equity securities without readily determinable fair values applied prospectively. The amendments in ASU 2016-01 will become effective for us as of the beginning of our 2019 fiscal year. The adoption of this guidance is not expected to have a material impact upon our financial condition or results of operations.</w:t>
      </w:r>
    </w:p>
    <w:p>
      <w:pPr>
        <w:spacing w:after="0" w:line="195" w:lineRule="exact"/>
        <w:rPr>
          <w:sz w:val="20"/>
          <w:szCs w:val="20"/>
          <w:color w:val="auto"/>
        </w:rPr>
      </w:pPr>
    </w:p>
    <w:p>
      <w:pPr>
        <w:jc w:val="both"/>
        <w:spacing w:after="0" w:line="286" w:lineRule="auto"/>
        <w:rPr>
          <w:sz w:val="20"/>
          <w:szCs w:val="20"/>
          <w:color w:val="auto"/>
        </w:rPr>
      </w:pPr>
      <w:r>
        <w:rPr>
          <w:rFonts w:ascii="Arial" w:cs="Arial" w:eastAsia="Arial" w:hAnsi="Arial"/>
          <w:sz w:val="16"/>
          <w:szCs w:val="16"/>
          <w:color w:val="auto"/>
        </w:rPr>
        <w:t xml:space="preserve">In February 2016, the FASB issued Accounting Standards Update No. 2016-02, </w:t>
      </w:r>
      <w:r>
        <w:rPr>
          <w:rFonts w:ascii="Arial" w:cs="Arial" w:eastAsia="Arial" w:hAnsi="Arial"/>
          <w:sz w:val="16"/>
          <w:szCs w:val="16"/>
          <w:i w:val="1"/>
          <w:iCs w:val="1"/>
          <w:color w:val="auto"/>
        </w:rPr>
        <w:t>Leases (Topic</w:t>
      </w:r>
      <w:r>
        <w:rPr>
          <w:rFonts w:ascii="Arial" w:cs="Arial" w:eastAsia="Arial" w:hAnsi="Arial"/>
          <w:sz w:val="16"/>
          <w:szCs w:val="16"/>
          <w:color w:val="auto"/>
        </w:rPr>
        <w:t xml:space="preserve"> 842</w:t>
      </w:r>
      <w:r>
        <w:rPr>
          <w:rFonts w:ascii="Arial" w:cs="Arial" w:eastAsia="Arial" w:hAnsi="Arial"/>
          <w:sz w:val="16"/>
          <w:szCs w:val="16"/>
          <w:i w:val="1"/>
          <w:iCs w:val="1"/>
          <w:color w:val="auto"/>
        </w:rPr>
        <w:t>)</w:t>
      </w:r>
      <w:r>
        <w:rPr>
          <w:rFonts w:ascii="Arial" w:cs="Arial" w:eastAsia="Arial" w:hAnsi="Arial"/>
          <w:sz w:val="16"/>
          <w:szCs w:val="16"/>
          <w:color w:val="auto"/>
        </w:rPr>
        <w:t>. The guidance in ASU 2016-02 requires that a lessee recognize in the statement of financial position a liability to make lease payments (the lease liability) and a right-of-use asset representing its right to use the underlying asset for the lease term. For leases with a term of 12 months or less, a lessee is permitted to make an accounting policy election by class of underlying asset not to recognize lease assets and lease liabilities. As with previous guidance, there continues to be a differentiation between finance leases and operating leases, however this distinction now primarily relates to differences in the manner of expense recognition over time and in the classification of lease payments in the statement of cash flows. Lease assets and liabilities arising from both finance and operating leases will be recognized in the statement of financial position. ASU 2016-02 leaves the accounting for leases by lessors largely unchanged from previous GAAP. The transitional guidance for adopting the requirements of ASU 2016-02 calls for a modified retrospective approach that includes a number of optional practical expedients that entities may elect to apply. The guidance in ASU 2016-02 will become effective for us as of the beginning of our 2020 fiscal year. We are currently evaluating the impact that the adoption of ASU 2016-02 will have on our consolidated financial statements, which we expect will have a material effect on our statement of financial position, and have not made any decision on the method of adoption with respect to the optional practical expedients.</w:t>
      </w:r>
    </w:p>
    <w:p>
      <w:pPr>
        <w:spacing w:after="0" w:line="17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82550</wp:posOffset>
            </wp:positionV>
            <wp:extent cx="7247255" cy="171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47255" cy="17145"/>
                    </a:xfrm>
                    <a:prstGeom prst="rect">
                      <a:avLst/>
                    </a:prstGeom>
                    <a:noFill/>
                  </pic:spPr>
                </pic:pic>
              </a:graphicData>
            </a:graphic>
          </wp:anchor>
        </w:drawing>
      </w:r>
    </w:p>
    <w:p>
      <w:pPr>
        <w:sectPr>
          <w:pgSz w:w="11900" w:h="16838" w:orient="portrait"/>
          <w:cols w:equalWidth="0" w:num="1">
            <w:col w:w="11420"/>
          </w:cols>
          <w:pgMar w:left="240" w:top="583" w:right="239" w:bottom="1440" w:gutter="0" w:footer="0" w:header="0"/>
        </w:sectPr>
      </w:pPr>
    </w:p>
    <w:bookmarkStart w:id="21" w:name="page22"/>
    <w:bookmarkEnd w:id="21"/>
    <w:p>
      <w:pPr>
        <w:jc w:val="center"/>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NOTES TO CONDENSED CONSOLIDATED FINANCIAL STATEMENTS-UNAUDITED</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FEBRUARY 24, 2018</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09" w:lineRule="exact"/>
        <w:rPr>
          <w:sz w:val="20"/>
          <w:szCs w:val="20"/>
          <w:color w:val="auto"/>
        </w:rPr>
      </w:pPr>
    </w:p>
    <w:p>
      <w:pPr>
        <w:jc w:val="both"/>
        <w:spacing w:after="0" w:line="253" w:lineRule="auto"/>
        <w:rPr>
          <w:sz w:val="20"/>
          <w:szCs w:val="20"/>
          <w:color w:val="auto"/>
        </w:rPr>
      </w:pPr>
      <w:r>
        <w:rPr>
          <w:rFonts w:ascii="Arial" w:cs="Arial" w:eastAsia="Arial" w:hAnsi="Arial"/>
          <w:sz w:val="18"/>
          <w:szCs w:val="18"/>
          <w:color w:val="auto"/>
        </w:rPr>
        <w:t xml:space="preserve">In August 2016, the FASB issued Accounting Standards Update No. 2016-15, </w:t>
      </w:r>
      <w:r>
        <w:rPr>
          <w:rFonts w:ascii="Arial" w:cs="Arial" w:eastAsia="Arial" w:hAnsi="Arial"/>
          <w:sz w:val="18"/>
          <w:szCs w:val="18"/>
          <w:i w:val="1"/>
          <w:iCs w:val="1"/>
          <w:color w:val="auto"/>
        </w:rPr>
        <w:t>Statement of Cash Flows (Topic</w:t>
      </w:r>
      <w:r>
        <w:rPr>
          <w:rFonts w:ascii="Arial" w:cs="Arial" w:eastAsia="Arial" w:hAnsi="Arial"/>
          <w:sz w:val="18"/>
          <w:szCs w:val="18"/>
          <w:color w:val="auto"/>
        </w:rPr>
        <w:t xml:space="preserve"> 230</w:t>
      </w:r>
      <w:r>
        <w:rPr>
          <w:rFonts w:ascii="Arial" w:cs="Arial" w:eastAsia="Arial" w:hAnsi="Arial"/>
          <w:sz w:val="18"/>
          <w:szCs w:val="18"/>
          <w:i w:val="1"/>
          <w:iCs w:val="1"/>
          <w:color w:val="auto"/>
        </w:rPr>
        <w:t>): Classification of Certain Cash Receipts</w:t>
      </w:r>
      <w:r>
        <w:rPr>
          <w:rFonts w:ascii="Arial" w:cs="Arial" w:eastAsia="Arial" w:hAnsi="Arial"/>
          <w:sz w:val="18"/>
          <w:szCs w:val="18"/>
          <w:color w:val="auto"/>
        </w:rPr>
        <w:t xml:space="preserve"> </w:t>
      </w:r>
      <w:r>
        <w:rPr>
          <w:rFonts w:ascii="Arial" w:cs="Arial" w:eastAsia="Arial" w:hAnsi="Arial"/>
          <w:sz w:val="18"/>
          <w:szCs w:val="18"/>
          <w:i w:val="1"/>
          <w:iCs w:val="1"/>
          <w:color w:val="auto"/>
        </w:rPr>
        <w:t>and Cash Payments</w:t>
      </w:r>
      <w:r>
        <w:rPr>
          <w:rFonts w:ascii="Arial" w:cs="Arial" w:eastAsia="Arial" w:hAnsi="Arial"/>
          <w:sz w:val="18"/>
          <w:szCs w:val="18"/>
          <w:color w:val="auto"/>
        </w:rPr>
        <w:t>. ASU 2016-15 addresses how certain cash receipts and cash payments are presented and classified in the statement of cash flows with the</w:t>
      </w:r>
      <w:r>
        <w:rPr>
          <w:rFonts w:ascii="Arial" w:cs="Arial" w:eastAsia="Arial" w:hAnsi="Arial"/>
          <w:sz w:val="18"/>
          <w:szCs w:val="18"/>
          <w:i w:val="1"/>
          <w:iCs w:val="1"/>
          <w:color w:val="auto"/>
        </w:rPr>
        <w:t xml:space="preserve"> </w:t>
      </w:r>
      <w:r>
        <w:rPr>
          <w:rFonts w:ascii="Arial" w:cs="Arial" w:eastAsia="Arial" w:hAnsi="Arial"/>
          <w:sz w:val="18"/>
          <w:szCs w:val="18"/>
          <w:color w:val="auto"/>
        </w:rPr>
        <w:t>objective of reducing existing diversity in practice with respect to these items. Among the types of cash flows addressed are payments for costs related to debt prepayments or extinguishments, payments representing accreted interest on discounted debt, payments of contingent consideration after a business combination, proceeds from insurance claims and company-owned life insurance, and distributions from equity method investees, among others. The amendments in ASU 2016-15 are to be adopted retrospectively and will become effective for as at the beginning of our 2019 fiscal year. Early adoption, including adoption in an interim period, is permitted. The adoption of this guidance is not expected to have a material impact upon our presentation of cash flows.</w:t>
      </w:r>
    </w:p>
    <w:p>
      <w:pPr>
        <w:spacing w:after="0" w:line="192" w:lineRule="exact"/>
        <w:rPr>
          <w:sz w:val="20"/>
          <w:szCs w:val="20"/>
          <w:color w:val="auto"/>
        </w:rPr>
      </w:pPr>
    </w:p>
    <w:p>
      <w:pPr>
        <w:jc w:val="both"/>
        <w:spacing w:after="0" w:line="289" w:lineRule="auto"/>
        <w:rPr>
          <w:sz w:val="20"/>
          <w:szCs w:val="20"/>
          <w:color w:val="auto"/>
        </w:rPr>
      </w:pPr>
      <w:r>
        <w:rPr>
          <w:rFonts w:ascii="Arial" w:cs="Arial" w:eastAsia="Arial" w:hAnsi="Arial"/>
          <w:sz w:val="16"/>
          <w:szCs w:val="16"/>
          <w:color w:val="auto"/>
        </w:rPr>
        <w:t xml:space="preserve">In January 2017, the FASB issued Accounting Standards Update No. 2017-01, </w:t>
      </w:r>
      <w:r>
        <w:rPr>
          <w:rFonts w:ascii="Arial" w:cs="Arial" w:eastAsia="Arial" w:hAnsi="Arial"/>
          <w:sz w:val="16"/>
          <w:szCs w:val="16"/>
          <w:i w:val="1"/>
          <w:iCs w:val="1"/>
          <w:color w:val="auto"/>
        </w:rPr>
        <w:t>Business Combinations (Topic</w:t>
      </w:r>
      <w:r>
        <w:rPr>
          <w:rFonts w:ascii="Arial" w:cs="Arial" w:eastAsia="Arial" w:hAnsi="Arial"/>
          <w:sz w:val="16"/>
          <w:szCs w:val="16"/>
          <w:color w:val="auto"/>
        </w:rPr>
        <w:t xml:space="preserve"> 805</w:t>
      </w:r>
      <w:r>
        <w:rPr>
          <w:rFonts w:ascii="Arial" w:cs="Arial" w:eastAsia="Arial" w:hAnsi="Arial"/>
          <w:sz w:val="16"/>
          <w:szCs w:val="16"/>
          <w:i w:val="1"/>
          <w:iCs w:val="1"/>
          <w:color w:val="auto"/>
        </w:rPr>
        <w:t>): Clarifying the Definition of a Business</w:t>
      </w:r>
      <w:r>
        <w:rPr>
          <w:rFonts w:ascii="Arial" w:cs="Arial" w:eastAsia="Arial" w:hAnsi="Arial"/>
          <w:sz w:val="16"/>
          <w:szCs w:val="16"/>
          <w:color w:val="auto"/>
        </w:rPr>
        <w:t>. ASU 2017-01 provides a screen to determine when an integrated set of assets and activities (collectively referred to as a “set”) does not constitute a business. The screen requires that when substantially all of the fair value of the gross assets acquired (or disposed of) is concentrated in a single identifiable asset or a group of similar identifiable assets, the set is not a business. This screen reduces the number of transactions that need to be further evaluated. If the screen is not met, the amendments in ASU 2017-01 (1) require that to be considered a business, a set must include, at a minimum, an input and a substantive process that together significantly contribute to the ability to create output and (2) remove the evaluation of whether a market participant could replace missing elements. The amendments in ASU 2017-01 shall apply prospectively and will become effective for us at the beginning of our 2019 fiscal year. The adoption of this guidance is not expected to have a material impact upon our financial condition or results of operations.</w:t>
      </w:r>
    </w:p>
    <w:p>
      <w:pPr>
        <w:spacing w:after="0" w:line="166" w:lineRule="exact"/>
        <w:rPr>
          <w:sz w:val="20"/>
          <w:szCs w:val="20"/>
          <w:color w:val="auto"/>
        </w:rPr>
      </w:pPr>
    </w:p>
    <w:p>
      <w:pPr>
        <w:jc w:val="both"/>
        <w:spacing w:after="0" w:line="268" w:lineRule="auto"/>
        <w:rPr>
          <w:sz w:val="20"/>
          <w:szCs w:val="20"/>
          <w:color w:val="auto"/>
        </w:rPr>
      </w:pPr>
      <w:r>
        <w:rPr>
          <w:rFonts w:ascii="Arial" w:cs="Arial" w:eastAsia="Arial" w:hAnsi="Arial"/>
          <w:sz w:val="17"/>
          <w:szCs w:val="17"/>
          <w:color w:val="auto"/>
        </w:rPr>
        <w:t xml:space="preserve">In January 2017, the FASB issued Accounting Standards Update No. 2017-04, </w:t>
      </w:r>
      <w:r>
        <w:rPr>
          <w:rFonts w:ascii="Arial" w:cs="Arial" w:eastAsia="Arial" w:hAnsi="Arial"/>
          <w:sz w:val="17"/>
          <w:szCs w:val="17"/>
          <w:i w:val="1"/>
          <w:iCs w:val="1"/>
          <w:color w:val="auto"/>
        </w:rPr>
        <w:t>Intangibles – Goodwill and Other (Topic</w:t>
      </w:r>
      <w:r>
        <w:rPr>
          <w:rFonts w:ascii="Arial" w:cs="Arial" w:eastAsia="Arial" w:hAnsi="Arial"/>
          <w:sz w:val="17"/>
          <w:szCs w:val="17"/>
          <w:color w:val="auto"/>
        </w:rPr>
        <w:t xml:space="preserve"> 350</w:t>
      </w:r>
      <w:r>
        <w:rPr>
          <w:rFonts w:ascii="Arial" w:cs="Arial" w:eastAsia="Arial" w:hAnsi="Arial"/>
          <w:sz w:val="17"/>
          <w:szCs w:val="17"/>
          <w:i w:val="1"/>
          <w:iCs w:val="1"/>
          <w:color w:val="auto"/>
        </w:rPr>
        <w:t>): Simplifying the Test for</w:t>
      </w:r>
      <w:r>
        <w:rPr>
          <w:rFonts w:ascii="Arial" w:cs="Arial" w:eastAsia="Arial" w:hAnsi="Arial"/>
          <w:sz w:val="17"/>
          <w:szCs w:val="17"/>
          <w:color w:val="auto"/>
        </w:rPr>
        <w:t xml:space="preserve"> </w:t>
      </w:r>
      <w:r>
        <w:rPr>
          <w:rFonts w:ascii="Arial" w:cs="Arial" w:eastAsia="Arial" w:hAnsi="Arial"/>
          <w:sz w:val="17"/>
          <w:szCs w:val="17"/>
          <w:i w:val="1"/>
          <w:iCs w:val="1"/>
          <w:color w:val="auto"/>
        </w:rPr>
        <w:t>Goodwill Impairment</w:t>
      </w:r>
      <w:r>
        <w:rPr>
          <w:rFonts w:ascii="Arial" w:cs="Arial" w:eastAsia="Arial" w:hAnsi="Arial"/>
          <w:sz w:val="17"/>
          <w:szCs w:val="17"/>
          <w:color w:val="auto"/>
        </w:rPr>
        <w:t>. ASU 2017-04 eliminates Step 2 from the goodwill impairment test. Under Step 2, an entity had to perform procedures to determine the</w:t>
      </w:r>
      <w:r>
        <w:rPr>
          <w:rFonts w:ascii="Arial" w:cs="Arial" w:eastAsia="Arial" w:hAnsi="Arial"/>
          <w:sz w:val="17"/>
          <w:szCs w:val="17"/>
          <w:i w:val="1"/>
          <w:iCs w:val="1"/>
          <w:color w:val="auto"/>
        </w:rPr>
        <w:t xml:space="preserve"> </w:t>
      </w:r>
      <w:r>
        <w:rPr>
          <w:rFonts w:ascii="Arial" w:cs="Arial" w:eastAsia="Arial" w:hAnsi="Arial"/>
          <w:sz w:val="17"/>
          <w:szCs w:val="17"/>
          <w:color w:val="auto"/>
        </w:rPr>
        <w:t>fair value at the impairment testing date of its assets and liabilities (including unrecognized assets and liabilities) following the procedure that would be required in determining the fair value of assets acquired and liabilities assumed in a business combination. Instead, under the amendments in ASU 2017-04, an entity should perform its annual, or interim, goodwill impairment test by comparing the fair value of a reporting unit with its carrying amount. An entity should recognize an impairment charge for the amount by which the carrying amount exceeds the reporting unit’s fair value; however, the loss recognized should not exceed the total amount of goodwill allocated to that reporting unit. Additionally, an entity should consider income tax effects from any tax deductible goodwill on the carrying amount of the reporting unit when measuring the goodwill impairment loss, if applicable. An entity still has the option to perform the qualitative assessment for a reporting unit to determine if the quantitative impairment test is necessary. The amendments in ASU 2017-04 will become effective for us as of the beginning of our 2021 fiscal year. Early adoption is permitted for interim or annual goodwill impairment tests performed on testing dates after January 1, 2017. The adoption of this guidance is not expected to have a material impact upon our financial condition or results of operations.</w:t>
      </w:r>
    </w:p>
    <w:p>
      <w:pPr>
        <w:spacing w:after="0" w:line="180" w:lineRule="exact"/>
        <w:rPr>
          <w:sz w:val="20"/>
          <w:szCs w:val="20"/>
          <w:color w:val="auto"/>
        </w:rPr>
      </w:pPr>
    </w:p>
    <w:p>
      <w:pPr>
        <w:jc w:val="both"/>
        <w:spacing w:after="0" w:line="285" w:lineRule="auto"/>
        <w:rPr>
          <w:sz w:val="20"/>
          <w:szCs w:val="20"/>
          <w:color w:val="auto"/>
        </w:rPr>
      </w:pPr>
      <w:r>
        <w:rPr>
          <w:rFonts w:ascii="Arial" w:cs="Arial" w:eastAsia="Arial" w:hAnsi="Arial"/>
          <w:sz w:val="16"/>
          <w:szCs w:val="16"/>
          <w:color w:val="auto"/>
        </w:rPr>
        <w:t xml:space="preserve">In May 2017, the FASB issued Accounting Standards Update No. 2017-09, </w:t>
      </w:r>
      <w:r>
        <w:rPr>
          <w:rFonts w:ascii="Arial" w:cs="Arial" w:eastAsia="Arial" w:hAnsi="Arial"/>
          <w:sz w:val="16"/>
          <w:szCs w:val="16"/>
          <w:i w:val="1"/>
          <w:iCs w:val="1"/>
          <w:color w:val="auto"/>
        </w:rPr>
        <w:t>Compensation – Stock Compensation (Topic</w:t>
      </w:r>
      <w:r>
        <w:rPr>
          <w:rFonts w:ascii="Arial" w:cs="Arial" w:eastAsia="Arial" w:hAnsi="Arial"/>
          <w:sz w:val="16"/>
          <w:szCs w:val="16"/>
          <w:color w:val="auto"/>
        </w:rPr>
        <w:t xml:space="preserve"> 718</w:t>
      </w:r>
      <w:r>
        <w:rPr>
          <w:rFonts w:ascii="Arial" w:cs="Arial" w:eastAsia="Arial" w:hAnsi="Arial"/>
          <w:sz w:val="16"/>
          <w:szCs w:val="16"/>
          <w:i w:val="1"/>
          <w:iCs w:val="1"/>
          <w:color w:val="auto"/>
        </w:rPr>
        <w:t>): Scope of Modification</w:t>
      </w:r>
      <w:r>
        <w:rPr>
          <w:rFonts w:ascii="Arial" w:cs="Arial" w:eastAsia="Arial" w:hAnsi="Arial"/>
          <w:sz w:val="16"/>
          <w:szCs w:val="16"/>
          <w:color w:val="auto"/>
        </w:rPr>
        <w:t xml:space="preserve"> </w:t>
      </w:r>
      <w:r>
        <w:rPr>
          <w:rFonts w:ascii="Arial" w:cs="Arial" w:eastAsia="Arial" w:hAnsi="Arial"/>
          <w:sz w:val="16"/>
          <w:szCs w:val="16"/>
          <w:i w:val="1"/>
          <w:iCs w:val="1"/>
          <w:color w:val="auto"/>
        </w:rPr>
        <w:t>Accounting</w:t>
      </w:r>
      <w:r>
        <w:rPr>
          <w:rFonts w:ascii="Arial" w:cs="Arial" w:eastAsia="Arial" w:hAnsi="Arial"/>
          <w:sz w:val="16"/>
          <w:szCs w:val="16"/>
          <w:color w:val="auto"/>
        </w:rPr>
        <w:t>. ASU 2017-09 was issued to provide clarity and reduce both (1) diversity in practice and (2) cost and complexity when applying the guidance in</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Topic 718, </w:t>
      </w:r>
      <w:r>
        <w:rPr>
          <w:rFonts w:ascii="Arial" w:cs="Arial" w:eastAsia="Arial" w:hAnsi="Arial"/>
          <w:sz w:val="16"/>
          <w:szCs w:val="16"/>
          <w:i w:val="1"/>
          <w:iCs w:val="1"/>
          <w:color w:val="auto"/>
        </w:rPr>
        <w:t>Compensation—Stock Compensation</w:t>
      </w:r>
      <w:r>
        <w:rPr>
          <w:rFonts w:ascii="Arial" w:cs="Arial" w:eastAsia="Arial" w:hAnsi="Arial"/>
          <w:sz w:val="16"/>
          <w:szCs w:val="16"/>
          <w:color w:val="auto"/>
        </w:rPr>
        <w:t>, to a change to the terms or conditions of a share-based payment award. The amendments in this Update provide guidance about which changes to the terms or conditions of a share-based payment award require an entity to apply modification accounting in Topic</w:t>
      </w:r>
    </w:p>
    <w:p>
      <w:pPr>
        <w:spacing w:after="0" w:line="2" w:lineRule="exact"/>
        <w:rPr>
          <w:sz w:val="20"/>
          <w:szCs w:val="20"/>
          <w:color w:val="auto"/>
        </w:rPr>
      </w:pPr>
    </w:p>
    <w:p>
      <w:pPr>
        <w:jc w:val="both"/>
        <w:ind w:firstLine="8"/>
        <w:spacing w:after="0" w:line="291" w:lineRule="auto"/>
        <w:tabs>
          <w:tab w:leader="none" w:pos="359" w:val="left"/>
        </w:tabs>
        <w:numPr>
          <w:ilvl w:val="0"/>
          <w:numId w:val="5"/>
        </w:numPr>
        <w:rPr>
          <w:rFonts w:ascii="Arial" w:cs="Arial" w:eastAsia="Arial" w:hAnsi="Arial"/>
          <w:sz w:val="16"/>
          <w:szCs w:val="16"/>
          <w:color w:val="auto"/>
        </w:rPr>
      </w:pPr>
      <w:r>
        <w:rPr>
          <w:rFonts w:ascii="Arial" w:cs="Arial" w:eastAsia="Arial" w:hAnsi="Arial"/>
          <w:sz w:val="16"/>
          <w:szCs w:val="16"/>
          <w:color w:val="auto"/>
        </w:rPr>
        <w:t>Essentially, an entity will not have to account for the effects of a modification if: (1) The fair value of the modified award is the same immediately before and after the modification; (2) the vesting conditions of the modified award are the same immediately before and after the modification; and (3) the classification of the modified award as either an equity instrument or liability instrument is the same immediately before and after the modification. The amendments in ASU 2017-09 will become effective for us as of the beginning of our 2019 fiscal year. Early adoption is permitted, including adoption in any interim period. The adoption of this guidance is not expected to have a material impact upon our financial condition or results of operations.</w:t>
      </w:r>
    </w:p>
    <w:p>
      <w:pPr>
        <w:spacing w:after="0" w:line="16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82550</wp:posOffset>
            </wp:positionV>
            <wp:extent cx="7247255" cy="171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47255" cy="17145"/>
                    </a:xfrm>
                    <a:prstGeom prst="rect">
                      <a:avLst/>
                    </a:prstGeom>
                    <a:noFill/>
                  </pic:spPr>
                </pic:pic>
              </a:graphicData>
            </a:graphic>
          </wp:anchor>
        </w:drawing>
      </w:r>
    </w:p>
    <w:p>
      <w:pPr>
        <w:sectPr>
          <w:pgSz w:w="11900" w:h="16838" w:orient="portrait"/>
          <w:cols w:equalWidth="0" w:num="1">
            <w:col w:w="11420"/>
          </w:cols>
          <w:pgMar w:left="240" w:top="583" w:right="239" w:bottom="1440" w:gutter="0" w:footer="0" w:header="0"/>
        </w:sectPr>
      </w:pPr>
    </w:p>
    <w:bookmarkStart w:id="22" w:name="page23"/>
    <w:bookmarkEnd w:id="22"/>
    <w:p>
      <w:pPr>
        <w:jc w:val="center"/>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NOTES TO CONDENSED CONSOLIDATED FINANCIAL STATEMENTS-UNAUDITED</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FEBRUARY 24, 2018</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09" w:lineRule="exact"/>
        <w:rPr>
          <w:sz w:val="20"/>
          <w:szCs w:val="20"/>
          <w:color w:val="auto"/>
        </w:rPr>
      </w:pPr>
    </w:p>
    <w:p>
      <w:pPr>
        <w:jc w:val="both"/>
        <w:spacing w:after="0" w:line="267" w:lineRule="auto"/>
        <w:rPr>
          <w:sz w:val="20"/>
          <w:szCs w:val="20"/>
          <w:color w:val="auto"/>
        </w:rPr>
      </w:pPr>
      <w:r>
        <w:rPr>
          <w:rFonts w:ascii="Arial" w:cs="Arial" w:eastAsia="Arial" w:hAnsi="Arial"/>
          <w:sz w:val="17"/>
          <w:szCs w:val="17"/>
          <w:color w:val="auto"/>
        </w:rPr>
        <w:t xml:space="preserve">In February 2018, the FASB issued Accounting Standards Update No. 2018-02, </w:t>
      </w:r>
      <w:r>
        <w:rPr>
          <w:rFonts w:ascii="Arial" w:cs="Arial" w:eastAsia="Arial" w:hAnsi="Arial"/>
          <w:sz w:val="17"/>
          <w:szCs w:val="17"/>
          <w:i w:val="1"/>
          <w:iCs w:val="1"/>
          <w:color w:val="auto"/>
        </w:rPr>
        <w:t>Income Statement—Reporting Comprehensive Income (Topic</w:t>
      </w:r>
      <w:r>
        <w:rPr>
          <w:rFonts w:ascii="Arial" w:cs="Arial" w:eastAsia="Arial" w:hAnsi="Arial"/>
          <w:sz w:val="17"/>
          <w:szCs w:val="17"/>
          <w:color w:val="auto"/>
        </w:rPr>
        <w:t xml:space="preserve"> 220</w:t>
      </w:r>
      <w:r>
        <w:rPr>
          <w:rFonts w:ascii="Arial" w:cs="Arial" w:eastAsia="Arial" w:hAnsi="Arial"/>
          <w:sz w:val="17"/>
          <w:szCs w:val="17"/>
          <w:i w:val="1"/>
          <w:iCs w:val="1"/>
          <w:color w:val="auto"/>
        </w:rPr>
        <w:t>):</w:t>
      </w:r>
      <w:r>
        <w:rPr>
          <w:rFonts w:ascii="Arial" w:cs="Arial" w:eastAsia="Arial" w:hAnsi="Arial"/>
          <w:sz w:val="17"/>
          <w:szCs w:val="17"/>
          <w:color w:val="auto"/>
        </w:rPr>
        <w:t xml:space="preserve"> </w:t>
      </w:r>
      <w:r>
        <w:rPr>
          <w:rFonts w:ascii="Arial" w:cs="Arial" w:eastAsia="Arial" w:hAnsi="Arial"/>
          <w:sz w:val="17"/>
          <w:szCs w:val="17"/>
          <w:i w:val="1"/>
          <w:iCs w:val="1"/>
          <w:color w:val="auto"/>
        </w:rPr>
        <w:t>Reclassification of Certain Tax Effects from Accumulated Other Comprehensive Income</w:t>
      </w:r>
      <w:r>
        <w:rPr>
          <w:rFonts w:ascii="Arial" w:cs="Arial" w:eastAsia="Arial" w:hAnsi="Arial"/>
          <w:sz w:val="17"/>
          <w:szCs w:val="17"/>
          <w:color w:val="auto"/>
        </w:rPr>
        <w:t>. ASU 2018-02 was issued to provide narrow-scope guidance for</w:t>
      </w:r>
      <w:r>
        <w:rPr>
          <w:rFonts w:ascii="Arial" w:cs="Arial" w:eastAsia="Arial" w:hAnsi="Arial"/>
          <w:sz w:val="17"/>
          <w:szCs w:val="17"/>
          <w:i w:val="1"/>
          <w:iCs w:val="1"/>
          <w:color w:val="auto"/>
        </w:rPr>
        <w:t xml:space="preserve"> </w:t>
      </w:r>
      <w:r>
        <w:rPr>
          <w:rFonts w:ascii="Arial" w:cs="Arial" w:eastAsia="Arial" w:hAnsi="Arial"/>
          <w:sz w:val="17"/>
          <w:szCs w:val="17"/>
          <w:color w:val="auto"/>
        </w:rPr>
        <w:t xml:space="preserve">entities that are required to apply the provisions of Topic 220, </w:t>
      </w:r>
      <w:r>
        <w:rPr>
          <w:rFonts w:ascii="Arial" w:cs="Arial" w:eastAsia="Arial" w:hAnsi="Arial"/>
          <w:sz w:val="17"/>
          <w:szCs w:val="17"/>
          <w:i w:val="1"/>
          <w:iCs w:val="1"/>
          <w:color w:val="auto"/>
        </w:rPr>
        <w:t>Income Statement—Reporting Comprehensive Income</w:t>
      </w:r>
      <w:r>
        <w:rPr>
          <w:rFonts w:ascii="Arial" w:cs="Arial" w:eastAsia="Arial" w:hAnsi="Arial"/>
          <w:sz w:val="17"/>
          <w:szCs w:val="17"/>
          <w:color w:val="auto"/>
        </w:rPr>
        <w:t>, and have items of other comprehensive income for which the related tax effects are presented in other comprehensive income as required by GAAP. The amendments in ASU 2018-02 allow a reclassification from accumulated other comprehensive income to retained earnings for stranded tax effects resulting from the Tax Cuts and Jobs Act. Consequently, the amendments eliminate the stranded tax effects resulting from the Act and will improve the usefulness of information reported to financial statement users. However, because the amendments only relate to the reclassification of the income tax effects of the Tax Cuts and Jobs Act, the underlying guidance that requires that the effect of a change in tax laws or rates be included in income from continuing operations is not affected. The amendments in ASU 2018-02 are effective for all entities for fiscal years beginning after December 15, 2018, and interim periods within those fiscal years. Early adoption of the amendments in this Update is permitted, including adoption in any interim period, (1) for public business entities for reporting periods for which financial statements have not yet been issued and (2) for all other entities for reporting periods for which financial statements have not yet been made available for issuance. Because the Act has had a significant impact upon the tax effects of pension costs included in our accumulated other comprehensive loss, we have adopted the guidance in ASU 2018-02 effective as of the beginning of the first quarter of fiscal 2018, resulting in the reclassification of $545 of tax benefits from accumulated other comprehensive loss to retained earnings (see Note 2).</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82550</wp:posOffset>
            </wp:positionV>
            <wp:extent cx="7247255" cy="171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47255" cy="17145"/>
                    </a:xfrm>
                    <a:prstGeom prst="rect">
                      <a:avLst/>
                    </a:prstGeom>
                    <a:noFill/>
                  </pic:spPr>
                </pic:pic>
              </a:graphicData>
            </a:graphic>
          </wp:anchor>
        </w:drawing>
      </w:r>
    </w:p>
    <w:p>
      <w:pPr>
        <w:sectPr>
          <w:pgSz w:w="11900" w:h="16838" w:orient="portrait"/>
          <w:cols w:equalWidth="0" w:num="1">
            <w:col w:w="11420"/>
          </w:cols>
          <w:pgMar w:left="240" w:top="583" w:right="239" w:bottom="1440" w:gutter="0" w:footer="0" w:header="0"/>
        </w:sectPr>
      </w:pPr>
    </w:p>
    <w:bookmarkStart w:id="23" w:name="page24"/>
    <w:bookmarkEnd w:id="23"/>
    <w:p>
      <w:pPr>
        <w:jc w:val="center"/>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FEBRUARY 24, 2018</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00" w:lineRule="exact"/>
        <w:rPr>
          <w:sz w:val="20"/>
          <w:szCs w:val="20"/>
          <w:color w:val="auto"/>
        </w:rPr>
      </w:pPr>
    </w:p>
    <w:p>
      <w:pPr>
        <w:spacing w:after="0" w:line="24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MANAGEMENT'S DISCUSSION AND ANALYSIS OF FINANCIAL CONDITION AND RESULTS OF OPERATIONS</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228" w:lineRule="exact"/>
        <w:rPr>
          <w:sz w:val="20"/>
          <w:szCs w:val="20"/>
          <w:color w:val="auto"/>
        </w:rPr>
      </w:pPr>
    </w:p>
    <w:p>
      <w:pPr>
        <w:jc w:val="both"/>
        <w:spacing w:after="0" w:line="274" w:lineRule="auto"/>
        <w:rPr>
          <w:sz w:val="20"/>
          <w:szCs w:val="20"/>
          <w:color w:val="auto"/>
        </w:rPr>
      </w:pPr>
      <w:r>
        <w:rPr>
          <w:rFonts w:ascii="Arial" w:cs="Arial" w:eastAsia="Arial" w:hAnsi="Arial"/>
          <w:sz w:val="17"/>
          <w:szCs w:val="17"/>
          <w:color w:val="auto"/>
        </w:rPr>
        <w:t>Bassett is a leading retailer, manufacturer and marketer of branded home furnishings. Our products are sold primarily through a network of Company-owned and licensee-owned branded stores under the Bassett Home Furnishings (“BHF”) name, with additional distribution through other wholesale channels including multi-line furniture stores, many of which feature Bassett galleries or design centers. We were founded in 1902 and incorporated under the laws of Virginia in 1930. Our rich 115-year history has instilled the principles of quality, value, and integrity in everything we do, while simultaneously providing us with the expertise to respond to ever-changing consumer tastes and meet the demands of a global economy.</w:t>
      </w:r>
    </w:p>
    <w:p>
      <w:pPr>
        <w:spacing w:after="0" w:line="176" w:lineRule="exact"/>
        <w:rPr>
          <w:sz w:val="20"/>
          <w:szCs w:val="20"/>
          <w:color w:val="auto"/>
        </w:rPr>
      </w:pPr>
    </w:p>
    <w:p>
      <w:pPr>
        <w:jc w:val="both"/>
        <w:spacing w:after="0" w:line="290" w:lineRule="auto"/>
        <w:rPr>
          <w:sz w:val="20"/>
          <w:szCs w:val="20"/>
          <w:color w:val="auto"/>
        </w:rPr>
      </w:pPr>
      <w:r>
        <w:rPr>
          <w:rFonts w:ascii="Arial" w:cs="Arial" w:eastAsia="Arial" w:hAnsi="Arial"/>
          <w:sz w:val="16"/>
          <w:szCs w:val="16"/>
          <w:color w:val="auto"/>
        </w:rPr>
        <w:t>With 93 BHF stores at February 24, 2018, we have leveraged our strong brand name in furniture into a network of Company-owned and licensed stores that focus on providing consumers with a friendly environment for buying furniture and accessories. Our store program is designed to provide a single source home furnishings retail store that provides a unique combination of stylish, quality furniture and accessories with a high level of customer service. In order to reach markets that cannot be effectively served by our retail store network, we also distribute our products through other wholesale channels including multi-line furniture stores, many of which feature Bassett galleries or design centers. We use a network of over 30 independent sales representatives who have stated geographical territories. These sales representatives are compensated based on a standard commission rate. We believe this blended strategy provides us the greatest ability to effectively distribute our products throughout the United States and ultimately gain market share.</w:t>
      </w:r>
    </w:p>
    <w:p>
      <w:pPr>
        <w:spacing w:after="0" w:line="166" w:lineRule="exact"/>
        <w:rPr>
          <w:sz w:val="20"/>
          <w:szCs w:val="20"/>
          <w:color w:val="auto"/>
        </w:rPr>
      </w:pPr>
    </w:p>
    <w:p>
      <w:pPr>
        <w:jc w:val="both"/>
        <w:spacing w:after="0" w:line="258" w:lineRule="auto"/>
        <w:rPr>
          <w:sz w:val="20"/>
          <w:szCs w:val="20"/>
          <w:color w:val="auto"/>
        </w:rPr>
      </w:pPr>
      <w:r>
        <w:rPr>
          <w:rFonts w:ascii="Arial" w:cs="Arial" w:eastAsia="Arial" w:hAnsi="Arial"/>
          <w:sz w:val="18"/>
          <w:szCs w:val="18"/>
          <w:color w:val="auto"/>
        </w:rPr>
        <w:t>The BHF stores feature custom order furniture, free in-home design visits (“home makeovers”), and coordinated decorating accessories. Our philosophy is based on building strong long-term relationships with each customer. Sales people are referred to as “Design Consultants” and are each trained to evaluate customer needs and provide comprehensive solutions for their home decor. Until a rigorous training and design certification program is completed, Design Consultants are not authorized to perform in-home design services for our customers.</w:t>
      </w:r>
    </w:p>
    <w:p>
      <w:pPr>
        <w:spacing w:after="0" w:line="187" w:lineRule="exact"/>
        <w:rPr>
          <w:sz w:val="20"/>
          <w:szCs w:val="20"/>
          <w:color w:val="auto"/>
        </w:rPr>
      </w:pPr>
    </w:p>
    <w:p>
      <w:pPr>
        <w:jc w:val="both"/>
        <w:spacing w:after="0" w:line="271" w:lineRule="auto"/>
        <w:rPr>
          <w:sz w:val="20"/>
          <w:szCs w:val="20"/>
          <w:color w:val="auto"/>
        </w:rPr>
      </w:pPr>
      <w:r>
        <w:rPr>
          <w:rFonts w:ascii="Arial" w:cs="Arial" w:eastAsia="Arial" w:hAnsi="Arial"/>
          <w:sz w:val="17"/>
          <w:szCs w:val="17"/>
          <w:color w:val="auto"/>
        </w:rPr>
        <w:t>We have factories in Newton, North Carolina and Grand Prairie, Texas that manufacture custom upholstered furniture, a factory in Martinsville, Virginia that primarily assembles and finishes our custom casual dining offerings and a factory in Bassett, Virginia that assembles and finishes our “Bench Made” line of custom, solid hardwood furniture. Our manufacturing team takes great pride in the breadth of its options, the precision of its craftsmanship, and the speed of its process, with custom pieces often manufactured within two weeks of taking the order in our stores. Our logistics team then promptly ships the product to one of our home delivery hubs or to a location specified by our licensees. In addition to the furniture that we manufacture domestically, we source most of our formal bedroom and dining room furniture (casegoods) and certain leather upholstery offerings from several foreign plants, primarily in Vietnam and China. Over 70% of the products we currently sell are manufactured in the United States.</w:t>
      </w:r>
    </w:p>
    <w:p>
      <w:pPr>
        <w:spacing w:after="0" w:line="178" w:lineRule="exact"/>
        <w:rPr>
          <w:sz w:val="20"/>
          <w:szCs w:val="20"/>
          <w:color w:val="auto"/>
        </w:rPr>
      </w:pPr>
    </w:p>
    <w:p>
      <w:pPr>
        <w:jc w:val="both"/>
        <w:spacing w:after="0" w:line="256" w:lineRule="auto"/>
        <w:rPr>
          <w:sz w:val="20"/>
          <w:szCs w:val="20"/>
          <w:color w:val="auto"/>
        </w:rPr>
      </w:pPr>
      <w:r>
        <w:rPr>
          <w:rFonts w:ascii="Arial" w:cs="Arial" w:eastAsia="Arial" w:hAnsi="Arial"/>
          <w:sz w:val="18"/>
          <w:szCs w:val="18"/>
          <w:color w:val="auto"/>
        </w:rPr>
        <w:t>We also own Zenith Freight Lines, LLC (“Zenith”) which provides logistical services to both the wholesale and retail operations at Bassett along with other furniture manufacturers and retailers. Zenith delivers best-of-class shipping and logistical support services that are uniquely tailored to the needs of Bassett and the furniture industry, as well as the ability to provide the expedited delivery service which is increasingly demanded by our industry. Zenith operates seven regional freight hubs and 14 home delivery centers in 13 states. Approximately 55% of Zenith’s revenue is generated from services provided to non-Bassett customers.</w:t>
      </w:r>
    </w:p>
    <w:p>
      <w:pPr>
        <w:spacing w:after="0" w:line="188" w:lineRule="exact"/>
        <w:rPr>
          <w:sz w:val="20"/>
          <w:szCs w:val="20"/>
          <w:color w:val="auto"/>
        </w:rPr>
      </w:pPr>
    </w:p>
    <w:p>
      <w:pPr>
        <w:jc w:val="both"/>
        <w:spacing w:after="0" w:line="295" w:lineRule="auto"/>
        <w:rPr>
          <w:sz w:val="20"/>
          <w:szCs w:val="20"/>
          <w:color w:val="auto"/>
        </w:rPr>
      </w:pPr>
      <w:r>
        <w:rPr>
          <w:rFonts w:ascii="Arial" w:cs="Arial" w:eastAsia="Arial" w:hAnsi="Arial"/>
          <w:sz w:val="16"/>
          <w:szCs w:val="16"/>
          <w:color w:val="auto"/>
        </w:rPr>
        <w:t>On December 21, 2017, we purchased certain assets and assumed certain liabilities of Lane Venture from Heritage Home Group, LLC for $15,556 in cash. Lane Venture is a manufacturer and distributor of premium outdoor furniture, and is now being operated as a component of our wholesale segment. This acquisition marks our entry into the market for outdoor furniture and we believe that Lane Venture will provide a foundation for us to become a significant participant in this category. We plan to distribute this brand outside of our Bassett store network with plans to introduce a Bassett-branded line in the stores in the near future. See Note 3 to our condensed consolidated financial statements for additional details regarding this acquisition.</w:t>
      </w:r>
    </w:p>
    <w:p>
      <w:pPr>
        <w:spacing w:after="0" w:line="161" w:lineRule="exact"/>
        <w:rPr>
          <w:sz w:val="20"/>
          <w:szCs w:val="20"/>
          <w:color w:val="auto"/>
        </w:rPr>
      </w:pPr>
    </w:p>
    <w:p>
      <w:pPr>
        <w:jc w:val="both"/>
        <w:spacing w:after="0" w:line="276" w:lineRule="auto"/>
        <w:rPr>
          <w:sz w:val="20"/>
          <w:szCs w:val="20"/>
          <w:color w:val="auto"/>
        </w:rPr>
      </w:pPr>
      <w:r>
        <w:rPr>
          <w:rFonts w:ascii="Arial" w:cs="Arial" w:eastAsia="Arial" w:hAnsi="Arial"/>
          <w:sz w:val="18"/>
          <w:szCs w:val="18"/>
          <w:color w:val="auto"/>
        </w:rPr>
        <w:t>At February 24, 2018, our BHF store network included 63 Company-owned stores and 30 licensee-owned stores. During the first quarter of fiscal 2018, we opened new stores in Chandler, Arizona; Oklahoma City, Oklahoma; and Summerlin, Nevada.</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82550</wp:posOffset>
            </wp:positionV>
            <wp:extent cx="7247255" cy="171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47255" cy="17145"/>
                    </a:xfrm>
                    <a:prstGeom prst="rect">
                      <a:avLst/>
                    </a:prstGeom>
                    <a:noFill/>
                  </pic:spPr>
                </pic:pic>
              </a:graphicData>
            </a:graphic>
          </wp:anchor>
        </w:drawing>
      </w:r>
    </w:p>
    <w:p>
      <w:pPr>
        <w:sectPr>
          <w:pgSz w:w="11900" w:h="16838" w:orient="portrait"/>
          <w:cols w:equalWidth="0" w:num="1">
            <w:col w:w="11420"/>
          </w:cols>
          <w:pgMar w:left="240" w:top="583" w:right="239" w:bottom="1440" w:gutter="0" w:footer="0" w:header="0"/>
        </w:sectPr>
      </w:pPr>
    </w:p>
    <w:bookmarkStart w:id="24" w:name="page25"/>
    <w:bookmarkEnd w:id="24"/>
    <w:p>
      <w:pPr>
        <w:jc w:val="center"/>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FEBRUARY 24, 2018</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09" w:lineRule="exact"/>
        <w:rPr>
          <w:sz w:val="20"/>
          <w:szCs w:val="20"/>
          <w:color w:val="auto"/>
        </w:rPr>
      </w:pPr>
    </w:p>
    <w:p>
      <w:pPr>
        <w:jc w:val="both"/>
        <w:spacing w:after="0" w:line="276" w:lineRule="auto"/>
        <w:rPr>
          <w:sz w:val="20"/>
          <w:szCs w:val="20"/>
          <w:color w:val="auto"/>
        </w:rPr>
      </w:pPr>
      <w:r>
        <w:rPr>
          <w:rFonts w:ascii="Arial" w:cs="Arial" w:eastAsia="Arial" w:hAnsi="Arial"/>
          <w:sz w:val="18"/>
          <w:szCs w:val="18"/>
          <w:color w:val="auto"/>
        </w:rPr>
        <w:t>We continue to execute our strategy of growing the Company through opening new stores, repositioning stores to improved locations within a market and closing underperforming stores. The following table shows planned store openings where leases have been executed:</w:t>
      </w:r>
    </w:p>
    <w:p>
      <w:pPr>
        <w:spacing w:after="0" w:line="170" w:lineRule="exact"/>
        <w:rPr>
          <w:sz w:val="20"/>
          <w:szCs w:val="20"/>
          <w:color w:val="auto"/>
        </w:rPr>
      </w:pPr>
    </w:p>
    <w:tbl>
      <w:tblPr>
        <w:tblLayout w:type="fixed"/>
        <w:tblInd w:w="980" w:type="dxa"/>
        <w:tblCellMar>
          <w:top w:w="0" w:type="dxa"/>
          <w:left w:w="0" w:type="dxa"/>
          <w:bottom w:w="0" w:type="dxa"/>
          <w:right w:w="0" w:type="dxa"/>
        </w:tblCellMar>
      </w:tblPr>
      <w:tr>
        <w:trPr>
          <w:trHeight w:val="215"/>
        </w:trPr>
        <w:tc>
          <w:tcPr>
            <w:tcW w:w="20" w:type="dxa"/>
            <w:vAlign w:val="bottom"/>
          </w:tcPr>
          <w:p>
            <w:pPr>
              <w:spacing w:after="0"/>
              <w:rPr>
                <w:sz w:val="18"/>
                <w:szCs w:val="18"/>
                <w:color w:val="auto"/>
              </w:rPr>
            </w:pPr>
          </w:p>
        </w:tc>
        <w:tc>
          <w:tcPr>
            <w:tcW w:w="2540" w:type="dxa"/>
            <w:vAlign w:val="bottom"/>
          </w:tcPr>
          <w:p>
            <w:pPr>
              <w:spacing w:after="0"/>
              <w:rPr>
                <w:sz w:val="18"/>
                <w:szCs w:val="18"/>
                <w:color w:val="auto"/>
              </w:rPr>
            </w:pPr>
          </w:p>
        </w:tc>
        <w:tc>
          <w:tcPr>
            <w:tcW w:w="2640" w:type="dxa"/>
            <w:vAlign w:val="bottom"/>
          </w:tcPr>
          <w:p>
            <w:pPr>
              <w:spacing w:after="0"/>
              <w:rPr>
                <w:sz w:val="18"/>
                <w:szCs w:val="18"/>
                <w:color w:val="auto"/>
              </w:rPr>
            </w:pPr>
          </w:p>
        </w:tc>
        <w:tc>
          <w:tcPr>
            <w:tcW w:w="1160" w:type="dxa"/>
            <w:vAlign w:val="bottom"/>
          </w:tcPr>
          <w:p>
            <w:pPr>
              <w:jc w:val="center"/>
              <w:ind w:left="510"/>
              <w:spacing w:after="0"/>
              <w:rPr>
                <w:sz w:val="20"/>
                <w:szCs w:val="20"/>
                <w:color w:val="auto"/>
              </w:rPr>
            </w:pPr>
            <w:r>
              <w:rPr>
                <w:rFonts w:ascii="Arial" w:cs="Arial" w:eastAsia="Arial" w:hAnsi="Arial"/>
                <w:sz w:val="18"/>
                <w:szCs w:val="18"/>
                <w:color w:val="auto"/>
                <w:w w:val="91"/>
              </w:rPr>
              <w:t>Size</w:t>
            </w:r>
          </w:p>
        </w:tc>
        <w:tc>
          <w:tcPr>
            <w:tcW w:w="840" w:type="dxa"/>
            <w:vAlign w:val="bottom"/>
          </w:tcPr>
          <w:p>
            <w:pPr>
              <w:spacing w:after="0"/>
              <w:rPr>
                <w:sz w:val="18"/>
                <w:szCs w:val="18"/>
                <w:color w:val="auto"/>
              </w:rPr>
            </w:pPr>
          </w:p>
        </w:tc>
        <w:tc>
          <w:tcPr>
            <w:tcW w:w="2480" w:type="dxa"/>
            <w:vAlign w:val="bottom"/>
          </w:tcPr>
          <w:p>
            <w:pPr>
              <w:jc w:val="center"/>
              <w:ind w:right="130"/>
              <w:spacing w:after="0"/>
              <w:rPr>
                <w:sz w:val="20"/>
                <w:szCs w:val="20"/>
                <w:color w:val="auto"/>
              </w:rPr>
            </w:pPr>
            <w:r>
              <w:rPr>
                <w:rFonts w:ascii="Arial" w:cs="Arial" w:eastAsia="Arial" w:hAnsi="Arial"/>
                <w:sz w:val="18"/>
                <w:szCs w:val="18"/>
                <w:color w:val="auto"/>
                <w:w w:val="87"/>
              </w:rPr>
              <w:t>Planned</w:t>
            </w:r>
          </w:p>
        </w:tc>
      </w:tr>
      <w:tr>
        <w:trPr>
          <w:trHeight w:val="230"/>
        </w:trPr>
        <w:tc>
          <w:tcPr>
            <w:tcW w:w="2560" w:type="dxa"/>
            <w:vAlign w:val="bottom"/>
            <w:gridSpan w:val="2"/>
          </w:tcPr>
          <w:p>
            <w:pPr>
              <w:spacing w:after="0"/>
              <w:rPr>
                <w:sz w:val="20"/>
                <w:szCs w:val="20"/>
                <w:color w:val="auto"/>
              </w:rPr>
            </w:pPr>
            <w:r>
              <w:rPr>
                <w:rFonts w:ascii="Arial" w:cs="Arial" w:eastAsia="Arial" w:hAnsi="Arial"/>
                <w:sz w:val="18"/>
                <w:szCs w:val="18"/>
                <w:color w:val="auto"/>
              </w:rPr>
              <w:t>Location</w:t>
            </w:r>
          </w:p>
        </w:tc>
        <w:tc>
          <w:tcPr>
            <w:tcW w:w="2640" w:type="dxa"/>
            <w:vAlign w:val="bottom"/>
          </w:tcPr>
          <w:p>
            <w:pPr>
              <w:ind w:left="1620"/>
              <w:spacing w:after="0"/>
              <w:rPr>
                <w:sz w:val="20"/>
                <w:szCs w:val="20"/>
                <w:color w:val="auto"/>
              </w:rPr>
            </w:pPr>
            <w:r>
              <w:rPr>
                <w:rFonts w:ascii="Arial" w:cs="Arial" w:eastAsia="Arial" w:hAnsi="Arial"/>
                <w:sz w:val="18"/>
                <w:szCs w:val="18"/>
                <w:color w:val="auto"/>
              </w:rPr>
              <w:t>Type</w:t>
            </w:r>
          </w:p>
        </w:tc>
        <w:tc>
          <w:tcPr>
            <w:tcW w:w="1160" w:type="dxa"/>
            <w:vAlign w:val="bottom"/>
          </w:tcPr>
          <w:p>
            <w:pPr>
              <w:jc w:val="center"/>
              <w:ind w:left="510"/>
              <w:spacing w:after="0"/>
              <w:rPr>
                <w:sz w:val="20"/>
                <w:szCs w:val="20"/>
                <w:color w:val="auto"/>
              </w:rPr>
            </w:pPr>
            <w:r>
              <w:rPr>
                <w:rFonts w:ascii="Arial" w:cs="Arial" w:eastAsia="Arial" w:hAnsi="Arial"/>
                <w:sz w:val="18"/>
                <w:szCs w:val="18"/>
                <w:color w:val="auto"/>
                <w:w w:val="90"/>
              </w:rPr>
              <w:t>Sq. Ft.</w:t>
            </w:r>
          </w:p>
        </w:tc>
        <w:tc>
          <w:tcPr>
            <w:tcW w:w="840" w:type="dxa"/>
            <w:vAlign w:val="bottom"/>
          </w:tcPr>
          <w:p>
            <w:pPr>
              <w:spacing w:after="0"/>
              <w:rPr>
                <w:sz w:val="19"/>
                <w:szCs w:val="19"/>
                <w:color w:val="auto"/>
              </w:rPr>
            </w:pPr>
          </w:p>
        </w:tc>
        <w:tc>
          <w:tcPr>
            <w:tcW w:w="2480" w:type="dxa"/>
            <w:vAlign w:val="bottom"/>
          </w:tcPr>
          <w:p>
            <w:pPr>
              <w:jc w:val="center"/>
              <w:ind w:right="130"/>
              <w:spacing w:after="0"/>
              <w:rPr>
                <w:sz w:val="20"/>
                <w:szCs w:val="20"/>
                <w:color w:val="auto"/>
              </w:rPr>
            </w:pPr>
            <w:r>
              <w:rPr>
                <w:rFonts w:ascii="Arial" w:cs="Arial" w:eastAsia="Arial" w:hAnsi="Arial"/>
                <w:sz w:val="18"/>
                <w:szCs w:val="18"/>
                <w:color w:val="auto"/>
                <w:w w:val="91"/>
              </w:rPr>
              <w:t>Opening</w:t>
            </w:r>
          </w:p>
        </w:tc>
      </w:tr>
      <w:tr>
        <w:trPr>
          <w:trHeight w:val="209"/>
        </w:trPr>
        <w:tc>
          <w:tcPr>
            <w:tcW w:w="20" w:type="dxa"/>
            <w:vAlign w:val="bottom"/>
          </w:tcPr>
          <w:p>
            <w:pPr>
              <w:spacing w:after="0"/>
              <w:rPr>
                <w:sz w:val="18"/>
                <w:szCs w:val="18"/>
                <w:color w:val="auto"/>
              </w:rPr>
            </w:pPr>
          </w:p>
        </w:tc>
        <w:tc>
          <w:tcPr>
            <w:tcW w:w="254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i w:val="1"/>
                <w:iCs w:val="1"/>
                <w:color w:val="auto"/>
              </w:rPr>
              <w:t>New Stores:</w:t>
            </w:r>
          </w:p>
        </w:tc>
        <w:tc>
          <w:tcPr>
            <w:tcW w:w="2640" w:type="dxa"/>
            <w:vAlign w:val="bottom"/>
            <w:tcBorders>
              <w:top w:val="single" w:sz="8" w:color="auto"/>
            </w:tcBorders>
            <w:shd w:val="clear" w:color="auto" w:fill="CCEEFF"/>
          </w:tcPr>
          <w:p>
            <w:pPr>
              <w:spacing w:after="0"/>
              <w:rPr>
                <w:sz w:val="18"/>
                <w:szCs w:val="18"/>
                <w:color w:val="auto"/>
              </w:rPr>
            </w:pPr>
          </w:p>
        </w:tc>
        <w:tc>
          <w:tcPr>
            <w:tcW w:w="1160" w:type="dxa"/>
            <w:vAlign w:val="bottom"/>
            <w:tcBorders>
              <w:top w:val="single" w:sz="8" w:color="auto"/>
            </w:tcBorders>
            <w:shd w:val="clear" w:color="auto" w:fill="CCEEFF"/>
          </w:tcPr>
          <w:p>
            <w:pPr>
              <w:spacing w:after="0"/>
              <w:rPr>
                <w:sz w:val="18"/>
                <w:szCs w:val="18"/>
                <w:color w:val="auto"/>
              </w:rPr>
            </w:pPr>
          </w:p>
        </w:tc>
        <w:tc>
          <w:tcPr>
            <w:tcW w:w="840" w:type="dxa"/>
            <w:vAlign w:val="bottom"/>
            <w:tcBorders>
              <w:top w:val="single" w:sz="8" w:color="auto"/>
            </w:tcBorders>
            <w:shd w:val="clear" w:color="auto" w:fill="CCEEFF"/>
          </w:tcPr>
          <w:p>
            <w:pPr>
              <w:spacing w:after="0"/>
              <w:rPr>
                <w:sz w:val="18"/>
                <w:szCs w:val="18"/>
                <w:color w:val="auto"/>
              </w:rPr>
            </w:pPr>
          </w:p>
        </w:tc>
        <w:tc>
          <w:tcPr>
            <w:tcW w:w="2480" w:type="dxa"/>
            <w:vAlign w:val="bottom"/>
            <w:tcBorders>
              <w:top w:val="single" w:sz="8" w:color="auto"/>
            </w:tcBorders>
            <w:shd w:val="clear" w:color="auto" w:fill="CCEEFF"/>
          </w:tcPr>
          <w:p>
            <w:pPr>
              <w:spacing w:after="0"/>
              <w:rPr>
                <w:sz w:val="18"/>
                <w:szCs w:val="18"/>
                <w:color w:val="auto"/>
              </w:rPr>
            </w:pPr>
          </w:p>
        </w:tc>
      </w:tr>
      <w:tr>
        <w:trPr>
          <w:trHeight w:val="215"/>
        </w:trPr>
        <w:tc>
          <w:tcPr>
            <w:tcW w:w="20" w:type="dxa"/>
            <w:vAlign w:val="bottom"/>
          </w:tcPr>
          <w:p>
            <w:pPr>
              <w:spacing w:after="0"/>
              <w:rPr>
                <w:sz w:val="18"/>
                <w:szCs w:val="18"/>
                <w:color w:val="auto"/>
              </w:rPr>
            </w:pPr>
          </w:p>
        </w:tc>
        <w:tc>
          <w:tcPr>
            <w:tcW w:w="2540" w:type="dxa"/>
            <w:vAlign w:val="bottom"/>
          </w:tcPr>
          <w:p>
            <w:pPr>
              <w:ind w:left="300"/>
              <w:spacing w:after="0"/>
              <w:rPr>
                <w:sz w:val="20"/>
                <w:szCs w:val="20"/>
                <w:color w:val="auto"/>
              </w:rPr>
            </w:pPr>
            <w:r>
              <w:rPr>
                <w:rFonts w:ascii="Arial" w:cs="Arial" w:eastAsia="Arial" w:hAnsi="Arial"/>
                <w:sz w:val="18"/>
                <w:szCs w:val="18"/>
                <w:color w:val="auto"/>
              </w:rPr>
              <w:t>El Paso, TX</w:t>
            </w:r>
          </w:p>
        </w:tc>
        <w:tc>
          <w:tcPr>
            <w:tcW w:w="2640" w:type="dxa"/>
            <w:vAlign w:val="bottom"/>
          </w:tcPr>
          <w:p>
            <w:pPr>
              <w:ind w:left="980"/>
              <w:spacing w:after="0"/>
              <w:rPr>
                <w:sz w:val="20"/>
                <w:szCs w:val="20"/>
                <w:color w:val="auto"/>
              </w:rPr>
            </w:pPr>
            <w:r>
              <w:rPr>
                <w:rFonts w:ascii="Arial" w:cs="Arial" w:eastAsia="Arial" w:hAnsi="Arial"/>
                <w:sz w:val="18"/>
                <w:szCs w:val="18"/>
                <w:color w:val="auto"/>
              </w:rPr>
              <w:t>Corporate</w:t>
            </w:r>
          </w:p>
        </w:tc>
        <w:tc>
          <w:tcPr>
            <w:tcW w:w="1160" w:type="dxa"/>
            <w:vAlign w:val="bottom"/>
          </w:tcPr>
          <w:p>
            <w:pPr>
              <w:spacing w:after="0"/>
              <w:rPr>
                <w:sz w:val="18"/>
                <w:szCs w:val="18"/>
                <w:color w:val="auto"/>
              </w:rPr>
            </w:pPr>
          </w:p>
        </w:tc>
        <w:tc>
          <w:tcPr>
            <w:tcW w:w="840" w:type="dxa"/>
            <w:vAlign w:val="bottom"/>
          </w:tcPr>
          <w:p>
            <w:pPr>
              <w:jc w:val="right"/>
              <w:ind w:right="230"/>
              <w:spacing w:after="0"/>
              <w:rPr>
                <w:sz w:val="20"/>
                <w:szCs w:val="20"/>
                <w:color w:val="auto"/>
              </w:rPr>
            </w:pPr>
            <w:r>
              <w:rPr>
                <w:rFonts w:ascii="Arial" w:cs="Arial" w:eastAsia="Arial" w:hAnsi="Arial"/>
                <w:sz w:val="18"/>
                <w:szCs w:val="18"/>
                <w:color w:val="auto"/>
              </w:rPr>
              <w:t>8,400</w:t>
            </w:r>
          </w:p>
        </w:tc>
        <w:tc>
          <w:tcPr>
            <w:tcW w:w="2480" w:type="dxa"/>
            <w:vAlign w:val="bottom"/>
          </w:tcPr>
          <w:p>
            <w:pPr>
              <w:jc w:val="center"/>
              <w:ind w:right="130"/>
              <w:spacing w:after="0"/>
              <w:rPr>
                <w:sz w:val="20"/>
                <w:szCs w:val="20"/>
                <w:color w:val="auto"/>
              </w:rPr>
            </w:pPr>
            <w:r>
              <w:rPr>
                <w:rFonts w:ascii="Arial" w:cs="Arial" w:eastAsia="Arial" w:hAnsi="Arial"/>
                <w:sz w:val="18"/>
                <w:szCs w:val="18"/>
                <w:color w:val="auto"/>
                <w:w w:val="90"/>
              </w:rPr>
              <w:t>Opened March 6, 2018</w:t>
            </w:r>
          </w:p>
        </w:tc>
      </w:tr>
      <w:tr>
        <w:trPr>
          <w:trHeight w:val="215"/>
        </w:trPr>
        <w:tc>
          <w:tcPr>
            <w:tcW w:w="20" w:type="dxa"/>
            <w:vAlign w:val="bottom"/>
          </w:tcPr>
          <w:p>
            <w:pPr>
              <w:spacing w:after="0"/>
              <w:rPr>
                <w:sz w:val="18"/>
                <w:szCs w:val="18"/>
                <w:color w:val="auto"/>
              </w:rPr>
            </w:pPr>
          </w:p>
        </w:tc>
        <w:tc>
          <w:tcPr>
            <w:tcW w:w="2540" w:type="dxa"/>
            <w:vAlign w:val="bottom"/>
            <w:shd w:val="clear" w:color="auto" w:fill="CCEEFF"/>
          </w:tcPr>
          <w:p>
            <w:pPr>
              <w:ind w:left="300"/>
              <w:spacing w:after="0"/>
              <w:rPr>
                <w:sz w:val="20"/>
                <w:szCs w:val="20"/>
                <w:color w:val="auto"/>
              </w:rPr>
            </w:pPr>
            <w:r>
              <w:rPr>
                <w:rFonts w:ascii="Arial" w:cs="Arial" w:eastAsia="Arial" w:hAnsi="Arial"/>
                <w:sz w:val="18"/>
                <w:szCs w:val="18"/>
                <w:color w:val="auto"/>
              </w:rPr>
              <w:t>La Jolla, CA</w:t>
            </w:r>
          </w:p>
        </w:tc>
        <w:tc>
          <w:tcPr>
            <w:tcW w:w="2640" w:type="dxa"/>
            <w:vAlign w:val="bottom"/>
            <w:shd w:val="clear" w:color="auto" w:fill="CCEEFF"/>
          </w:tcPr>
          <w:p>
            <w:pPr>
              <w:ind w:left="980"/>
              <w:spacing w:after="0"/>
              <w:rPr>
                <w:sz w:val="20"/>
                <w:szCs w:val="20"/>
                <w:color w:val="auto"/>
              </w:rPr>
            </w:pPr>
            <w:r>
              <w:rPr>
                <w:rFonts w:ascii="Arial" w:cs="Arial" w:eastAsia="Arial" w:hAnsi="Arial"/>
                <w:sz w:val="18"/>
                <w:szCs w:val="18"/>
                <w:color w:val="auto"/>
              </w:rPr>
              <w:t>Licensed</w:t>
            </w:r>
          </w:p>
        </w:tc>
        <w:tc>
          <w:tcPr>
            <w:tcW w:w="1160" w:type="dxa"/>
            <w:vAlign w:val="bottom"/>
            <w:shd w:val="clear" w:color="auto" w:fill="CCEEFF"/>
          </w:tcPr>
          <w:p>
            <w:pPr>
              <w:spacing w:after="0"/>
              <w:rPr>
                <w:sz w:val="18"/>
                <w:szCs w:val="18"/>
                <w:color w:val="auto"/>
              </w:rPr>
            </w:pPr>
          </w:p>
        </w:tc>
        <w:tc>
          <w:tcPr>
            <w:tcW w:w="84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w w:val="90"/>
              </w:rPr>
              <w:t>10,000</w:t>
            </w:r>
          </w:p>
        </w:tc>
        <w:tc>
          <w:tcPr>
            <w:tcW w:w="2480" w:type="dxa"/>
            <w:vAlign w:val="bottom"/>
            <w:shd w:val="clear" w:color="auto" w:fill="CCEEFF"/>
          </w:tcPr>
          <w:p>
            <w:pPr>
              <w:jc w:val="center"/>
              <w:ind w:right="130"/>
              <w:spacing w:after="0"/>
              <w:rPr>
                <w:sz w:val="20"/>
                <w:szCs w:val="20"/>
                <w:color w:val="auto"/>
              </w:rPr>
            </w:pPr>
            <w:r>
              <w:rPr>
                <w:rFonts w:ascii="Arial" w:cs="Arial" w:eastAsia="Arial" w:hAnsi="Arial"/>
                <w:sz w:val="18"/>
                <w:szCs w:val="18"/>
                <w:color w:val="auto"/>
                <w:w w:val="89"/>
              </w:rPr>
              <w:t>Q2 2018</w:t>
            </w:r>
          </w:p>
        </w:tc>
      </w:tr>
      <w:tr>
        <w:trPr>
          <w:trHeight w:val="215"/>
        </w:trPr>
        <w:tc>
          <w:tcPr>
            <w:tcW w:w="20" w:type="dxa"/>
            <w:vAlign w:val="bottom"/>
          </w:tcPr>
          <w:p>
            <w:pPr>
              <w:spacing w:after="0"/>
              <w:rPr>
                <w:sz w:val="18"/>
                <w:szCs w:val="18"/>
                <w:color w:val="auto"/>
              </w:rPr>
            </w:pPr>
          </w:p>
        </w:tc>
        <w:tc>
          <w:tcPr>
            <w:tcW w:w="2540" w:type="dxa"/>
            <w:vAlign w:val="bottom"/>
          </w:tcPr>
          <w:p>
            <w:pPr>
              <w:ind w:left="300"/>
              <w:spacing w:after="0"/>
              <w:rPr>
                <w:sz w:val="20"/>
                <w:szCs w:val="20"/>
                <w:color w:val="auto"/>
              </w:rPr>
            </w:pPr>
            <w:r>
              <w:rPr>
                <w:rFonts w:ascii="Arial" w:cs="Arial" w:eastAsia="Arial" w:hAnsi="Arial"/>
                <w:sz w:val="18"/>
                <w:szCs w:val="18"/>
                <w:color w:val="auto"/>
              </w:rPr>
              <w:t>Daly City, CA</w:t>
            </w:r>
          </w:p>
        </w:tc>
        <w:tc>
          <w:tcPr>
            <w:tcW w:w="2640" w:type="dxa"/>
            <w:vAlign w:val="bottom"/>
          </w:tcPr>
          <w:p>
            <w:pPr>
              <w:ind w:left="980"/>
              <w:spacing w:after="0"/>
              <w:rPr>
                <w:sz w:val="20"/>
                <w:szCs w:val="20"/>
                <w:color w:val="auto"/>
              </w:rPr>
            </w:pPr>
            <w:r>
              <w:rPr>
                <w:rFonts w:ascii="Arial" w:cs="Arial" w:eastAsia="Arial" w:hAnsi="Arial"/>
                <w:sz w:val="18"/>
                <w:szCs w:val="18"/>
                <w:color w:val="auto"/>
              </w:rPr>
              <w:t>Licensed</w:t>
            </w:r>
          </w:p>
        </w:tc>
        <w:tc>
          <w:tcPr>
            <w:tcW w:w="1160" w:type="dxa"/>
            <w:vAlign w:val="bottom"/>
          </w:tcPr>
          <w:p>
            <w:pPr>
              <w:spacing w:after="0"/>
              <w:rPr>
                <w:sz w:val="18"/>
                <w:szCs w:val="18"/>
                <w:color w:val="auto"/>
              </w:rPr>
            </w:pPr>
          </w:p>
        </w:tc>
        <w:tc>
          <w:tcPr>
            <w:tcW w:w="840" w:type="dxa"/>
            <w:vAlign w:val="bottom"/>
          </w:tcPr>
          <w:p>
            <w:pPr>
              <w:jc w:val="right"/>
              <w:ind w:right="230"/>
              <w:spacing w:after="0"/>
              <w:rPr>
                <w:sz w:val="20"/>
                <w:szCs w:val="20"/>
                <w:color w:val="auto"/>
              </w:rPr>
            </w:pPr>
            <w:r>
              <w:rPr>
                <w:rFonts w:ascii="Arial" w:cs="Arial" w:eastAsia="Arial" w:hAnsi="Arial"/>
                <w:sz w:val="18"/>
                <w:szCs w:val="18"/>
                <w:color w:val="auto"/>
              </w:rPr>
              <w:t>9,000</w:t>
            </w:r>
          </w:p>
        </w:tc>
        <w:tc>
          <w:tcPr>
            <w:tcW w:w="2480" w:type="dxa"/>
            <w:vAlign w:val="bottom"/>
          </w:tcPr>
          <w:p>
            <w:pPr>
              <w:jc w:val="center"/>
              <w:ind w:right="130"/>
              <w:spacing w:after="0"/>
              <w:rPr>
                <w:sz w:val="20"/>
                <w:szCs w:val="20"/>
                <w:color w:val="auto"/>
              </w:rPr>
            </w:pPr>
            <w:r>
              <w:rPr>
                <w:rFonts w:ascii="Arial" w:cs="Arial" w:eastAsia="Arial" w:hAnsi="Arial"/>
                <w:sz w:val="18"/>
                <w:szCs w:val="18"/>
                <w:color w:val="auto"/>
                <w:w w:val="89"/>
              </w:rPr>
              <w:t>Q3 2018</w:t>
            </w:r>
          </w:p>
        </w:tc>
      </w:tr>
      <w:tr>
        <w:trPr>
          <w:trHeight w:val="215"/>
        </w:trPr>
        <w:tc>
          <w:tcPr>
            <w:tcW w:w="20" w:type="dxa"/>
            <w:vAlign w:val="bottom"/>
          </w:tcPr>
          <w:p>
            <w:pPr>
              <w:spacing w:after="0"/>
              <w:rPr>
                <w:sz w:val="18"/>
                <w:szCs w:val="18"/>
                <w:color w:val="auto"/>
              </w:rPr>
            </w:pPr>
          </w:p>
        </w:tc>
        <w:tc>
          <w:tcPr>
            <w:tcW w:w="2540" w:type="dxa"/>
            <w:vAlign w:val="bottom"/>
            <w:shd w:val="clear" w:color="auto" w:fill="CCEEFF"/>
          </w:tcPr>
          <w:p>
            <w:pPr>
              <w:ind w:left="300"/>
              <w:spacing w:after="0"/>
              <w:rPr>
                <w:sz w:val="20"/>
                <w:szCs w:val="20"/>
                <w:color w:val="auto"/>
              </w:rPr>
            </w:pPr>
            <w:r>
              <w:rPr>
                <w:rFonts w:ascii="Arial" w:cs="Arial" w:eastAsia="Arial" w:hAnsi="Arial"/>
                <w:sz w:val="18"/>
                <w:szCs w:val="18"/>
                <w:color w:val="auto"/>
              </w:rPr>
              <w:t>Coral Gables, FL</w:t>
            </w:r>
          </w:p>
        </w:tc>
        <w:tc>
          <w:tcPr>
            <w:tcW w:w="2640" w:type="dxa"/>
            <w:vAlign w:val="bottom"/>
            <w:shd w:val="clear" w:color="auto" w:fill="CCEEFF"/>
          </w:tcPr>
          <w:p>
            <w:pPr>
              <w:ind w:left="980"/>
              <w:spacing w:after="0"/>
              <w:rPr>
                <w:sz w:val="20"/>
                <w:szCs w:val="20"/>
                <w:color w:val="auto"/>
              </w:rPr>
            </w:pPr>
            <w:r>
              <w:rPr>
                <w:rFonts w:ascii="Arial" w:cs="Arial" w:eastAsia="Arial" w:hAnsi="Arial"/>
                <w:sz w:val="18"/>
                <w:szCs w:val="18"/>
                <w:color w:val="auto"/>
              </w:rPr>
              <w:t>Corporate</w:t>
            </w:r>
          </w:p>
        </w:tc>
        <w:tc>
          <w:tcPr>
            <w:tcW w:w="1160" w:type="dxa"/>
            <w:vAlign w:val="bottom"/>
            <w:shd w:val="clear" w:color="auto" w:fill="CCEEFF"/>
          </w:tcPr>
          <w:p>
            <w:pPr>
              <w:spacing w:after="0"/>
              <w:rPr>
                <w:sz w:val="18"/>
                <w:szCs w:val="18"/>
                <w:color w:val="auto"/>
              </w:rPr>
            </w:pPr>
          </w:p>
        </w:tc>
        <w:tc>
          <w:tcPr>
            <w:tcW w:w="84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w w:val="90"/>
              </w:rPr>
              <w:t>10,000</w:t>
            </w:r>
          </w:p>
        </w:tc>
        <w:tc>
          <w:tcPr>
            <w:tcW w:w="2480" w:type="dxa"/>
            <w:vAlign w:val="bottom"/>
            <w:shd w:val="clear" w:color="auto" w:fill="CCEEFF"/>
          </w:tcPr>
          <w:p>
            <w:pPr>
              <w:jc w:val="center"/>
              <w:ind w:right="130"/>
              <w:spacing w:after="0"/>
              <w:rPr>
                <w:sz w:val="20"/>
                <w:szCs w:val="20"/>
                <w:color w:val="auto"/>
              </w:rPr>
            </w:pPr>
            <w:r>
              <w:rPr>
                <w:rFonts w:ascii="Arial" w:cs="Arial" w:eastAsia="Arial" w:hAnsi="Arial"/>
                <w:sz w:val="18"/>
                <w:szCs w:val="18"/>
                <w:color w:val="auto"/>
                <w:w w:val="89"/>
              </w:rPr>
              <w:t>Q3 2018</w:t>
            </w:r>
          </w:p>
        </w:tc>
      </w:tr>
      <w:tr>
        <w:trPr>
          <w:trHeight w:val="230"/>
        </w:trPr>
        <w:tc>
          <w:tcPr>
            <w:tcW w:w="20" w:type="dxa"/>
            <w:vAlign w:val="bottom"/>
          </w:tcPr>
          <w:p>
            <w:pPr>
              <w:spacing w:after="0"/>
              <w:rPr>
                <w:sz w:val="19"/>
                <w:szCs w:val="19"/>
                <w:color w:val="auto"/>
              </w:rPr>
            </w:pPr>
          </w:p>
        </w:tc>
        <w:tc>
          <w:tcPr>
            <w:tcW w:w="2540" w:type="dxa"/>
            <w:vAlign w:val="bottom"/>
          </w:tcPr>
          <w:p>
            <w:pPr>
              <w:ind w:left="300"/>
              <w:spacing w:after="0"/>
              <w:rPr>
                <w:sz w:val="20"/>
                <w:szCs w:val="20"/>
                <w:color w:val="auto"/>
              </w:rPr>
            </w:pPr>
            <w:r>
              <w:rPr>
                <w:rFonts w:ascii="Arial" w:cs="Arial" w:eastAsia="Arial" w:hAnsi="Arial"/>
                <w:sz w:val="18"/>
                <w:szCs w:val="18"/>
                <w:color w:val="auto"/>
              </w:rPr>
              <w:t>Frisco, TX</w:t>
            </w:r>
          </w:p>
        </w:tc>
        <w:tc>
          <w:tcPr>
            <w:tcW w:w="2640" w:type="dxa"/>
            <w:vAlign w:val="bottom"/>
          </w:tcPr>
          <w:p>
            <w:pPr>
              <w:ind w:left="980"/>
              <w:spacing w:after="0"/>
              <w:rPr>
                <w:sz w:val="20"/>
                <w:szCs w:val="20"/>
                <w:color w:val="auto"/>
              </w:rPr>
            </w:pPr>
            <w:r>
              <w:rPr>
                <w:rFonts w:ascii="Arial" w:cs="Arial" w:eastAsia="Arial" w:hAnsi="Arial"/>
                <w:sz w:val="18"/>
                <w:szCs w:val="18"/>
                <w:color w:val="auto"/>
              </w:rPr>
              <w:t>Corporate</w:t>
            </w:r>
          </w:p>
        </w:tc>
        <w:tc>
          <w:tcPr>
            <w:tcW w:w="1160" w:type="dxa"/>
            <w:vAlign w:val="bottom"/>
          </w:tcPr>
          <w:p>
            <w:pPr>
              <w:spacing w:after="0"/>
              <w:rPr>
                <w:sz w:val="19"/>
                <w:szCs w:val="19"/>
                <w:color w:val="auto"/>
              </w:rPr>
            </w:pPr>
          </w:p>
        </w:tc>
        <w:tc>
          <w:tcPr>
            <w:tcW w:w="840" w:type="dxa"/>
            <w:vAlign w:val="bottom"/>
          </w:tcPr>
          <w:p>
            <w:pPr>
              <w:jc w:val="right"/>
              <w:ind w:right="230"/>
              <w:spacing w:after="0"/>
              <w:rPr>
                <w:sz w:val="20"/>
                <w:szCs w:val="20"/>
                <w:color w:val="auto"/>
              </w:rPr>
            </w:pPr>
            <w:r>
              <w:rPr>
                <w:rFonts w:ascii="Arial" w:cs="Arial" w:eastAsia="Arial" w:hAnsi="Arial"/>
                <w:sz w:val="18"/>
                <w:szCs w:val="18"/>
                <w:color w:val="auto"/>
                <w:w w:val="90"/>
              </w:rPr>
              <w:t>15,000</w:t>
            </w:r>
          </w:p>
        </w:tc>
        <w:tc>
          <w:tcPr>
            <w:tcW w:w="2480" w:type="dxa"/>
            <w:vAlign w:val="bottom"/>
          </w:tcPr>
          <w:p>
            <w:pPr>
              <w:jc w:val="center"/>
              <w:ind w:right="130"/>
              <w:spacing w:after="0"/>
              <w:rPr>
                <w:sz w:val="20"/>
                <w:szCs w:val="20"/>
                <w:color w:val="auto"/>
              </w:rPr>
            </w:pPr>
            <w:r>
              <w:rPr>
                <w:rFonts w:ascii="Arial" w:cs="Arial" w:eastAsia="Arial" w:hAnsi="Arial"/>
                <w:sz w:val="18"/>
                <w:szCs w:val="18"/>
                <w:color w:val="auto"/>
                <w:w w:val="89"/>
              </w:rPr>
              <w:t>Q4 2018</w:t>
            </w:r>
          </w:p>
        </w:tc>
      </w:tr>
    </w:tbl>
    <w:p>
      <w:pPr>
        <w:spacing w:after="0" w:line="186" w:lineRule="exact"/>
        <w:rPr>
          <w:sz w:val="20"/>
          <w:szCs w:val="20"/>
          <w:color w:val="auto"/>
        </w:rPr>
      </w:pPr>
    </w:p>
    <w:p>
      <w:pPr>
        <w:jc w:val="both"/>
        <w:spacing w:after="0" w:line="262" w:lineRule="auto"/>
        <w:rPr>
          <w:sz w:val="20"/>
          <w:szCs w:val="20"/>
          <w:color w:val="auto"/>
        </w:rPr>
      </w:pPr>
      <w:r>
        <w:rPr>
          <w:rFonts w:ascii="Arial" w:cs="Arial" w:eastAsia="Arial" w:hAnsi="Arial"/>
          <w:sz w:val="18"/>
          <w:szCs w:val="18"/>
          <w:color w:val="auto"/>
        </w:rPr>
        <w:t>In addition, lease negotiations are underway for new store locations that could result in additional openings during 2018 and beyond. With a track record of seven consecutive years of positive same store sales growth and our focus on store productivity, we believe that we can take our concept to new markets and consistently grow overall store count in the years to come.</w:t>
      </w:r>
    </w:p>
    <w:p>
      <w:pPr>
        <w:spacing w:after="0" w:line="183" w:lineRule="exact"/>
        <w:rPr>
          <w:sz w:val="20"/>
          <w:szCs w:val="20"/>
          <w:color w:val="auto"/>
        </w:rPr>
      </w:pPr>
    </w:p>
    <w:p>
      <w:pPr>
        <w:jc w:val="both"/>
        <w:spacing w:after="0" w:line="285" w:lineRule="auto"/>
        <w:rPr>
          <w:sz w:val="20"/>
          <w:szCs w:val="20"/>
          <w:color w:val="auto"/>
        </w:rPr>
      </w:pPr>
      <w:r>
        <w:rPr>
          <w:rFonts w:ascii="Arial" w:cs="Arial" w:eastAsia="Arial" w:hAnsi="Arial"/>
          <w:sz w:val="16"/>
          <w:szCs w:val="16"/>
          <w:color w:val="auto"/>
        </w:rPr>
        <w:t>As with any retail operation, prior to opening a new store we incur such expenses as rent, training costs and other payroll related costs. These costs generally range between $200 to $400 per store depending on the overall rent costs for the location and the period between the time when we take physical possession of the store space and the time of the store opening. Generally, rent payments during a buildout period between delivery of possession and opening of a new store are deferred and therefore straight line rent expense recognized during that time does not require cash. Inherent in our retail business model, we also incur losses in the two to three months of operation following a new store opening. Like other furniture retailers, we do not recognize a sale until the furniture is delivered to our customer. Because our retail business model does not involve maintaining a stock of retail inventory that would result in quick delivery and because of the custom nature of many of our furniture offerings, delivery to our customers usually occurs about 30 days after an order is placed. We generally require a deposit at the time of order and collect the remaining balance when the furniture is delivered, at which time the sale is recognized. Coupled with the previously discussed store pre-opening costs, total start-up losses can range from $400 to $600 per store. While our retail expansion is initially costly, we believe our site selection and new store presentation will generally result in locations that operate at or above a retail break-even level within a reasonable period of time following store opening. Factors affecting the length of time required to achieve this goal on a store-by-store basis may include the level of brand recognition, the degree of local competition and the depth of penetration in a particular market. Even as new stores ramp up to break-even, we do realize additional wholesale sales volume that leverages the fixed costs in our wholesale business. Because of the increased store openings in 2018, we expect to incur approximately $1,000 more new store pre-opening costs and post-opening losses in 2018 than we incurred in 2017.</w:t>
      </w:r>
    </w:p>
    <w:p>
      <w:pPr>
        <w:spacing w:after="0" w:line="171"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In 2018, Bassett will focus on its digital effort to improve the customers’ journey from the time they begin on our website to the final step of delivering the goods to their homes. Today’s customers expect their digital experiences and communications to be personalized and highly-relevant, and catered to match their specific needs and preferences. Bassett is laying the foundation to becoming more connected to its customers and to use the data and insights collected during the customer journey to create a more compelling customized customer experience. This year, the Company plans to invest in technology, including an order management system, and in digital talent who can direct the strategy, planning and daily business direction and critical decision making required for building a competitive omnichannel retail business.</w:t>
      </w:r>
    </w:p>
    <w:p>
      <w:pPr>
        <w:spacing w:after="0" w:line="1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82550</wp:posOffset>
            </wp:positionV>
            <wp:extent cx="7247255" cy="171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47255" cy="17145"/>
                    </a:xfrm>
                    <a:prstGeom prst="rect">
                      <a:avLst/>
                    </a:prstGeom>
                    <a:noFill/>
                  </pic:spPr>
                </pic:pic>
              </a:graphicData>
            </a:graphic>
          </wp:anchor>
        </w:drawing>
      </w:r>
    </w:p>
    <w:p>
      <w:pPr>
        <w:sectPr>
          <w:pgSz w:w="11900" w:h="16838" w:orient="portrait"/>
          <w:cols w:equalWidth="0" w:num="1">
            <w:col w:w="11420"/>
          </w:cols>
          <w:pgMar w:left="240" w:top="583" w:right="239" w:bottom="1440" w:gutter="0" w:footer="0" w:header="0"/>
        </w:sectPr>
      </w:pPr>
    </w:p>
    <w:bookmarkStart w:id="25" w:name="page26"/>
    <w:bookmarkEnd w:id="25"/>
    <w:p>
      <w:pPr>
        <w:jc w:val="center"/>
        <w:ind w:right="-19"/>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ind w:right="-19"/>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8" w:lineRule="exact"/>
        <w:rPr>
          <w:sz w:val="20"/>
          <w:szCs w:val="20"/>
          <w:color w:val="auto"/>
        </w:rPr>
      </w:pPr>
    </w:p>
    <w:p>
      <w:pPr>
        <w:jc w:val="center"/>
        <w:ind w:right="-19"/>
        <w:spacing w:after="0"/>
        <w:rPr>
          <w:sz w:val="20"/>
          <w:szCs w:val="20"/>
          <w:color w:val="auto"/>
        </w:rPr>
      </w:pPr>
      <w:r>
        <w:rPr>
          <w:rFonts w:ascii="Arial" w:cs="Arial" w:eastAsia="Arial" w:hAnsi="Arial"/>
          <w:sz w:val="18"/>
          <w:szCs w:val="18"/>
          <w:u w:val="single" w:color="auto"/>
          <w:color w:val="auto"/>
        </w:rPr>
        <w:t>FEBRUARY 24, 2018</w:t>
      </w:r>
    </w:p>
    <w:p>
      <w:pPr>
        <w:spacing w:after="0" w:line="8" w:lineRule="exact"/>
        <w:rPr>
          <w:sz w:val="20"/>
          <w:szCs w:val="20"/>
          <w:color w:val="auto"/>
        </w:rPr>
      </w:pPr>
    </w:p>
    <w:p>
      <w:pPr>
        <w:jc w:val="center"/>
        <w:ind w:right="-19"/>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0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 – Periods ended February 24, 2018 compared with periods ended February 25, 2017:</w:t>
      </w:r>
    </w:p>
    <w:p>
      <w:pPr>
        <w:spacing w:after="0" w:line="228" w:lineRule="exact"/>
        <w:rPr>
          <w:sz w:val="20"/>
          <w:szCs w:val="20"/>
          <w:color w:val="auto"/>
        </w:rPr>
      </w:pPr>
    </w:p>
    <w:p>
      <w:pPr>
        <w:ind w:right="20"/>
        <w:spacing w:after="0" w:line="276" w:lineRule="auto"/>
        <w:rPr>
          <w:sz w:val="20"/>
          <w:szCs w:val="20"/>
          <w:color w:val="auto"/>
        </w:rPr>
      </w:pPr>
      <w:r>
        <w:rPr>
          <w:rFonts w:ascii="Arial" w:cs="Arial" w:eastAsia="Arial" w:hAnsi="Arial"/>
          <w:sz w:val="18"/>
          <w:szCs w:val="18"/>
          <w:color w:val="auto"/>
        </w:rPr>
        <w:t>Net sales of furniture and accessories, logistics revenue, cost of furniture and accessories sold, selling, general and administrative (SG&amp;A) expense, other charges and income from operations were as follows for the quarters ended February 24, 2018 and February 25, 2017:</w:t>
      </w:r>
    </w:p>
    <w:p>
      <w:pPr>
        <w:spacing w:after="0" w:line="170" w:lineRule="exact"/>
        <w:rPr>
          <w:sz w:val="20"/>
          <w:szCs w:val="20"/>
          <w:color w:val="auto"/>
        </w:rPr>
      </w:pPr>
    </w:p>
    <w:tbl>
      <w:tblPr>
        <w:tblLayout w:type="fixed"/>
        <w:tblInd w:w="660" w:type="dxa"/>
        <w:tblCellMar>
          <w:top w:w="0" w:type="dxa"/>
          <w:left w:w="0" w:type="dxa"/>
          <w:bottom w:w="0" w:type="dxa"/>
          <w:right w:w="0" w:type="dxa"/>
        </w:tblCellMar>
      </w:tblPr>
      <w:tr>
        <w:trPr>
          <w:trHeight w:val="230"/>
        </w:trPr>
        <w:tc>
          <w:tcPr>
            <w:tcW w:w="20" w:type="dxa"/>
            <w:vAlign w:val="bottom"/>
          </w:tcPr>
          <w:p>
            <w:pPr>
              <w:spacing w:after="0"/>
              <w:rPr>
                <w:sz w:val="19"/>
                <w:szCs w:val="19"/>
                <w:color w:val="auto"/>
              </w:rPr>
            </w:pPr>
          </w:p>
        </w:tc>
        <w:tc>
          <w:tcPr>
            <w:tcW w:w="2940" w:type="dxa"/>
            <w:vAlign w:val="bottom"/>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54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gridSpan w:val="3"/>
          </w:tcPr>
          <w:p>
            <w:pPr>
              <w:jc w:val="right"/>
              <w:ind w:right="20"/>
              <w:spacing w:after="0"/>
              <w:rPr>
                <w:sz w:val="20"/>
                <w:szCs w:val="20"/>
                <w:color w:val="auto"/>
              </w:rPr>
            </w:pPr>
            <w:r>
              <w:rPr>
                <w:rFonts w:ascii="Arial" w:cs="Arial" w:eastAsia="Arial" w:hAnsi="Arial"/>
                <w:sz w:val="18"/>
                <w:szCs w:val="18"/>
                <w:color w:val="auto"/>
                <w:w w:val="88"/>
              </w:rPr>
              <w:t>Quarter Ended</w:t>
            </w:r>
          </w:p>
        </w:tc>
        <w:tc>
          <w:tcPr>
            <w:tcW w:w="138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Change</w:t>
            </w:r>
          </w:p>
        </w:tc>
        <w:tc>
          <w:tcPr>
            <w:tcW w:w="800" w:type="dxa"/>
            <w:vAlign w:val="bottom"/>
            <w:tcBorders>
              <w:bottom w:val="single" w:sz="8" w:color="auto"/>
            </w:tcBorders>
          </w:tcPr>
          <w:p>
            <w:pPr>
              <w:spacing w:after="0"/>
              <w:rPr>
                <w:sz w:val="19"/>
                <w:szCs w:val="19"/>
                <w:color w:val="auto"/>
              </w:rPr>
            </w:pP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2940" w:type="dxa"/>
            <w:vAlign w:val="bottom"/>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15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February 24, 2018</w:t>
            </w:r>
          </w:p>
        </w:tc>
        <w:tc>
          <w:tcPr>
            <w:tcW w:w="58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13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1"/>
              </w:rPr>
              <w:t>February 25, 2017</w:t>
            </w:r>
          </w:p>
        </w:tc>
        <w:tc>
          <w:tcPr>
            <w:tcW w:w="58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240" w:type="dxa"/>
            <w:vAlign w:val="bottom"/>
            <w:tcBorders>
              <w:bottom w:val="single" w:sz="8" w:color="auto"/>
            </w:tcBorders>
          </w:tcPr>
          <w:p>
            <w:pPr>
              <w:jc w:val="right"/>
              <w:ind w:right="550"/>
              <w:spacing w:after="0"/>
              <w:rPr>
                <w:sz w:val="20"/>
                <w:szCs w:val="20"/>
                <w:color w:val="auto"/>
              </w:rPr>
            </w:pPr>
            <w:r>
              <w:rPr>
                <w:rFonts w:ascii="Arial" w:cs="Arial" w:eastAsia="Arial" w:hAnsi="Arial"/>
                <w:sz w:val="18"/>
                <w:szCs w:val="18"/>
                <w:color w:val="auto"/>
              </w:rPr>
              <w:t>Dollars</w:t>
            </w:r>
          </w:p>
        </w:tc>
        <w:tc>
          <w:tcPr>
            <w:tcW w:w="80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Percent</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vMerge w:val="restart"/>
          </w:tcPr>
          <w:p>
            <w:pPr>
              <w:spacing w:after="0"/>
              <w:rPr>
                <w:sz w:val="18"/>
                <w:szCs w:val="18"/>
                <w:color w:val="auto"/>
              </w:rPr>
            </w:pPr>
          </w:p>
        </w:tc>
        <w:tc>
          <w:tcPr>
            <w:tcW w:w="29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vMerge w:val="continue"/>
          </w:tcPr>
          <w:p>
            <w:pPr>
              <w:spacing w:after="0"/>
              <w:rPr>
                <w:sz w:val="18"/>
                <w:szCs w:val="18"/>
                <w:color w:val="auto"/>
              </w:rPr>
            </w:pPr>
          </w:p>
        </w:tc>
        <w:tc>
          <w:tcPr>
            <w:tcW w:w="2940" w:type="dxa"/>
            <w:vAlign w:val="bottom"/>
            <w:shd w:val="clear" w:color="auto" w:fill="CCEEFF"/>
          </w:tcPr>
          <w:p>
            <w:pPr>
              <w:spacing w:after="0"/>
              <w:rPr>
                <w:sz w:val="20"/>
                <w:szCs w:val="20"/>
                <w:color w:val="auto"/>
              </w:rPr>
            </w:pPr>
            <w:r>
              <w:rPr>
                <w:rFonts w:ascii="Arial" w:cs="Arial" w:eastAsia="Arial" w:hAnsi="Arial"/>
                <w:sz w:val="18"/>
                <w:szCs w:val="18"/>
                <w:color w:val="auto"/>
              </w:rPr>
              <w:t>Sales revenue:</w:t>
            </w:r>
          </w:p>
        </w:tc>
        <w:tc>
          <w:tcPr>
            <w:tcW w:w="260" w:type="dxa"/>
            <w:vAlign w:val="bottom"/>
            <w:shd w:val="clear" w:color="auto" w:fill="CCEEFF"/>
          </w:tcPr>
          <w:p>
            <w:pPr>
              <w:spacing w:after="0"/>
              <w:rPr>
                <w:sz w:val="18"/>
                <w:szCs w:val="18"/>
                <w:color w:val="auto"/>
              </w:rPr>
            </w:pPr>
          </w:p>
        </w:tc>
        <w:tc>
          <w:tcPr>
            <w:tcW w:w="154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2940" w:type="dxa"/>
            <w:vAlign w:val="bottom"/>
          </w:tcPr>
          <w:p>
            <w:pPr>
              <w:ind w:left="140"/>
              <w:spacing w:after="0"/>
              <w:rPr>
                <w:sz w:val="20"/>
                <w:szCs w:val="20"/>
                <w:color w:val="auto"/>
              </w:rPr>
            </w:pPr>
            <w:r>
              <w:rPr>
                <w:rFonts w:ascii="Arial" w:cs="Arial" w:eastAsia="Arial" w:hAnsi="Arial"/>
                <w:sz w:val="18"/>
                <w:szCs w:val="18"/>
                <w:color w:val="auto"/>
              </w:rPr>
              <w:t>Furniture and accessories</w:t>
            </w:r>
          </w:p>
        </w:tc>
        <w:tc>
          <w:tcPr>
            <w:tcW w:w="260" w:type="dxa"/>
            <w:vAlign w:val="bottom"/>
          </w:tcPr>
          <w:p>
            <w:pPr>
              <w:jc w:val="right"/>
              <w:ind w:right="70"/>
              <w:spacing w:after="0"/>
              <w:rPr>
                <w:sz w:val="20"/>
                <w:szCs w:val="20"/>
                <w:color w:val="auto"/>
              </w:rPr>
            </w:pPr>
            <w:r>
              <w:rPr>
                <w:rFonts w:ascii="Arial" w:cs="Arial" w:eastAsia="Arial" w:hAnsi="Arial"/>
                <w:sz w:val="18"/>
                <w:szCs w:val="18"/>
                <w:color w:val="auto"/>
                <w:w w:val="79"/>
              </w:rPr>
              <w:t>$</w:t>
            </w:r>
          </w:p>
        </w:tc>
        <w:tc>
          <w:tcPr>
            <w:tcW w:w="1540" w:type="dxa"/>
            <w:vAlign w:val="bottom"/>
          </w:tcPr>
          <w:p>
            <w:pPr>
              <w:jc w:val="right"/>
              <w:ind w:right="690"/>
              <w:spacing w:after="0"/>
              <w:rPr>
                <w:sz w:val="20"/>
                <w:szCs w:val="20"/>
                <w:color w:val="auto"/>
              </w:rPr>
            </w:pPr>
            <w:r>
              <w:rPr>
                <w:rFonts w:ascii="Arial" w:cs="Arial" w:eastAsia="Arial" w:hAnsi="Arial"/>
                <w:sz w:val="18"/>
                <w:szCs w:val="18"/>
                <w:color w:val="auto"/>
              </w:rPr>
              <w:t>96,123</w:t>
            </w:r>
          </w:p>
        </w:tc>
        <w:tc>
          <w:tcPr>
            <w:tcW w:w="580" w:type="dxa"/>
            <w:vAlign w:val="bottom"/>
          </w:tcPr>
          <w:p>
            <w:pPr>
              <w:jc w:val="right"/>
              <w:spacing w:after="0"/>
              <w:rPr>
                <w:sz w:val="20"/>
                <w:szCs w:val="20"/>
                <w:color w:val="auto"/>
              </w:rPr>
            </w:pPr>
            <w:r>
              <w:rPr>
                <w:rFonts w:ascii="Arial" w:cs="Arial" w:eastAsia="Arial" w:hAnsi="Arial"/>
                <w:sz w:val="18"/>
                <w:szCs w:val="18"/>
                <w:color w:val="auto"/>
              </w:rPr>
              <w:t>87.2%</w:t>
            </w:r>
          </w:p>
        </w:tc>
        <w:tc>
          <w:tcPr>
            <w:tcW w:w="50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380" w:type="dxa"/>
            <w:vAlign w:val="bottom"/>
          </w:tcPr>
          <w:p>
            <w:pPr>
              <w:jc w:val="right"/>
              <w:ind w:right="690"/>
              <w:spacing w:after="0"/>
              <w:rPr>
                <w:sz w:val="20"/>
                <w:szCs w:val="20"/>
                <w:color w:val="auto"/>
              </w:rPr>
            </w:pPr>
            <w:r>
              <w:rPr>
                <w:rFonts w:ascii="Arial" w:cs="Arial" w:eastAsia="Arial" w:hAnsi="Arial"/>
                <w:sz w:val="18"/>
                <w:szCs w:val="18"/>
                <w:color w:val="auto"/>
              </w:rPr>
              <w:t>93,698</w:t>
            </w:r>
          </w:p>
        </w:tc>
        <w:tc>
          <w:tcPr>
            <w:tcW w:w="580" w:type="dxa"/>
            <w:vAlign w:val="bottom"/>
          </w:tcPr>
          <w:p>
            <w:pPr>
              <w:jc w:val="right"/>
              <w:spacing w:after="0"/>
              <w:rPr>
                <w:sz w:val="20"/>
                <w:szCs w:val="20"/>
                <w:color w:val="auto"/>
              </w:rPr>
            </w:pPr>
            <w:r>
              <w:rPr>
                <w:rFonts w:ascii="Arial" w:cs="Arial" w:eastAsia="Arial" w:hAnsi="Arial"/>
                <w:sz w:val="18"/>
                <w:szCs w:val="18"/>
                <w:color w:val="auto"/>
              </w:rPr>
              <w:t>88.5%</w:t>
            </w:r>
          </w:p>
        </w:tc>
        <w:tc>
          <w:tcPr>
            <w:tcW w:w="26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240" w:type="dxa"/>
            <w:vAlign w:val="bottom"/>
          </w:tcPr>
          <w:p>
            <w:pPr>
              <w:jc w:val="right"/>
              <w:ind w:right="310"/>
              <w:spacing w:after="0"/>
              <w:rPr>
                <w:sz w:val="20"/>
                <w:szCs w:val="20"/>
                <w:color w:val="auto"/>
              </w:rPr>
            </w:pPr>
            <w:r>
              <w:rPr>
                <w:rFonts w:ascii="Arial" w:cs="Arial" w:eastAsia="Arial" w:hAnsi="Arial"/>
                <w:sz w:val="18"/>
                <w:szCs w:val="18"/>
                <w:color w:val="auto"/>
              </w:rPr>
              <w:t>2,425</w:t>
            </w: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2.6%</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2940" w:type="dxa"/>
            <w:vAlign w:val="bottom"/>
            <w:vMerge w:val="restart"/>
            <w:shd w:val="clear" w:color="auto" w:fill="CCEEFF"/>
          </w:tcPr>
          <w:p>
            <w:pPr>
              <w:ind w:left="140"/>
              <w:spacing w:after="0"/>
              <w:rPr>
                <w:sz w:val="20"/>
                <w:szCs w:val="20"/>
                <w:color w:val="auto"/>
              </w:rPr>
            </w:pPr>
            <w:r>
              <w:rPr>
                <w:rFonts w:ascii="Arial" w:cs="Arial" w:eastAsia="Arial" w:hAnsi="Arial"/>
                <w:sz w:val="18"/>
                <w:szCs w:val="18"/>
                <w:color w:val="auto"/>
              </w:rPr>
              <w:t>Logistics revenue</w:t>
            </w:r>
          </w:p>
        </w:tc>
        <w:tc>
          <w:tcPr>
            <w:tcW w:w="260" w:type="dxa"/>
            <w:vAlign w:val="bottom"/>
            <w:shd w:val="clear" w:color="auto" w:fill="CCEEFF"/>
          </w:tcPr>
          <w:p>
            <w:pPr>
              <w:spacing w:after="0"/>
              <w:rPr>
                <w:sz w:val="14"/>
                <w:szCs w:val="14"/>
                <w:color w:val="auto"/>
              </w:rPr>
            </w:pPr>
          </w:p>
        </w:tc>
        <w:tc>
          <w:tcPr>
            <w:tcW w:w="1540" w:type="dxa"/>
            <w:vAlign w:val="bottom"/>
            <w:vMerge w:val="restart"/>
            <w:shd w:val="clear" w:color="auto" w:fill="CCEEFF"/>
          </w:tcPr>
          <w:p>
            <w:pPr>
              <w:jc w:val="right"/>
              <w:ind w:right="690"/>
              <w:spacing w:after="0"/>
              <w:rPr>
                <w:sz w:val="20"/>
                <w:szCs w:val="20"/>
                <w:color w:val="auto"/>
              </w:rPr>
            </w:pPr>
            <w:r>
              <w:rPr>
                <w:rFonts w:ascii="Arial" w:cs="Arial" w:eastAsia="Arial" w:hAnsi="Arial"/>
                <w:sz w:val="18"/>
                <w:szCs w:val="18"/>
                <w:color w:val="auto"/>
              </w:rPr>
              <w:t>14,149</w:t>
            </w:r>
          </w:p>
        </w:tc>
        <w:tc>
          <w:tcPr>
            <w:tcW w:w="58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12.8%</w:t>
            </w:r>
          </w:p>
        </w:tc>
        <w:tc>
          <w:tcPr>
            <w:tcW w:w="100" w:type="dxa"/>
            <w:vAlign w:val="bottom"/>
            <w:shd w:val="clear" w:color="auto" w:fill="CCEEFF"/>
          </w:tcPr>
          <w:p>
            <w:pPr>
              <w:spacing w:after="0"/>
              <w:rPr>
                <w:sz w:val="14"/>
                <w:szCs w:val="14"/>
                <w:color w:val="auto"/>
              </w:rPr>
            </w:pPr>
          </w:p>
        </w:tc>
        <w:tc>
          <w:tcPr>
            <w:tcW w:w="400" w:type="dxa"/>
            <w:vAlign w:val="bottom"/>
            <w:shd w:val="clear" w:color="auto" w:fill="CCEEFF"/>
          </w:tcPr>
          <w:p>
            <w:pPr>
              <w:spacing w:after="0"/>
              <w:rPr>
                <w:sz w:val="14"/>
                <w:szCs w:val="14"/>
                <w:color w:val="auto"/>
              </w:rPr>
            </w:pPr>
          </w:p>
        </w:tc>
        <w:tc>
          <w:tcPr>
            <w:tcW w:w="1380" w:type="dxa"/>
            <w:vAlign w:val="bottom"/>
            <w:vMerge w:val="restart"/>
            <w:shd w:val="clear" w:color="auto" w:fill="CCEEFF"/>
          </w:tcPr>
          <w:p>
            <w:pPr>
              <w:jc w:val="right"/>
              <w:ind w:right="690"/>
              <w:spacing w:after="0"/>
              <w:rPr>
                <w:sz w:val="20"/>
                <w:szCs w:val="20"/>
                <w:color w:val="auto"/>
              </w:rPr>
            </w:pPr>
            <w:r>
              <w:rPr>
                <w:rFonts w:ascii="Arial" w:cs="Arial" w:eastAsia="Arial" w:hAnsi="Arial"/>
                <w:sz w:val="18"/>
                <w:szCs w:val="18"/>
                <w:color w:val="auto"/>
              </w:rPr>
              <w:t>12,194</w:t>
            </w:r>
          </w:p>
        </w:tc>
        <w:tc>
          <w:tcPr>
            <w:tcW w:w="58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11.5%</w:t>
            </w:r>
          </w:p>
        </w:tc>
        <w:tc>
          <w:tcPr>
            <w:tcW w:w="1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240" w:type="dxa"/>
            <w:vAlign w:val="bottom"/>
            <w:vMerge w:val="restart"/>
            <w:shd w:val="clear" w:color="auto" w:fill="CCEEFF"/>
          </w:tcPr>
          <w:p>
            <w:pPr>
              <w:jc w:val="right"/>
              <w:ind w:right="310"/>
              <w:spacing w:after="0"/>
              <w:rPr>
                <w:sz w:val="20"/>
                <w:szCs w:val="20"/>
                <w:color w:val="auto"/>
              </w:rPr>
            </w:pPr>
            <w:r>
              <w:rPr>
                <w:rFonts w:ascii="Arial" w:cs="Arial" w:eastAsia="Arial" w:hAnsi="Arial"/>
                <w:sz w:val="18"/>
                <w:szCs w:val="18"/>
                <w:color w:val="auto"/>
              </w:rPr>
              <w:t>1,955</w:t>
            </w:r>
          </w:p>
        </w:tc>
        <w:tc>
          <w:tcPr>
            <w:tcW w:w="960" w:type="dxa"/>
            <w:vAlign w:val="bottom"/>
            <w:gridSpan w:val="2"/>
            <w:shd w:val="clear" w:color="auto" w:fill="CCEEFF"/>
          </w:tcPr>
          <w:p>
            <w:pPr>
              <w:jc w:val="right"/>
              <w:spacing w:after="0" w:line="162" w:lineRule="exact"/>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2940" w:type="dxa"/>
            <w:vAlign w:val="bottom"/>
            <w:tcBorders>
              <w:bottom w:val="single" w:sz="8" w:color="CCEEFF"/>
            </w:tcBorders>
            <w:vMerge w:val="continue"/>
            <w:shd w:val="clear" w:color="auto" w:fill="CCEEFF"/>
          </w:tcPr>
          <w:p>
            <w:pPr>
              <w:spacing w:after="0"/>
              <w:rPr>
                <w:sz w:val="5"/>
                <w:szCs w:val="5"/>
                <w:color w:val="auto"/>
              </w:rPr>
            </w:pPr>
          </w:p>
        </w:tc>
        <w:tc>
          <w:tcPr>
            <w:tcW w:w="260" w:type="dxa"/>
            <w:vAlign w:val="bottom"/>
            <w:tcBorders>
              <w:bottom w:val="single" w:sz="8" w:color="auto"/>
            </w:tcBorders>
            <w:shd w:val="clear" w:color="auto" w:fill="CCEEFF"/>
          </w:tcPr>
          <w:p>
            <w:pPr>
              <w:spacing w:after="0"/>
              <w:rPr>
                <w:sz w:val="5"/>
                <w:szCs w:val="5"/>
                <w:color w:val="auto"/>
              </w:rPr>
            </w:pPr>
          </w:p>
        </w:tc>
        <w:tc>
          <w:tcPr>
            <w:tcW w:w="1540" w:type="dxa"/>
            <w:vAlign w:val="bottom"/>
            <w:tcBorders>
              <w:bottom w:val="single" w:sz="8" w:color="auto"/>
            </w:tcBorders>
            <w:vMerge w:val="continue"/>
            <w:shd w:val="clear" w:color="auto" w:fill="CCEEFF"/>
          </w:tcPr>
          <w:p>
            <w:pPr>
              <w:spacing w:after="0"/>
              <w:rPr>
                <w:sz w:val="5"/>
                <w:szCs w:val="5"/>
                <w:color w:val="auto"/>
              </w:rPr>
            </w:pPr>
          </w:p>
        </w:tc>
        <w:tc>
          <w:tcPr>
            <w:tcW w:w="580" w:type="dxa"/>
            <w:vAlign w:val="bottom"/>
            <w:tcBorders>
              <w:bottom w:val="single" w:sz="8" w:color="auto"/>
            </w:tcBorders>
            <w:vMerge w:val="continue"/>
            <w:shd w:val="clear" w:color="auto" w:fill="CCEEFF"/>
          </w:tcPr>
          <w:p>
            <w:pPr>
              <w:spacing w:after="0"/>
              <w:rPr>
                <w:sz w:val="5"/>
                <w:szCs w:val="5"/>
                <w:color w:val="auto"/>
              </w:rPr>
            </w:pPr>
          </w:p>
        </w:tc>
        <w:tc>
          <w:tcPr>
            <w:tcW w:w="100" w:type="dxa"/>
            <w:vAlign w:val="bottom"/>
            <w:tcBorders>
              <w:bottom w:val="single" w:sz="8" w:color="CCEEFF"/>
            </w:tcBorders>
            <w:shd w:val="clear" w:color="auto" w:fill="CCEEFF"/>
          </w:tcPr>
          <w:p>
            <w:pPr>
              <w:spacing w:after="0"/>
              <w:rPr>
                <w:sz w:val="5"/>
                <w:szCs w:val="5"/>
                <w:color w:val="auto"/>
              </w:rPr>
            </w:pPr>
          </w:p>
        </w:tc>
        <w:tc>
          <w:tcPr>
            <w:tcW w:w="400" w:type="dxa"/>
            <w:vAlign w:val="bottom"/>
            <w:tcBorders>
              <w:bottom w:val="single" w:sz="8" w:color="auto"/>
            </w:tcBorders>
            <w:shd w:val="clear" w:color="auto" w:fill="CCEEFF"/>
          </w:tcPr>
          <w:p>
            <w:pPr>
              <w:spacing w:after="0"/>
              <w:rPr>
                <w:sz w:val="5"/>
                <w:szCs w:val="5"/>
                <w:color w:val="auto"/>
              </w:rPr>
            </w:pPr>
          </w:p>
        </w:tc>
        <w:tc>
          <w:tcPr>
            <w:tcW w:w="1380" w:type="dxa"/>
            <w:vAlign w:val="bottom"/>
            <w:tcBorders>
              <w:bottom w:val="single" w:sz="8" w:color="auto"/>
            </w:tcBorders>
            <w:vMerge w:val="continue"/>
            <w:shd w:val="clear" w:color="auto" w:fill="CCEEFF"/>
          </w:tcPr>
          <w:p>
            <w:pPr>
              <w:spacing w:after="0"/>
              <w:rPr>
                <w:sz w:val="5"/>
                <w:szCs w:val="5"/>
                <w:color w:val="auto"/>
              </w:rPr>
            </w:pPr>
          </w:p>
        </w:tc>
        <w:tc>
          <w:tcPr>
            <w:tcW w:w="580" w:type="dxa"/>
            <w:vAlign w:val="bottom"/>
            <w:tcBorders>
              <w:bottom w:val="single" w:sz="8" w:color="auto"/>
            </w:tcBorders>
            <w:vMerge w:val="continue"/>
            <w:shd w:val="clear" w:color="auto" w:fill="CCEEFF"/>
          </w:tcPr>
          <w:p>
            <w:pPr>
              <w:spacing w:after="0"/>
              <w:rPr>
                <w:sz w:val="5"/>
                <w:szCs w:val="5"/>
                <w:color w:val="auto"/>
              </w:rPr>
            </w:pPr>
          </w:p>
        </w:tc>
        <w:tc>
          <w:tcPr>
            <w:tcW w:w="100" w:type="dxa"/>
            <w:vAlign w:val="bottom"/>
            <w:tcBorders>
              <w:bottom w:val="single" w:sz="8" w:color="CCEEFF"/>
            </w:tcBorders>
            <w:shd w:val="clear" w:color="auto" w:fill="CCEEFF"/>
          </w:tcPr>
          <w:p>
            <w:pPr>
              <w:spacing w:after="0"/>
              <w:rPr>
                <w:sz w:val="5"/>
                <w:szCs w:val="5"/>
                <w:color w:val="auto"/>
              </w:rPr>
            </w:pPr>
          </w:p>
        </w:tc>
        <w:tc>
          <w:tcPr>
            <w:tcW w:w="160" w:type="dxa"/>
            <w:vAlign w:val="bottom"/>
            <w:tcBorders>
              <w:bottom w:val="single" w:sz="8" w:color="auto"/>
            </w:tcBorders>
            <w:shd w:val="clear" w:color="auto" w:fill="CCEEFF"/>
          </w:tcPr>
          <w:p>
            <w:pPr>
              <w:spacing w:after="0"/>
              <w:rPr>
                <w:sz w:val="5"/>
                <w:szCs w:val="5"/>
                <w:color w:val="auto"/>
              </w:rPr>
            </w:pPr>
          </w:p>
        </w:tc>
        <w:tc>
          <w:tcPr>
            <w:tcW w:w="1240" w:type="dxa"/>
            <w:vAlign w:val="bottom"/>
            <w:tcBorders>
              <w:bottom w:val="single" w:sz="8" w:color="auto"/>
            </w:tcBorders>
            <w:vMerge w:val="continue"/>
            <w:shd w:val="clear" w:color="auto" w:fill="CCEEFF"/>
          </w:tcPr>
          <w:p>
            <w:pPr>
              <w:spacing w:after="0"/>
              <w:rPr>
                <w:sz w:val="5"/>
                <w:szCs w:val="5"/>
                <w:color w:val="auto"/>
              </w:rPr>
            </w:pPr>
          </w:p>
        </w:tc>
        <w:tc>
          <w:tcPr>
            <w:tcW w:w="960" w:type="dxa"/>
            <w:vAlign w:val="bottom"/>
            <w:tcBorders>
              <w:bottom w:val="single" w:sz="8" w:color="auto"/>
            </w:tcBorders>
            <w:gridSpan w:val="2"/>
            <w:shd w:val="clear" w:color="auto" w:fill="CCEEFF"/>
          </w:tcPr>
          <w:p>
            <w:pPr>
              <w:jc w:val="right"/>
              <w:ind w:right="160"/>
              <w:spacing w:after="0" w:line="68" w:lineRule="exact"/>
              <w:rPr>
                <w:sz w:val="20"/>
                <w:szCs w:val="20"/>
                <w:color w:val="auto"/>
              </w:rPr>
            </w:pPr>
            <w:r>
              <w:rPr>
                <w:rFonts w:ascii="Arial" w:cs="Arial" w:eastAsia="Arial" w:hAnsi="Arial"/>
                <w:sz w:val="7"/>
                <w:szCs w:val="7"/>
                <w:color w:val="auto"/>
              </w:rPr>
              <w:t>16.0</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2940" w:type="dxa"/>
            <w:vAlign w:val="bottom"/>
          </w:tcPr>
          <w:p>
            <w:pPr>
              <w:ind w:left="300"/>
              <w:spacing w:after="0"/>
              <w:rPr>
                <w:sz w:val="20"/>
                <w:szCs w:val="20"/>
                <w:color w:val="auto"/>
              </w:rPr>
            </w:pPr>
            <w:r>
              <w:rPr>
                <w:rFonts w:ascii="Arial" w:cs="Arial" w:eastAsia="Arial" w:hAnsi="Arial"/>
                <w:sz w:val="18"/>
                <w:szCs w:val="18"/>
                <w:color w:val="auto"/>
              </w:rPr>
              <w:t>Total sales revenue</w:t>
            </w:r>
          </w:p>
        </w:tc>
        <w:tc>
          <w:tcPr>
            <w:tcW w:w="260" w:type="dxa"/>
            <w:vAlign w:val="bottom"/>
          </w:tcPr>
          <w:p>
            <w:pPr>
              <w:spacing w:after="0"/>
              <w:rPr>
                <w:sz w:val="18"/>
                <w:szCs w:val="18"/>
                <w:color w:val="auto"/>
              </w:rPr>
            </w:pPr>
          </w:p>
        </w:tc>
        <w:tc>
          <w:tcPr>
            <w:tcW w:w="1540" w:type="dxa"/>
            <w:vAlign w:val="bottom"/>
          </w:tcPr>
          <w:p>
            <w:pPr>
              <w:jc w:val="right"/>
              <w:ind w:right="690"/>
              <w:spacing w:after="0"/>
              <w:rPr>
                <w:sz w:val="20"/>
                <w:szCs w:val="20"/>
                <w:color w:val="auto"/>
              </w:rPr>
            </w:pPr>
            <w:r>
              <w:rPr>
                <w:rFonts w:ascii="Arial" w:cs="Arial" w:eastAsia="Arial" w:hAnsi="Arial"/>
                <w:sz w:val="18"/>
                <w:szCs w:val="18"/>
                <w:color w:val="auto"/>
              </w:rPr>
              <w:t>110,272</w:t>
            </w:r>
          </w:p>
        </w:tc>
        <w:tc>
          <w:tcPr>
            <w:tcW w:w="580" w:type="dxa"/>
            <w:vAlign w:val="bottom"/>
          </w:tcPr>
          <w:p>
            <w:pPr>
              <w:jc w:val="right"/>
              <w:spacing w:after="0"/>
              <w:rPr>
                <w:sz w:val="20"/>
                <w:szCs w:val="20"/>
                <w:color w:val="auto"/>
              </w:rPr>
            </w:pPr>
            <w:r>
              <w:rPr>
                <w:rFonts w:ascii="Arial" w:cs="Arial" w:eastAsia="Arial" w:hAnsi="Arial"/>
                <w:sz w:val="18"/>
                <w:szCs w:val="18"/>
                <w:color w:val="auto"/>
                <w:w w:val="88"/>
              </w:rPr>
              <w:t>100.0%</w:t>
            </w: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380" w:type="dxa"/>
            <w:vAlign w:val="bottom"/>
          </w:tcPr>
          <w:p>
            <w:pPr>
              <w:jc w:val="right"/>
              <w:ind w:right="690"/>
              <w:spacing w:after="0"/>
              <w:rPr>
                <w:sz w:val="20"/>
                <w:szCs w:val="20"/>
                <w:color w:val="auto"/>
              </w:rPr>
            </w:pPr>
            <w:r>
              <w:rPr>
                <w:rFonts w:ascii="Arial" w:cs="Arial" w:eastAsia="Arial" w:hAnsi="Arial"/>
                <w:sz w:val="18"/>
                <w:szCs w:val="18"/>
                <w:color w:val="auto"/>
                <w:w w:val="89"/>
              </w:rPr>
              <w:t>105,892</w:t>
            </w:r>
          </w:p>
        </w:tc>
        <w:tc>
          <w:tcPr>
            <w:tcW w:w="580" w:type="dxa"/>
            <w:vAlign w:val="bottom"/>
          </w:tcPr>
          <w:p>
            <w:pPr>
              <w:jc w:val="right"/>
              <w:spacing w:after="0"/>
              <w:rPr>
                <w:sz w:val="20"/>
                <w:szCs w:val="20"/>
                <w:color w:val="auto"/>
              </w:rPr>
            </w:pPr>
            <w:r>
              <w:rPr>
                <w:rFonts w:ascii="Arial" w:cs="Arial" w:eastAsia="Arial" w:hAnsi="Arial"/>
                <w:sz w:val="18"/>
                <w:szCs w:val="18"/>
                <w:color w:val="auto"/>
                <w:w w:val="88"/>
              </w:rPr>
              <w:t>100.0%</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40" w:type="dxa"/>
            <w:vAlign w:val="bottom"/>
          </w:tcPr>
          <w:p>
            <w:pPr>
              <w:jc w:val="right"/>
              <w:ind w:right="310"/>
              <w:spacing w:after="0"/>
              <w:rPr>
                <w:sz w:val="20"/>
                <w:szCs w:val="20"/>
                <w:color w:val="auto"/>
              </w:rPr>
            </w:pPr>
            <w:r>
              <w:rPr>
                <w:rFonts w:ascii="Arial" w:cs="Arial" w:eastAsia="Arial" w:hAnsi="Arial"/>
                <w:sz w:val="18"/>
                <w:szCs w:val="18"/>
                <w:color w:val="auto"/>
              </w:rPr>
              <w:t>4,380</w:t>
            </w: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4.1%</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2940" w:type="dxa"/>
            <w:vAlign w:val="bottom"/>
            <w:shd w:val="clear" w:color="auto" w:fill="CCEEFF"/>
          </w:tcPr>
          <w:p>
            <w:pPr>
              <w:spacing w:after="0"/>
              <w:rPr>
                <w:sz w:val="20"/>
                <w:szCs w:val="20"/>
                <w:color w:val="auto"/>
              </w:rPr>
            </w:pPr>
            <w:r>
              <w:rPr>
                <w:rFonts w:ascii="Arial" w:cs="Arial" w:eastAsia="Arial" w:hAnsi="Arial"/>
                <w:sz w:val="18"/>
                <w:szCs w:val="18"/>
                <w:color w:val="auto"/>
                <w:w w:val="96"/>
              </w:rPr>
              <w:t>Cost of furniture and accessories sold</w:t>
            </w:r>
          </w:p>
        </w:tc>
        <w:tc>
          <w:tcPr>
            <w:tcW w:w="260" w:type="dxa"/>
            <w:vAlign w:val="bottom"/>
            <w:shd w:val="clear" w:color="auto" w:fill="CCEEFF"/>
          </w:tcPr>
          <w:p>
            <w:pPr>
              <w:spacing w:after="0"/>
              <w:rPr>
                <w:sz w:val="18"/>
                <w:szCs w:val="18"/>
                <w:color w:val="auto"/>
              </w:rPr>
            </w:pPr>
          </w:p>
        </w:tc>
        <w:tc>
          <w:tcPr>
            <w:tcW w:w="1540" w:type="dxa"/>
            <w:vAlign w:val="bottom"/>
            <w:shd w:val="clear" w:color="auto" w:fill="CCEEFF"/>
          </w:tcPr>
          <w:p>
            <w:pPr>
              <w:jc w:val="right"/>
              <w:ind w:right="690"/>
              <w:spacing w:after="0"/>
              <w:rPr>
                <w:sz w:val="20"/>
                <w:szCs w:val="20"/>
                <w:color w:val="auto"/>
              </w:rPr>
            </w:pPr>
            <w:r>
              <w:rPr>
                <w:rFonts w:ascii="Arial" w:cs="Arial" w:eastAsia="Arial" w:hAnsi="Arial"/>
                <w:sz w:val="18"/>
                <w:szCs w:val="18"/>
                <w:color w:val="auto"/>
              </w:rPr>
              <w:t>43,269</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39.2%</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380" w:type="dxa"/>
            <w:vAlign w:val="bottom"/>
            <w:shd w:val="clear" w:color="auto" w:fill="CCEEFF"/>
          </w:tcPr>
          <w:p>
            <w:pPr>
              <w:jc w:val="right"/>
              <w:ind w:right="690"/>
              <w:spacing w:after="0"/>
              <w:rPr>
                <w:sz w:val="20"/>
                <w:szCs w:val="20"/>
                <w:color w:val="auto"/>
              </w:rPr>
            </w:pPr>
            <w:r>
              <w:rPr>
                <w:rFonts w:ascii="Arial" w:cs="Arial" w:eastAsia="Arial" w:hAnsi="Arial"/>
                <w:sz w:val="18"/>
                <w:szCs w:val="18"/>
                <w:color w:val="auto"/>
              </w:rPr>
              <w:t>41,898</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39.6%</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40" w:type="dxa"/>
            <w:vAlign w:val="bottom"/>
            <w:shd w:val="clear" w:color="auto" w:fill="CCEEFF"/>
          </w:tcPr>
          <w:p>
            <w:pPr>
              <w:jc w:val="right"/>
              <w:ind w:right="310"/>
              <w:spacing w:after="0"/>
              <w:rPr>
                <w:sz w:val="20"/>
                <w:szCs w:val="20"/>
                <w:color w:val="auto"/>
              </w:rPr>
            </w:pPr>
            <w:r>
              <w:rPr>
                <w:rFonts w:ascii="Arial" w:cs="Arial" w:eastAsia="Arial" w:hAnsi="Arial"/>
                <w:sz w:val="18"/>
                <w:szCs w:val="18"/>
                <w:color w:val="auto"/>
              </w:rPr>
              <w:t>1,371</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3.3%</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2940" w:type="dxa"/>
            <w:vAlign w:val="bottom"/>
          </w:tcPr>
          <w:p>
            <w:pPr>
              <w:spacing w:after="0"/>
              <w:rPr>
                <w:sz w:val="20"/>
                <w:szCs w:val="20"/>
                <w:color w:val="auto"/>
              </w:rPr>
            </w:pPr>
            <w:r>
              <w:rPr>
                <w:rFonts w:ascii="Arial" w:cs="Arial" w:eastAsia="Arial" w:hAnsi="Arial"/>
                <w:sz w:val="18"/>
                <w:szCs w:val="18"/>
                <w:color w:val="auto"/>
              </w:rPr>
              <w:t>SG&amp;A expenses</w:t>
            </w:r>
          </w:p>
        </w:tc>
        <w:tc>
          <w:tcPr>
            <w:tcW w:w="260" w:type="dxa"/>
            <w:vAlign w:val="bottom"/>
          </w:tcPr>
          <w:p>
            <w:pPr>
              <w:spacing w:after="0"/>
              <w:rPr>
                <w:sz w:val="18"/>
                <w:szCs w:val="18"/>
                <w:color w:val="auto"/>
              </w:rPr>
            </w:pPr>
          </w:p>
        </w:tc>
        <w:tc>
          <w:tcPr>
            <w:tcW w:w="1540" w:type="dxa"/>
            <w:vAlign w:val="bottom"/>
          </w:tcPr>
          <w:p>
            <w:pPr>
              <w:jc w:val="right"/>
              <w:ind w:right="690"/>
              <w:spacing w:after="0"/>
              <w:rPr>
                <w:sz w:val="20"/>
                <w:szCs w:val="20"/>
                <w:color w:val="auto"/>
              </w:rPr>
            </w:pPr>
            <w:r>
              <w:rPr>
                <w:rFonts w:ascii="Arial" w:cs="Arial" w:eastAsia="Arial" w:hAnsi="Arial"/>
                <w:sz w:val="18"/>
                <w:szCs w:val="18"/>
                <w:color w:val="auto"/>
              </w:rPr>
              <w:t>64,251</w:t>
            </w:r>
          </w:p>
        </w:tc>
        <w:tc>
          <w:tcPr>
            <w:tcW w:w="580" w:type="dxa"/>
            <w:vAlign w:val="bottom"/>
          </w:tcPr>
          <w:p>
            <w:pPr>
              <w:jc w:val="right"/>
              <w:spacing w:after="0"/>
              <w:rPr>
                <w:sz w:val="20"/>
                <w:szCs w:val="20"/>
                <w:color w:val="auto"/>
              </w:rPr>
            </w:pPr>
            <w:r>
              <w:rPr>
                <w:rFonts w:ascii="Arial" w:cs="Arial" w:eastAsia="Arial" w:hAnsi="Arial"/>
                <w:sz w:val="18"/>
                <w:szCs w:val="18"/>
                <w:color w:val="auto"/>
              </w:rPr>
              <w:t>58.3%</w:t>
            </w: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380" w:type="dxa"/>
            <w:vAlign w:val="bottom"/>
          </w:tcPr>
          <w:p>
            <w:pPr>
              <w:jc w:val="right"/>
              <w:ind w:right="690"/>
              <w:spacing w:after="0"/>
              <w:rPr>
                <w:sz w:val="20"/>
                <w:szCs w:val="20"/>
                <w:color w:val="auto"/>
              </w:rPr>
            </w:pPr>
            <w:r>
              <w:rPr>
                <w:rFonts w:ascii="Arial" w:cs="Arial" w:eastAsia="Arial" w:hAnsi="Arial"/>
                <w:sz w:val="18"/>
                <w:szCs w:val="18"/>
                <w:color w:val="auto"/>
              </w:rPr>
              <w:t>58,524</w:t>
            </w:r>
          </w:p>
        </w:tc>
        <w:tc>
          <w:tcPr>
            <w:tcW w:w="580" w:type="dxa"/>
            <w:vAlign w:val="bottom"/>
          </w:tcPr>
          <w:p>
            <w:pPr>
              <w:jc w:val="right"/>
              <w:spacing w:after="0"/>
              <w:rPr>
                <w:sz w:val="20"/>
                <w:szCs w:val="20"/>
                <w:color w:val="auto"/>
              </w:rPr>
            </w:pPr>
            <w:r>
              <w:rPr>
                <w:rFonts w:ascii="Arial" w:cs="Arial" w:eastAsia="Arial" w:hAnsi="Arial"/>
                <w:sz w:val="18"/>
                <w:szCs w:val="18"/>
                <w:color w:val="auto"/>
              </w:rPr>
              <w:t>55.3%</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40" w:type="dxa"/>
            <w:vAlign w:val="bottom"/>
          </w:tcPr>
          <w:p>
            <w:pPr>
              <w:jc w:val="right"/>
              <w:ind w:right="310"/>
              <w:spacing w:after="0"/>
              <w:rPr>
                <w:sz w:val="20"/>
                <w:szCs w:val="20"/>
                <w:color w:val="auto"/>
              </w:rPr>
            </w:pPr>
            <w:r>
              <w:rPr>
                <w:rFonts w:ascii="Arial" w:cs="Arial" w:eastAsia="Arial" w:hAnsi="Arial"/>
                <w:sz w:val="18"/>
                <w:szCs w:val="18"/>
                <w:color w:val="auto"/>
              </w:rPr>
              <w:t>5,727</w:t>
            </w: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9.8%</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2940" w:type="dxa"/>
            <w:vAlign w:val="bottom"/>
            <w:vMerge w:val="restart"/>
            <w:shd w:val="clear" w:color="auto" w:fill="CCEEFF"/>
          </w:tcPr>
          <w:p>
            <w:pPr>
              <w:spacing w:after="0"/>
              <w:rPr>
                <w:sz w:val="20"/>
                <w:szCs w:val="20"/>
                <w:color w:val="auto"/>
              </w:rPr>
            </w:pPr>
            <w:r>
              <w:rPr>
                <w:rFonts w:ascii="Arial" w:cs="Arial" w:eastAsia="Arial" w:hAnsi="Arial"/>
                <w:sz w:val="18"/>
                <w:szCs w:val="18"/>
                <w:color w:val="auto"/>
              </w:rPr>
              <w:t>New store pre-opening costs</w:t>
            </w:r>
          </w:p>
        </w:tc>
        <w:tc>
          <w:tcPr>
            <w:tcW w:w="260" w:type="dxa"/>
            <w:vAlign w:val="bottom"/>
            <w:shd w:val="clear" w:color="auto" w:fill="CCEEFF"/>
          </w:tcPr>
          <w:p>
            <w:pPr>
              <w:spacing w:after="0"/>
              <w:rPr>
                <w:sz w:val="14"/>
                <w:szCs w:val="14"/>
                <w:color w:val="auto"/>
              </w:rPr>
            </w:pPr>
          </w:p>
        </w:tc>
        <w:tc>
          <w:tcPr>
            <w:tcW w:w="1540" w:type="dxa"/>
            <w:vAlign w:val="bottom"/>
            <w:vMerge w:val="restart"/>
            <w:shd w:val="clear" w:color="auto" w:fill="CCEEFF"/>
          </w:tcPr>
          <w:p>
            <w:pPr>
              <w:jc w:val="right"/>
              <w:ind w:right="690"/>
              <w:spacing w:after="0"/>
              <w:rPr>
                <w:sz w:val="20"/>
                <w:szCs w:val="20"/>
                <w:color w:val="auto"/>
              </w:rPr>
            </w:pPr>
            <w:r>
              <w:rPr>
                <w:rFonts w:ascii="Arial" w:cs="Arial" w:eastAsia="Arial" w:hAnsi="Arial"/>
                <w:sz w:val="18"/>
                <w:szCs w:val="18"/>
                <w:color w:val="auto"/>
              </w:rPr>
              <w:t>702</w:t>
            </w:r>
          </w:p>
        </w:tc>
        <w:tc>
          <w:tcPr>
            <w:tcW w:w="58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0.6%</w:t>
            </w:r>
          </w:p>
        </w:tc>
        <w:tc>
          <w:tcPr>
            <w:tcW w:w="100" w:type="dxa"/>
            <w:vAlign w:val="bottom"/>
            <w:shd w:val="clear" w:color="auto" w:fill="CCEEFF"/>
          </w:tcPr>
          <w:p>
            <w:pPr>
              <w:spacing w:after="0"/>
              <w:rPr>
                <w:sz w:val="14"/>
                <w:szCs w:val="14"/>
                <w:color w:val="auto"/>
              </w:rPr>
            </w:pPr>
          </w:p>
        </w:tc>
        <w:tc>
          <w:tcPr>
            <w:tcW w:w="400" w:type="dxa"/>
            <w:vAlign w:val="bottom"/>
            <w:shd w:val="clear" w:color="auto" w:fill="CCEEFF"/>
          </w:tcPr>
          <w:p>
            <w:pPr>
              <w:spacing w:after="0"/>
              <w:rPr>
                <w:sz w:val="14"/>
                <w:szCs w:val="14"/>
                <w:color w:val="auto"/>
              </w:rPr>
            </w:pPr>
          </w:p>
        </w:tc>
        <w:tc>
          <w:tcPr>
            <w:tcW w:w="1380" w:type="dxa"/>
            <w:vAlign w:val="bottom"/>
            <w:vMerge w:val="restart"/>
            <w:shd w:val="clear" w:color="auto" w:fill="CCEEFF"/>
          </w:tcPr>
          <w:p>
            <w:pPr>
              <w:jc w:val="right"/>
              <w:ind w:right="690"/>
              <w:spacing w:after="0"/>
              <w:rPr>
                <w:sz w:val="20"/>
                <w:szCs w:val="20"/>
                <w:color w:val="auto"/>
              </w:rPr>
            </w:pPr>
            <w:r>
              <w:rPr>
                <w:rFonts w:ascii="Arial" w:cs="Arial" w:eastAsia="Arial" w:hAnsi="Arial"/>
                <w:sz w:val="18"/>
                <w:szCs w:val="18"/>
                <w:color w:val="auto"/>
              </w:rPr>
              <w:t>806</w:t>
            </w:r>
          </w:p>
        </w:tc>
        <w:tc>
          <w:tcPr>
            <w:tcW w:w="58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0.8%</w:t>
            </w:r>
          </w:p>
        </w:tc>
        <w:tc>
          <w:tcPr>
            <w:tcW w:w="1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240" w:type="dxa"/>
            <w:vAlign w:val="bottom"/>
            <w:vMerge w:val="restart"/>
            <w:shd w:val="clear" w:color="auto" w:fill="CCEEFF"/>
          </w:tcPr>
          <w:p>
            <w:pPr>
              <w:jc w:val="right"/>
              <w:ind w:right="250"/>
              <w:spacing w:after="0"/>
              <w:rPr>
                <w:sz w:val="20"/>
                <w:szCs w:val="20"/>
                <w:color w:val="auto"/>
              </w:rPr>
            </w:pPr>
            <w:r>
              <w:rPr>
                <w:rFonts w:ascii="Arial" w:cs="Arial" w:eastAsia="Arial" w:hAnsi="Arial"/>
                <w:sz w:val="18"/>
                <w:szCs w:val="18"/>
                <w:color w:val="auto"/>
              </w:rPr>
              <w:t>(104)</w:t>
            </w:r>
          </w:p>
        </w:tc>
        <w:tc>
          <w:tcPr>
            <w:tcW w:w="960" w:type="dxa"/>
            <w:vAlign w:val="bottom"/>
            <w:gridSpan w:val="2"/>
            <w:shd w:val="clear" w:color="auto" w:fill="CCEEFF"/>
          </w:tcPr>
          <w:p>
            <w:pPr>
              <w:jc w:val="right"/>
              <w:spacing w:after="0" w:line="162" w:lineRule="exact"/>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2940" w:type="dxa"/>
            <w:vAlign w:val="bottom"/>
            <w:tcBorders>
              <w:bottom w:val="single" w:sz="8" w:color="CCEEFF"/>
            </w:tcBorders>
            <w:vMerge w:val="continue"/>
            <w:shd w:val="clear" w:color="auto" w:fill="CCEEFF"/>
          </w:tcPr>
          <w:p>
            <w:pPr>
              <w:spacing w:after="0"/>
              <w:rPr>
                <w:sz w:val="5"/>
                <w:szCs w:val="5"/>
                <w:color w:val="auto"/>
              </w:rPr>
            </w:pPr>
          </w:p>
        </w:tc>
        <w:tc>
          <w:tcPr>
            <w:tcW w:w="260" w:type="dxa"/>
            <w:vAlign w:val="bottom"/>
            <w:tcBorders>
              <w:bottom w:val="single" w:sz="8" w:color="auto"/>
            </w:tcBorders>
            <w:shd w:val="clear" w:color="auto" w:fill="CCEEFF"/>
          </w:tcPr>
          <w:p>
            <w:pPr>
              <w:spacing w:after="0"/>
              <w:rPr>
                <w:sz w:val="5"/>
                <w:szCs w:val="5"/>
                <w:color w:val="auto"/>
              </w:rPr>
            </w:pPr>
          </w:p>
        </w:tc>
        <w:tc>
          <w:tcPr>
            <w:tcW w:w="1540" w:type="dxa"/>
            <w:vAlign w:val="bottom"/>
            <w:tcBorders>
              <w:bottom w:val="single" w:sz="8" w:color="auto"/>
            </w:tcBorders>
            <w:vMerge w:val="continue"/>
            <w:shd w:val="clear" w:color="auto" w:fill="CCEEFF"/>
          </w:tcPr>
          <w:p>
            <w:pPr>
              <w:spacing w:after="0"/>
              <w:rPr>
                <w:sz w:val="5"/>
                <w:szCs w:val="5"/>
                <w:color w:val="auto"/>
              </w:rPr>
            </w:pPr>
          </w:p>
        </w:tc>
        <w:tc>
          <w:tcPr>
            <w:tcW w:w="580" w:type="dxa"/>
            <w:vAlign w:val="bottom"/>
            <w:tcBorders>
              <w:bottom w:val="single" w:sz="8" w:color="auto"/>
            </w:tcBorders>
            <w:vMerge w:val="continue"/>
            <w:shd w:val="clear" w:color="auto" w:fill="CCEEFF"/>
          </w:tcPr>
          <w:p>
            <w:pPr>
              <w:spacing w:after="0"/>
              <w:rPr>
                <w:sz w:val="5"/>
                <w:szCs w:val="5"/>
                <w:color w:val="auto"/>
              </w:rPr>
            </w:pPr>
          </w:p>
        </w:tc>
        <w:tc>
          <w:tcPr>
            <w:tcW w:w="100" w:type="dxa"/>
            <w:vAlign w:val="bottom"/>
            <w:tcBorders>
              <w:bottom w:val="single" w:sz="8" w:color="auto"/>
            </w:tcBorders>
            <w:shd w:val="clear" w:color="auto" w:fill="CCEEFF"/>
          </w:tcPr>
          <w:p>
            <w:pPr>
              <w:spacing w:after="0"/>
              <w:rPr>
                <w:sz w:val="5"/>
                <w:szCs w:val="5"/>
                <w:color w:val="auto"/>
              </w:rPr>
            </w:pPr>
          </w:p>
        </w:tc>
        <w:tc>
          <w:tcPr>
            <w:tcW w:w="400" w:type="dxa"/>
            <w:vAlign w:val="bottom"/>
            <w:tcBorders>
              <w:bottom w:val="single" w:sz="8" w:color="auto"/>
            </w:tcBorders>
            <w:shd w:val="clear" w:color="auto" w:fill="CCEEFF"/>
          </w:tcPr>
          <w:p>
            <w:pPr>
              <w:spacing w:after="0"/>
              <w:rPr>
                <w:sz w:val="5"/>
                <w:szCs w:val="5"/>
                <w:color w:val="auto"/>
              </w:rPr>
            </w:pPr>
          </w:p>
        </w:tc>
        <w:tc>
          <w:tcPr>
            <w:tcW w:w="1380" w:type="dxa"/>
            <w:vAlign w:val="bottom"/>
            <w:tcBorders>
              <w:bottom w:val="single" w:sz="8" w:color="auto"/>
            </w:tcBorders>
            <w:vMerge w:val="continue"/>
            <w:shd w:val="clear" w:color="auto" w:fill="CCEEFF"/>
          </w:tcPr>
          <w:p>
            <w:pPr>
              <w:spacing w:after="0"/>
              <w:rPr>
                <w:sz w:val="5"/>
                <w:szCs w:val="5"/>
                <w:color w:val="auto"/>
              </w:rPr>
            </w:pPr>
          </w:p>
        </w:tc>
        <w:tc>
          <w:tcPr>
            <w:tcW w:w="580" w:type="dxa"/>
            <w:vAlign w:val="bottom"/>
            <w:tcBorders>
              <w:bottom w:val="single" w:sz="8" w:color="auto"/>
            </w:tcBorders>
            <w:vMerge w:val="continue"/>
            <w:shd w:val="clear" w:color="auto" w:fill="CCEEFF"/>
          </w:tcPr>
          <w:p>
            <w:pPr>
              <w:spacing w:after="0"/>
              <w:rPr>
                <w:sz w:val="5"/>
                <w:szCs w:val="5"/>
                <w:color w:val="auto"/>
              </w:rPr>
            </w:pPr>
          </w:p>
        </w:tc>
        <w:tc>
          <w:tcPr>
            <w:tcW w:w="100" w:type="dxa"/>
            <w:vAlign w:val="bottom"/>
            <w:tcBorders>
              <w:bottom w:val="single" w:sz="8" w:color="CCEEFF"/>
            </w:tcBorders>
            <w:shd w:val="clear" w:color="auto" w:fill="CCEEFF"/>
          </w:tcPr>
          <w:p>
            <w:pPr>
              <w:spacing w:after="0"/>
              <w:rPr>
                <w:sz w:val="5"/>
                <w:szCs w:val="5"/>
                <w:color w:val="auto"/>
              </w:rPr>
            </w:pPr>
          </w:p>
        </w:tc>
        <w:tc>
          <w:tcPr>
            <w:tcW w:w="160" w:type="dxa"/>
            <w:vAlign w:val="bottom"/>
            <w:tcBorders>
              <w:bottom w:val="single" w:sz="8" w:color="auto"/>
            </w:tcBorders>
            <w:shd w:val="clear" w:color="auto" w:fill="CCEEFF"/>
          </w:tcPr>
          <w:p>
            <w:pPr>
              <w:spacing w:after="0"/>
              <w:rPr>
                <w:sz w:val="5"/>
                <w:szCs w:val="5"/>
                <w:color w:val="auto"/>
              </w:rPr>
            </w:pPr>
          </w:p>
        </w:tc>
        <w:tc>
          <w:tcPr>
            <w:tcW w:w="1240" w:type="dxa"/>
            <w:vAlign w:val="bottom"/>
            <w:tcBorders>
              <w:bottom w:val="single" w:sz="8" w:color="auto"/>
            </w:tcBorders>
            <w:vMerge w:val="continue"/>
            <w:shd w:val="clear" w:color="auto" w:fill="CCEEFF"/>
          </w:tcPr>
          <w:p>
            <w:pPr>
              <w:spacing w:after="0"/>
              <w:rPr>
                <w:sz w:val="5"/>
                <w:szCs w:val="5"/>
                <w:color w:val="auto"/>
              </w:rPr>
            </w:pPr>
          </w:p>
        </w:tc>
        <w:tc>
          <w:tcPr>
            <w:tcW w:w="960" w:type="dxa"/>
            <w:vAlign w:val="bottom"/>
            <w:tcBorders>
              <w:bottom w:val="single" w:sz="8" w:color="auto"/>
            </w:tcBorders>
            <w:gridSpan w:val="2"/>
            <w:shd w:val="clear" w:color="auto" w:fill="CCEEFF"/>
          </w:tcPr>
          <w:p>
            <w:pPr>
              <w:jc w:val="right"/>
              <w:ind w:right="160"/>
              <w:spacing w:after="0" w:line="68" w:lineRule="exact"/>
              <w:rPr>
                <w:sz w:val="20"/>
                <w:szCs w:val="20"/>
                <w:color w:val="auto"/>
              </w:rPr>
            </w:pPr>
            <w:r>
              <w:rPr>
                <w:rFonts w:ascii="Arial" w:cs="Arial" w:eastAsia="Arial" w:hAnsi="Arial"/>
                <w:sz w:val="7"/>
                <w:szCs w:val="7"/>
                <w:color w:val="auto"/>
              </w:rPr>
              <w:t>-12.9</w:t>
            </w:r>
          </w:p>
        </w:tc>
        <w:tc>
          <w:tcPr>
            <w:tcW w:w="0" w:type="dxa"/>
            <w:vAlign w:val="bottom"/>
          </w:tcPr>
          <w:p>
            <w:pPr>
              <w:spacing w:after="0"/>
              <w:rPr>
                <w:sz w:val="1"/>
                <w:szCs w:val="1"/>
                <w:color w:val="auto"/>
              </w:rPr>
            </w:pPr>
          </w:p>
        </w:tc>
      </w:tr>
      <w:tr>
        <w:trPr>
          <w:trHeight w:val="209"/>
        </w:trPr>
        <w:tc>
          <w:tcPr>
            <w:tcW w:w="2960" w:type="dxa"/>
            <w:vAlign w:val="bottom"/>
            <w:gridSpan w:val="2"/>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5"/>
        </w:trPr>
        <w:tc>
          <w:tcPr>
            <w:tcW w:w="20" w:type="dxa"/>
            <w:vAlign w:val="bottom"/>
          </w:tcPr>
          <w:p>
            <w:pPr>
              <w:spacing w:after="0"/>
              <w:rPr>
                <w:sz w:val="20"/>
                <w:szCs w:val="20"/>
                <w:color w:val="auto"/>
              </w:rPr>
            </w:pPr>
          </w:p>
        </w:tc>
        <w:tc>
          <w:tcPr>
            <w:tcW w:w="2940" w:type="dxa"/>
            <w:vAlign w:val="bottom"/>
            <w:shd w:val="clear" w:color="auto" w:fill="CCEEFF"/>
          </w:tcPr>
          <w:p>
            <w:pPr>
              <w:spacing w:after="0"/>
              <w:rPr>
                <w:sz w:val="20"/>
                <w:szCs w:val="20"/>
                <w:color w:val="auto"/>
              </w:rPr>
            </w:pPr>
            <w:r>
              <w:rPr>
                <w:rFonts w:ascii="Arial" w:cs="Arial" w:eastAsia="Arial" w:hAnsi="Arial"/>
                <w:sz w:val="18"/>
                <w:szCs w:val="18"/>
                <w:color w:val="auto"/>
              </w:rPr>
              <w:t>Income from operations</w:t>
            </w:r>
          </w:p>
        </w:tc>
        <w:tc>
          <w:tcPr>
            <w:tcW w:w="2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1540" w:type="dxa"/>
            <w:vAlign w:val="bottom"/>
            <w:shd w:val="clear" w:color="auto" w:fill="CCEEFF"/>
          </w:tcPr>
          <w:p>
            <w:pPr>
              <w:jc w:val="right"/>
              <w:ind w:right="690"/>
              <w:spacing w:after="0"/>
              <w:rPr>
                <w:sz w:val="20"/>
                <w:szCs w:val="20"/>
                <w:color w:val="auto"/>
              </w:rPr>
            </w:pPr>
            <w:r>
              <w:rPr>
                <w:rFonts w:ascii="Arial" w:cs="Arial" w:eastAsia="Arial" w:hAnsi="Arial"/>
                <w:sz w:val="18"/>
                <w:szCs w:val="18"/>
                <w:color w:val="auto"/>
              </w:rPr>
              <w:t>2,050</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w:t>
            </w:r>
          </w:p>
        </w:tc>
        <w:tc>
          <w:tcPr>
            <w:tcW w:w="50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1380" w:type="dxa"/>
            <w:vAlign w:val="bottom"/>
            <w:shd w:val="clear" w:color="auto" w:fill="CCEEFF"/>
          </w:tcPr>
          <w:p>
            <w:pPr>
              <w:jc w:val="right"/>
              <w:ind w:right="690"/>
              <w:spacing w:after="0"/>
              <w:rPr>
                <w:sz w:val="20"/>
                <w:szCs w:val="20"/>
                <w:color w:val="auto"/>
              </w:rPr>
            </w:pPr>
            <w:r>
              <w:rPr>
                <w:rFonts w:ascii="Arial" w:cs="Arial" w:eastAsia="Arial" w:hAnsi="Arial"/>
                <w:sz w:val="18"/>
                <w:szCs w:val="18"/>
                <w:color w:val="auto"/>
              </w:rPr>
              <w:t>4,664</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w:t>
            </w:r>
          </w:p>
        </w:tc>
        <w:tc>
          <w:tcPr>
            <w:tcW w:w="2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240" w:type="dxa"/>
            <w:vAlign w:val="bottom"/>
            <w:shd w:val="clear" w:color="auto" w:fill="CCEEFF"/>
          </w:tcPr>
          <w:p>
            <w:pPr>
              <w:jc w:val="right"/>
              <w:ind w:right="250"/>
              <w:spacing w:after="0"/>
              <w:rPr>
                <w:sz w:val="20"/>
                <w:szCs w:val="20"/>
                <w:color w:val="auto"/>
              </w:rPr>
            </w:pPr>
            <w:r>
              <w:rPr>
                <w:rFonts w:ascii="Arial" w:cs="Arial" w:eastAsia="Arial" w:hAnsi="Arial"/>
                <w:sz w:val="18"/>
                <w:szCs w:val="18"/>
                <w:color w:val="auto"/>
              </w:rPr>
              <w:t>(2,614)</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-56.0%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940" w:type="dxa"/>
            <w:vAlign w:val="bottom"/>
            <w:tcBorders>
              <w:top w:val="single" w:sz="8" w:color="CCEEFF"/>
            </w:tcBorders>
            <w:shd w:val="clear" w:color="auto" w:fill="CCEEFF"/>
          </w:tcPr>
          <w:p>
            <w:pPr>
              <w:spacing w:after="0" w:line="20" w:lineRule="exact"/>
              <w:rPr>
                <w:sz w:val="1"/>
                <w:szCs w:val="1"/>
                <w:color w:val="auto"/>
              </w:rPr>
            </w:pPr>
          </w:p>
        </w:tc>
        <w:tc>
          <w:tcPr>
            <w:tcW w:w="260" w:type="dxa"/>
            <w:vAlign w:val="bottom"/>
            <w:tcBorders>
              <w:top w:val="single" w:sz="8" w:color="auto"/>
            </w:tcBorders>
            <w:shd w:val="clear" w:color="auto" w:fill="000000"/>
          </w:tcPr>
          <w:p>
            <w:pPr>
              <w:spacing w:after="0" w:line="20" w:lineRule="exact"/>
              <w:rPr>
                <w:sz w:val="1"/>
                <w:szCs w:val="1"/>
                <w:color w:val="auto"/>
              </w:rPr>
            </w:pPr>
          </w:p>
        </w:tc>
        <w:tc>
          <w:tcPr>
            <w:tcW w:w="1540" w:type="dxa"/>
            <w:vAlign w:val="bottom"/>
            <w:tcBorders>
              <w:top w:val="single" w:sz="8" w:color="auto"/>
            </w:tcBorders>
            <w:shd w:val="clear" w:color="auto" w:fill="000000"/>
          </w:tcPr>
          <w:p>
            <w:pPr>
              <w:spacing w:after="0" w:line="20" w:lineRule="exact"/>
              <w:rPr>
                <w:sz w:val="1"/>
                <w:szCs w:val="1"/>
                <w:color w:val="auto"/>
              </w:rPr>
            </w:pPr>
          </w:p>
        </w:tc>
        <w:tc>
          <w:tcPr>
            <w:tcW w:w="58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400" w:type="dxa"/>
            <w:vAlign w:val="bottom"/>
            <w:tcBorders>
              <w:top w:val="single" w:sz="8" w:color="auto"/>
            </w:tcBorders>
            <w:shd w:val="clear" w:color="auto" w:fill="000000"/>
          </w:tcPr>
          <w:p>
            <w:pPr>
              <w:spacing w:after="0" w:line="20" w:lineRule="exact"/>
              <w:rPr>
                <w:sz w:val="1"/>
                <w:szCs w:val="1"/>
                <w:color w:val="auto"/>
              </w:rPr>
            </w:pPr>
          </w:p>
        </w:tc>
        <w:tc>
          <w:tcPr>
            <w:tcW w:w="1380" w:type="dxa"/>
            <w:vAlign w:val="bottom"/>
            <w:tcBorders>
              <w:top w:val="single" w:sz="8" w:color="auto"/>
            </w:tcBorders>
            <w:shd w:val="clear" w:color="auto" w:fill="000000"/>
          </w:tcPr>
          <w:p>
            <w:pPr>
              <w:spacing w:after="0" w:line="20" w:lineRule="exact"/>
              <w:rPr>
                <w:sz w:val="1"/>
                <w:szCs w:val="1"/>
                <w:color w:val="auto"/>
              </w:rPr>
            </w:pPr>
          </w:p>
        </w:tc>
        <w:tc>
          <w:tcPr>
            <w:tcW w:w="58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auto"/>
            </w:tcBorders>
            <w:shd w:val="clear" w:color="auto" w:fill="000000"/>
          </w:tcPr>
          <w:p>
            <w:pPr>
              <w:spacing w:after="0" w:line="20" w:lineRule="exact"/>
              <w:rPr>
                <w:sz w:val="1"/>
                <w:szCs w:val="1"/>
                <w:color w:val="auto"/>
              </w:rPr>
            </w:pPr>
          </w:p>
        </w:tc>
        <w:tc>
          <w:tcPr>
            <w:tcW w:w="1240" w:type="dxa"/>
            <w:vAlign w:val="bottom"/>
            <w:tcBorders>
              <w:top w:val="single" w:sz="8" w:color="auto"/>
            </w:tcBorders>
            <w:shd w:val="clear" w:color="auto" w:fill="000000"/>
          </w:tcPr>
          <w:p>
            <w:pPr>
              <w:spacing w:after="0" w:line="20" w:lineRule="exact"/>
              <w:rPr>
                <w:sz w:val="1"/>
                <w:szCs w:val="1"/>
                <w:color w:val="auto"/>
              </w:rPr>
            </w:pPr>
          </w:p>
        </w:tc>
        <w:tc>
          <w:tcPr>
            <w:tcW w:w="800" w:type="dxa"/>
            <w:vAlign w:val="bottom"/>
            <w:tcBorders>
              <w:top w:val="single" w:sz="8" w:color="auto"/>
            </w:tcBorders>
            <w:shd w:val="clear" w:color="auto" w:fill="000000"/>
          </w:tcPr>
          <w:p>
            <w:pPr>
              <w:spacing w:after="0" w:line="20" w:lineRule="exact"/>
              <w:rPr>
                <w:sz w:val="1"/>
                <w:szCs w:val="1"/>
                <w:color w:val="auto"/>
              </w:rPr>
            </w:pPr>
          </w:p>
        </w:tc>
        <w:tc>
          <w:tcPr>
            <w:tcW w:w="160" w:type="dxa"/>
            <w:vAlign w:val="bottom"/>
            <w:tcBorders>
              <w:top w:val="single" w:sz="8" w:color="auto"/>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1" w:lineRule="exact"/>
        <w:rPr>
          <w:sz w:val="20"/>
          <w:szCs w:val="20"/>
          <w:color w:val="auto"/>
        </w:rPr>
      </w:pPr>
    </w:p>
    <w:p>
      <w:pPr>
        <w:spacing w:after="0" w:line="276" w:lineRule="auto"/>
        <w:rPr>
          <w:sz w:val="20"/>
          <w:szCs w:val="20"/>
          <w:color w:val="auto"/>
        </w:rPr>
      </w:pPr>
      <w:r>
        <w:rPr>
          <w:rFonts w:ascii="Arial" w:cs="Arial" w:eastAsia="Arial" w:hAnsi="Arial"/>
          <w:sz w:val="18"/>
          <w:szCs w:val="18"/>
          <w:color w:val="auto"/>
        </w:rPr>
        <w:t>Refer to the segment information which follows for a discussion of the significant factors and trends affecting our results of operations for the quarter ended February 24, 2018 as compared with the prior year period.</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26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82550</wp:posOffset>
            </wp:positionV>
            <wp:extent cx="7247255" cy="171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47255" cy="17145"/>
                    </a:xfrm>
                    <a:prstGeom prst="rect">
                      <a:avLst/>
                    </a:prstGeom>
                    <a:noFill/>
                  </pic:spPr>
                </pic:pic>
              </a:graphicData>
            </a:graphic>
          </wp:anchor>
        </w:drawing>
      </w:r>
    </w:p>
    <w:p>
      <w:pPr>
        <w:sectPr>
          <w:pgSz w:w="11900" w:h="16838" w:orient="portrait"/>
          <w:cols w:equalWidth="0" w:num="1">
            <w:col w:w="11420"/>
          </w:cols>
          <w:pgMar w:left="240" w:top="583" w:right="239" w:bottom="1440" w:gutter="0" w:footer="0" w:header="0"/>
        </w:sectPr>
      </w:pPr>
    </w:p>
    <w:bookmarkStart w:id="26" w:name="page27"/>
    <w:bookmarkEnd w:id="26"/>
    <w:p>
      <w:pPr>
        <w:jc w:val="center"/>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FEBRUARY 24, 2018</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0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Segment Information</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color w:val="auto"/>
        </w:rPr>
        <w:t>We have strategically aligned our business into three reportable segments as described below:</w:t>
      </w:r>
    </w:p>
    <w:p>
      <w:pPr>
        <w:spacing w:after="0" w:line="220" w:lineRule="exact"/>
        <w:rPr>
          <w:sz w:val="20"/>
          <w:szCs w:val="20"/>
          <w:color w:val="auto"/>
        </w:rPr>
      </w:pPr>
    </w:p>
    <w:p>
      <w:pPr>
        <w:jc w:val="both"/>
        <w:ind w:left="660"/>
        <w:spacing w:after="0" w:line="291" w:lineRule="auto"/>
        <w:rPr>
          <w:sz w:val="20"/>
          <w:szCs w:val="20"/>
          <w:color w:val="auto"/>
        </w:rPr>
      </w:pPr>
      <w:r>
        <w:rPr>
          <w:rFonts w:ascii="Arial" w:cs="Arial" w:eastAsia="Arial" w:hAnsi="Arial"/>
          <w:sz w:val="16"/>
          <w:szCs w:val="16"/>
          <w:b w:val="1"/>
          <w:bCs w:val="1"/>
          <w:color w:val="auto"/>
        </w:rPr>
        <w:t xml:space="preserve">Wholesale. </w:t>
      </w:r>
      <w:r>
        <w:rPr>
          <w:rFonts w:ascii="Arial" w:cs="Arial" w:eastAsia="Arial" w:hAnsi="Arial"/>
          <w:sz w:val="16"/>
          <w:szCs w:val="16"/>
          <w:color w:val="auto"/>
        </w:rPr>
        <w:t>The wholesale home furnishings segment is involved principally in the design, manufacture, sourcing, sale and distribution of furniture</w:t>
      </w:r>
      <w:r>
        <w:rPr>
          <w:rFonts w:ascii="Arial" w:cs="Arial" w:eastAsia="Arial" w:hAnsi="Arial"/>
          <w:sz w:val="16"/>
          <w:szCs w:val="16"/>
          <w:b w:val="1"/>
          <w:bCs w:val="1"/>
          <w:color w:val="auto"/>
        </w:rPr>
        <w:t xml:space="preserve"> </w:t>
      </w:r>
      <w:r>
        <w:rPr>
          <w:rFonts w:ascii="Arial" w:cs="Arial" w:eastAsia="Arial" w:hAnsi="Arial"/>
          <w:sz w:val="16"/>
          <w:szCs w:val="16"/>
          <w:color w:val="auto"/>
        </w:rPr>
        <w:t>products to a network of Bassett stores (Company-owned and licensee-owned retail stores) and independent furniture retailers. Our wholesale segment includes our wood and upholstery operations, which now include Lane Venture, as well as all corporate selling, general and administrative expenses, including those corporate expenses related to both Company- and licensee-owned stores. We eliminate the sales between our wholesale and retail segments as well as the imbedded profit in the retail inventory for the consolidated presentation in our financial statements. Also included in our wholesale segment are our short-term investments and our holdings of retail real estate previously leased as licensee stores. The earnings and costs associated with these assets are included in other loss, net, in our condensed consolidated statements of operations.</w:t>
      </w:r>
    </w:p>
    <w:p>
      <w:pPr>
        <w:spacing w:after="0" w:line="161" w:lineRule="exact"/>
        <w:rPr>
          <w:sz w:val="20"/>
          <w:szCs w:val="20"/>
          <w:color w:val="auto"/>
        </w:rPr>
      </w:pPr>
    </w:p>
    <w:p>
      <w:pPr>
        <w:jc w:val="both"/>
        <w:ind w:left="660"/>
        <w:spacing w:after="0" w:line="280" w:lineRule="auto"/>
        <w:rPr>
          <w:sz w:val="20"/>
          <w:szCs w:val="20"/>
          <w:color w:val="auto"/>
        </w:rPr>
      </w:pPr>
      <w:r>
        <w:rPr>
          <w:rFonts w:ascii="Arial" w:cs="Arial" w:eastAsia="Arial" w:hAnsi="Arial"/>
          <w:sz w:val="18"/>
          <w:szCs w:val="18"/>
          <w:b w:val="1"/>
          <w:bCs w:val="1"/>
          <w:color w:val="auto"/>
        </w:rPr>
        <w:t xml:space="preserve">Retail – Company-owned stores. </w:t>
      </w:r>
      <w:r>
        <w:rPr>
          <w:rFonts w:ascii="Arial" w:cs="Arial" w:eastAsia="Arial" w:hAnsi="Arial"/>
          <w:sz w:val="18"/>
          <w:szCs w:val="18"/>
          <w:color w:val="auto"/>
        </w:rPr>
        <w:t>Our retail segment consists of Company-owned stores and includes the revenues, expenses, assets and liabilities</w:t>
      </w:r>
      <w:r>
        <w:rPr>
          <w:rFonts w:ascii="Arial" w:cs="Arial" w:eastAsia="Arial" w:hAnsi="Arial"/>
          <w:sz w:val="18"/>
          <w:szCs w:val="18"/>
          <w:b w:val="1"/>
          <w:bCs w:val="1"/>
          <w:color w:val="auto"/>
        </w:rPr>
        <w:t xml:space="preserve"> </w:t>
      </w:r>
      <w:r>
        <w:rPr>
          <w:rFonts w:ascii="Arial" w:cs="Arial" w:eastAsia="Arial" w:hAnsi="Arial"/>
          <w:sz w:val="18"/>
          <w:szCs w:val="18"/>
          <w:color w:val="auto"/>
        </w:rPr>
        <w:t>(including real estate) and capital expenditures directly related to these stores.</w:t>
      </w:r>
    </w:p>
    <w:p>
      <w:pPr>
        <w:spacing w:after="0" w:line="163" w:lineRule="exact"/>
        <w:rPr>
          <w:sz w:val="20"/>
          <w:szCs w:val="20"/>
          <w:color w:val="auto"/>
        </w:rPr>
      </w:pPr>
    </w:p>
    <w:p>
      <w:pPr>
        <w:jc w:val="both"/>
        <w:ind w:left="660"/>
        <w:spacing w:after="0" w:line="260" w:lineRule="auto"/>
        <w:rPr>
          <w:sz w:val="20"/>
          <w:szCs w:val="20"/>
          <w:color w:val="auto"/>
        </w:rPr>
      </w:pPr>
      <w:r>
        <w:rPr>
          <w:rFonts w:ascii="Arial" w:cs="Arial" w:eastAsia="Arial" w:hAnsi="Arial"/>
          <w:sz w:val="18"/>
          <w:szCs w:val="18"/>
          <w:b w:val="1"/>
          <w:bCs w:val="1"/>
          <w:color w:val="auto"/>
        </w:rPr>
        <w:t xml:space="preserve">Logistical services. </w:t>
      </w:r>
      <w:r>
        <w:rPr>
          <w:rFonts w:ascii="Arial" w:cs="Arial" w:eastAsia="Arial" w:hAnsi="Arial"/>
          <w:sz w:val="18"/>
          <w:szCs w:val="18"/>
          <w:color w:val="auto"/>
        </w:rPr>
        <w:t>Our logistical services operating segment reflects the operations of Zenith. In addition to providing shipping, delivery and</w:t>
      </w:r>
      <w:r>
        <w:rPr>
          <w:rFonts w:ascii="Arial" w:cs="Arial" w:eastAsia="Arial" w:hAnsi="Arial"/>
          <w:sz w:val="18"/>
          <w:szCs w:val="18"/>
          <w:b w:val="1"/>
          <w:bCs w:val="1"/>
          <w:color w:val="auto"/>
        </w:rPr>
        <w:t xml:space="preserve"> </w:t>
      </w:r>
      <w:r>
        <w:rPr>
          <w:rFonts w:ascii="Arial" w:cs="Arial" w:eastAsia="Arial" w:hAnsi="Arial"/>
          <w:sz w:val="18"/>
          <w:szCs w:val="18"/>
          <w:color w:val="auto"/>
        </w:rPr>
        <w:t>warehousing services for the Company, Zenith also provides similar services to other customers, primarily in the furniture industry. Revenue from the performance of these services to other customers is included in logistical services revenue in our condensed consolidated statement of income. Zenith’s operating costs are included in selling, general and administrative expenses.</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82550</wp:posOffset>
            </wp:positionV>
            <wp:extent cx="7247255" cy="171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47255" cy="17145"/>
                    </a:xfrm>
                    <a:prstGeom prst="rect">
                      <a:avLst/>
                    </a:prstGeom>
                    <a:noFill/>
                  </pic:spPr>
                </pic:pic>
              </a:graphicData>
            </a:graphic>
          </wp:anchor>
        </w:drawing>
      </w:r>
    </w:p>
    <w:p>
      <w:pPr>
        <w:sectPr>
          <w:pgSz w:w="11900" w:h="16838" w:orient="portrait"/>
          <w:cols w:equalWidth="0" w:num="1">
            <w:col w:w="11420"/>
          </w:cols>
          <w:pgMar w:left="240" w:top="583" w:right="239" w:bottom="1440" w:gutter="0" w:footer="0" w:header="0"/>
        </w:sectPr>
      </w:pPr>
    </w:p>
    <w:bookmarkStart w:id="27" w:name="page28"/>
    <w:bookmarkEnd w:id="27"/>
    <w:p>
      <w:pPr>
        <w:jc w:val="center"/>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FEBRUARY 24, 2018</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09" w:lineRule="exact"/>
        <w:rPr>
          <w:sz w:val="20"/>
          <w:szCs w:val="20"/>
          <w:color w:val="auto"/>
        </w:rPr>
      </w:pPr>
    </w:p>
    <w:p>
      <w:pPr>
        <w:spacing w:after="0"/>
        <w:rPr>
          <w:sz w:val="20"/>
          <w:szCs w:val="20"/>
          <w:color w:val="auto"/>
        </w:rPr>
      </w:pPr>
      <w:r>
        <w:rPr>
          <w:rFonts w:ascii="Arial" w:cs="Arial" w:eastAsia="Arial" w:hAnsi="Arial"/>
          <w:sz w:val="17"/>
          <w:szCs w:val="17"/>
          <w:color w:val="auto"/>
        </w:rPr>
        <w:t>The following tables illustrate the effects of various intercompany eliminations on income from operations in the consolidation of our segment results:</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20" w:type="dxa"/>
            <w:vAlign w:val="bottom"/>
          </w:tcPr>
          <w:p>
            <w:pPr>
              <w:spacing w:after="0"/>
              <w:rPr>
                <w:sz w:val="19"/>
                <w:szCs w:val="19"/>
                <w:color w:val="auto"/>
              </w:rPr>
            </w:pPr>
          </w:p>
        </w:tc>
        <w:tc>
          <w:tcPr>
            <w:tcW w:w="376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4100" w:type="dxa"/>
            <w:vAlign w:val="bottom"/>
            <w:tcBorders>
              <w:bottom w:val="single" w:sz="8" w:color="auto"/>
            </w:tcBorders>
            <w:gridSpan w:val="5"/>
          </w:tcPr>
          <w:p>
            <w:pPr>
              <w:jc w:val="right"/>
              <w:ind w:right="950"/>
              <w:spacing w:after="0"/>
              <w:rPr>
                <w:sz w:val="20"/>
                <w:szCs w:val="20"/>
                <w:color w:val="auto"/>
              </w:rPr>
            </w:pPr>
            <w:r>
              <w:rPr>
                <w:rFonts w:ascii="Arial" w:cs="Arial" w:eastAsia="Arial" w:hAnsi="Arial"/>
                <w:sz w:val="18"/>
                <w:szCs w:val="18"/>
                <w:color w:val="auto"/>
              </w:rPr>
              <w:t>Quarter Ended February 24, 2018</w:t>
            </w:r>
          </w:p>
        </w:tc>
        <w:tc>
          <w:tcPr>
            <w:tcW w:w="16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376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color w:val="auto"/>
                <w:w w:val="95"/>
              </w:rPr>
              <w:t>Wholesale</w:t>
            </w:r>
          </w:p>
        </w:tc>
        <w:tc>
          <w:tcPr>
            <w:tcW w:w="340" w:type="dxa"/>
            <w:vAlign w:val="bottom"/>
            <w:tcBorders>
              <w:bottom w:val="single" w:sz="8" w:color="auto"/>
            </w:tcBorders>
          </w:tcPr>
          <w:p>
            <w:pPr>
              <w:spacing w:after="0"/>
              <w:rPr>
                <w:sz w:val="18"/>
                <w:szCs w:val="18"/>
                <w:color w:val="auto"/>
              </w:rPr>
            </w:pPr>
          </w:p>
        </w:tc>
        <w:tc>
          <w:tcPr>
            <w:tcW w:w="1080" w:type="dxa"/>
            <w:vAlign w:val="bottom"/>
            <w:tcBorders>
              <w:bottom w:val="single" w:sz="8" w:color="auto"/>
            </w:tcBorders>
          </w:tcPr>
          <w:p>
            <w:pPr>
              <w:jc w:val="right"/>
              <w:ind w:right="430"/>
              <w:spacing w:after="0"/>
              <w:rPr>
                <w:sz w:val="20"/>
                <w:szCs w:val="20"/>
                <w:color w:val="auto"/>
              </w:rPr>
            </w:pPr>
            <w:r>
              <w:rPr>
                <w:rFonts w:ascii="Arial" w:cs="Arial" w:eastAsia="Arial" w:hAnsi="Arial"/>
                <w:sz w:val="18"/>
                <w:szCs w:val="18"/>
                <w:color w:val="auto"/>
              </w:rPr>
              <w:t>Retail</w:t>
            </w:r>
          </w:p>
        </w:tc>
        <w:tc>
          <w:tcPr>
            <w:tcW w:w="24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color w:val="auto"/>
              </w:rPr>
              <w:t>Logistics</w:t>
            </w:r>
          </w:p>
        </w:tc>
        <w:tc>
          <w:tcPr>
            <w:tcW w:w="180" w:type="dxa"/>
            <w:vAlign w:val="bottom"/>
            <w:tcBorders>
              <w:bottom w:val="single" w:sz="8" w:color="auto"/>
            </w:tcBorders>
          </w:tcPr>
          <w:p>
            <w:pPr>
              <w:spacing w:after="0"/>
              <w:rPr>
                <w:sz w:val="18"/>
                <w:szCs w:val="18"/>
                <w:color w:val="auto"/>
              </w:rPr>
            </w:pPr>
          </w:p>
        </w:tc>
        <w:tc>
          <w:tcPr>
            <w:tcW w:w="1460" w:type="dxa"/>
            <w:vAlign w:val="bottom"/>
            <w:tcBorders>
              <w:bottom w:val="single" w:sz="8" w:color="auto"/>
            </w:tcBorders>
          </w:tcPr>
          <w:p>
            <w:pPr>
              <w:jc w:val="right"/>
              <w:ind w:right="430"/>
              <w:spacing w:after="0"/>
              <w:rPr>
                <w:sz w:val="20"/>
                <w:szCs w:val="20"/>
                <w:color w:val="auto"/>
              </w:rPr>
            </w:pPr>
            <w:r>
              <w:rPr>
                <w:rFonts w:ascii="Arial" w:cs="Arial" w:eastAsia="Arial" w:hAnsi="Arial"/>
                <w:sz w:val="18"/>
                <w:szCs w:val="18"/>
                <w:color w:val="auto"/>
                <w:w w:val="94"/>
              </w:rPr>
              <w:t>Eliminations</w:t>
            </w:r>
          </w:p>
        </w:tc>
        <w:tc>
          <w:tcPr>
            <w:tcW w:w="160" w:type="dxa"/>
            <w:vAlign w:val="bottom"/>
            <w:tcBorders>
              <w:bottom w:val="single" w:sz="8" w:color="auto"/>
            </w:tcBorders>
          </w:tcPr>
          <w:p>
            <w:pPr>
              <w:spacing w:after="0"/>
              <w:rPr>
                <w:sz w:val="18"/>
                <w:szCs w:val="18"/>
                <w:color w:val="auto"/>
              </w:rPr>
            </w:pPr>
          </w:p>
        </w:tc>
        <w:tc>
          <w:tcPr>
            <w:tcW w:w="108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w w:val="89"/>
              </w:rPr>
              <w:t>Consolidated</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vMerge w:val="restart"/>
          </w:tcPr>
          <w:p>
            <w:pPr>
              <w:spacing w:after="0"/>
              <w:rPr>
                <w:sz w:val="18"/>
                <w:szCs w:val="18"/>
                <w:color w:val="auto"/>
              </w:rPr>
            </w:pPr>
          </w:p>
        </w:tc>
        <w:tc>
          <w:tcPr>
            <w:tcW w:w="37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vMerge w:val="continue"/>
          </w:tcPr>
          <w:p>
            <w:pPr>
              <w:spacing w:after="0"/>
              <w:rPr>
                <w:sz w:val="18"/>
                <w:szCs w:val="18"/>
                <w:color w:val="auto"/>
              </w:rPr>
            </w:pPr>
          </w:p>
        </w:tc>
        <w:tc>
          <w:tcPr>
            <w:tcW w:w="3760" w:type="dxa"/>
            <w:vAlign w:val="bottom"/>
            <w:shd w:val="clear" w:color="auto" w:fill="CCEEFF"/>
          </w:tcPr>
          <w:p>
            <w:pPr>
              <w:spacing w:after="0"/>
              <w:rPr>
                <w:sz w:val="20"/>
                <w:szCs w:val="20"/>
                <w:color w:val="auto"/>
              </w:rPr>
            </w:pPr>
            <w:r>
              <w:rPr>
                <w:rFonts w:ascii="Arial" w:cs="Arial" w:eastAsia="Arial" w:hAnsi="Arial"/>
                <w:sz w:val="18"/>
                <w:szCs w:val="18"/>
                <w:color w:val="auto"/>
              </w:rPr>
              <w:t>Sales revenue:</w:t>
            </w:r>
          </w:p>
        </w:tc>
        <w:tc>
          <w:tcPr>
            <w:tcW w:w="14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3760" w:type="dxa"/>
            <w:vAlign w:val="bottom"/>
          </w:tcPr>
          <w:p>
            <w:pPr>
              <w:ind w:left="140"/>
              <w:spacing w:after="0"/>
              <w:rPr>
                <w:sz w:val="20"/>
                <w:szCs w:val="20"/>
                <w:color w:val="auto"/>
              </w:rPr>
            </w:pPr>
            <w:r>
              <w:rPr>
                <w:rFonts w:ascii="Arial" w:cs="Arial" w:eastAsia="Arial" w:hAnsi="Arial"/>
                <w:sz w:val="18"/>
                <w:szCs w:val="18"/>
                <w:color w:val="auto"/>
              </w:rPr>
              <w:t>Furniture &amp; accessories</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40" w:type="dxa"/>
            <w:vAlign w:val="bottom"/>
          </w:tcPr>
          <w:p>
            <w:pPr>
              <w:jc w:val="right"/>
              <w:ind w:right="30"/>
              <w:spacing w:after="0"/>
              <w:rPr>
                <w:sz w:val="20"/>
                <w:szCs w:val="20"/>
                <w:color w:val="auto"/>
              </w:rPr>
            </w:pPr>
            <w:r>
              <w:rPr>
                <w:rFonts w:ascii="Arial" w:cs="Arial" w:eastAsia="Arial" w:hAnsi="Arial"/>
                <w:sz w:val="18"/>
                <w:szCs w:val="18"/>
                <w:color w:val="auto"/>
              </w:rPr>
              <w:t>63,100</w:t>
            </w:r>
          </w:p>
        </w:tc>
        <w:tc>
          <w:tcPr>
            <w:tcW w:w="34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080" w:type="dxa"/>
            <w:vAlign w:val="bottom"/>
          </w:tcPr>
          <w:p>
            <w:pPr>
              <w:jc w:val="right"/>
              <w:ind w:right="50"/>
              <w:spacing w:after="0"/>
              <w:rPr>
                <w:sz w:val="20"/>
                <w:szCs w:val="20"/>
                <w:color w:val="auto"/>
              </w:rPr>
            </w:pPr>
            <w:r>
              <w:rPr>
                <w:rFonts w:ascii="Arial" w:cs="Arial" w:eastAsia="Arial" w:hAnsi="Arial"/>
                <w:sz w:val="18"/>
                <w:szCs w:val="18"/>
                <w:color w:val="auto"/>
              </w:rPr>
              <w:t>64,661</w:t>
            </w:r>
          </w:p>
        </w:tc>
        <w:tc>
          <w:tcPr>
            <w:tcW w:w="240" w:type="dxa"/>
            <w:vAlign w:val="bottom"/>
          </w:tcPr>
          <w:p>
            <w:pPr>
              <w:jc w:val="right"/>
              <w:spacing w:after="0"/>
              <w:rPr>
                <w:sz w:val="20"/>
                <w:szCs w:val="20"/>
                <w:color w:val="auto"/>
              </w:rPr>
            </w:pPr>
            <w:r>
              <w:rPr>
                <w:rFonts w:ascii="Arial" w:cs="Arial" w:eastAsia="Arial" w:hAnsi="Arial"/>
                <w:sz w:val="18"/>
                <w:szCs w:val="18"/>
                <w:color w:val="auto"/>
              </w:rPr>
              <w:t>$</w:t>
            </w:r>
          </w:p>
        </w:tc>
        <w:tc>
          <w:tcPr>
            <w:tcW w:w="114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80" w:type="dxa"/>
            <w:vAlign w:val="bottom"/>
          </w:tcPr>
          <w:p>
            <w:pPr>
              <w:jc w:val="right"/>
              <w:spacing w:after="0"/>
              <w:rPr>
                <w:sz w:val="20"/>
                <w:szCs w:val="20"/>
                <w:color w:val="auto"/>
              </w:rPr>
            </w:pPr>
            <w:r>
              <w:rPr>
                <w:rFonts w:ascii="Arial" w:cs="Arial" w:eastAsia="Arial" w:hAnsi="Arial"/>
                <w:sz w:val="18"/>
                <w:szCs w:val="18"/>
                <w:color w:val="auto"/>
              </w:rPr>
              <w:t>$</w:t>
            </w:r>
          </w:p>
        </w:tc>
        <w:tc>
          <w:tcPr>
            <w:tcW w:w="1460" w:type="dxa"/>
            <w:vAlign w:val="bottom"/>
          </w:tcPr>
          <w:p>
            <w:pPr>
              <w:jc w:val="right"/>
              <w:spacing w:after="0"/>
              <w:rPr>
                <w:sz w:val="20"/>
                <w:szCs w:val="20"/>
                <w:color w:val="auto"/>
              </w:rPr>
            </w:pPr>
            <w:r>
              <w:rPr>
                <w:rFonts w:ascii="Arial" w:cs="Arial" w:eastAsia="Arial" w:hAnsi="Arial"/>
                <w:sz w:val="18"/>
                <w:szCs w:val="18"/>
                <w:color w:val="auto"/>
              </w:rPr>
              <w:t>(31,638) (1)</w:t>
            </w:r>
          </w:p>
        </w:tc>
        <w:tc>
          <w:tcPr>
            <w:tcW w:w="160" w:type="dxa"/>
            <w:vAlign w:val="bottom"/>
          </w:tcPr>
          <w:p>
            <w:pPr>
              <w:jc w:val="right"/>
              <w:spacing w:after="0"/>
              <w:rPr>
                <w:sz w:val="20"/>
                <w:szCs w:val="20"/>
                <w:color w:val="auto"/>
              </w:rPr>
            </w:pPr>
            <w:r>
              <w:rPr>
                <w:rFonts w:ascii="Arial" w:cs="Arial" w:eastAsia="Arial" w:hAnsi="Arial"/>
                <w:sz w:val="18"/>
                <w:szCs w:val="18"/>
                <w:color w:val="auto"/>
              </w:rPr>
              <w:t>$</w:t>
            </w:r>
          </w:p>
        </w:tc>
        <w:tc>
          <w:tcPr>
            <w:tcW w:w="1180" w:type="dxa"/>
            <w:vAlign w:val="bottom"/>
            <w:gridSpan w:val="3"/>
          </w:tcPr>
          <w:p>
            <w:pPr>
              <w:jc w:val="right"/>
              <w:ind w:right="100"/>
              <w:spacing w:after="0"/>
              <w:rPr>
                <w:sz w:val="20"/>
                <w:szCs w:val="20"/>
                <w:color w:val="auto"/>
              </w:rPr>
            </w:pPr>
            <w:r>
              <w:rPr>
                <w:rFonts w:ascii="Arial" w:cs="Arial" w:eastAsia="Arial" w:hAnsi="Arial"/>
                <w:sz w:val="18"/>
                <w:szCs w:val="18"/>
                <w:color w:val="auto"/>
              </w:rPr>
              <w:t>96,123</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376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Logistics</w:t>
            </w:r>
          </w:p>
        </w:tc>
        <w:tc>
          <w:tcPr>
            <w:tcW w:w="140" w:type="dxa"/>
            <w:vAlign w:val="bottom"/>
            <w:tcBorders>
              <w:bottom w:val="single" w:sz="8" w:color="auto"/>
            </w:tcBorders>
            <w:shd w:val="clear" w:color="auto" w:fill="CCEEFF"/>
          </w:tcPr>
          <w:p>
            <w:pPr>
              <w:spacing w:after="0"/>
              <w:rPr>
                <w:sz w:val="18"/>
                <w:szCs w:val="18"/>
                <w:color w:val="auto"/>
              </w:rPr>
            </w:pPr>
          </w:p>
        </w:tc>
        <w:tc>
          <w:tcPr>
            <w:tcW w:w="11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340" w:type="dxa"/>
            <w:vAlign w:val="bottom"/>
            <w:tcBorders>
              <w:bottom w:val="single" w:sz="8" w:color="auto"/>
            </w:tcBorders>
            <w:shd w:val="clear" w:color="auto" w:fill="CCEEFF"/>
          </w:tcPr>
          <w:p>
            <w:pPr>
              <w:spacing w:after="0"/>
              <w:rPr>
                <w:sz w:val="18"/>
                <w:szCs w:val="18"/>
                <w:color w:val="auto"/>
              </w:rPr>
            </w:pPr>
          </w:p>
        </w:tc>
        <w:tc>
          <w:tcPr>
            <w:tcW w:w="108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auto"/>
            </w:tcBorders>
            <w:shd w:val="clear" w:color="auto" w:fill="CCEEFF"/>
          </w:tcPr>
          <w:p>
            <w:pPr>
              <w:spacing w:after="0"/>
              <w:rPr>
                <w:sz w:val="18"/>
                <w:szCs w:val="18"/>
                <w:color w:val="auto"/>
              </w:rPr>
            </w:pPr>
          </w:p>
        </w:tc>
        <w:tc>
          <w:tcPr>
            <w:tcW w:w="114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rPr>
              <w:t>25,249</w:t>
            </w:r>
          </w:p>
        </w:tc>
        <w:tc>
          <w:tcPr>
            <w:tcW w:w="180" w:type="dxa"/>
            <w:vAlign w:val="bottom"/>
            <w:tcBorders>
              <w:bottom w:val="single" w:sz="8" w:color="auto"/>
            </w:tcBorders>
            <w:shd w:val="clear" w:color="auto" w:fill="CCEEFF"/>
          </w:tcPr>
          <w:p>
            <w:pPr>
              <w:spacing w:after="0"/>
              <w:rPr>
                <w:sz w:val="18"/>
                <w:szCs w:val="18"/>
                <w:color w:val="auto"/>
              </w:rPr>
            </w:pPr>
          </w:p>
        </w:tc>
        <w:tc>
          <w:tcPr>
            <w:tcW w:w="14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(11,100) (2)</w:t>
            </w:r>
          </w:p>
        </w:tc>
        <w:tc>
          <w:tcPr>
            <w:tcW w:w="160" w:type="dxa"/>
            <w:vAlign w:val="bottom"/>
            <w:tcBorders>
              <w:bottom w:val="single" w:sz="8" w:color="auto"/>
            </w:tcBorders>
            <w:shd w:val="clear" w:color="auto" w:fill="CCEEFF"/>
          </w:tcPr>
          <w:p>
            <w:pPr>
              <w:spacing w:after="0"/>
              <w:rPr>
                <w:sz w:val="18"/>
                <w:szCs w:val="18"/>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14,149</w:t>
            </w:r>
          </w:p>
        </w:tc>
        <w:tc>
          <w:tcPr>
            <w:tcW w:w="100" w:type="dxa"/>
            <w:vAlign w:val="bottom"/>
            <w:tcBorders>
              <w:bottom w:val="single" w:sz="8" w:color="CCEEFF"/>
            </w:tcBorders>
            <w:gridSpan w:val="2"/>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3760" w:type="dxa"/>
            <w:vAlign w:val="bottom"/>
          </w:tcPr>
          <w:p>
            <w:pPr>
              <w:ind w:left="320"/>
              <w:spacing w:after="0"/>
              <w:rPr>
                <w:sz w:val="20"/>
                <w:szCs w:val="20"/>
                <w:color w:val="auto"/>
              </w:rPr>
            </w:pPr>
            <w:r>
              <w:rPr>
                <w:rFonts w:ascii="Arial" w:cs="Arial" w:eastAsia="Arial" w:hAnsi="Arial"/>
                <w:sz w:val="18"/>
                <w:szCs w:val="18"/>
                <w:color w:val="auto"/>
              </w:rPr>
              <w:t>Total sales revenue</w:t>
            </w:r>
          </w:p>
        </w:tc>
        <w:tc>
          <w:tcPr>
            <w:tcW w:w="140" w:type="dxa"/>
            <w:vAlign w:val="bottom"/>
          </w:tcPr>
          <w:p>
            <w:pPr>
              <w:spacing w:after="0"/>
              <w:rPr>
                <w:sz w:val="18"/>
                <w:szCs w:val="18"/>
                <w:color w:val="auto"/>
              </w:rPr>
            </w:pPr>
          </w:p>
        </w:tc>
        <w:tc>
          <w:tcPr>
            <w:tcW w:w="1140" w:type="dxa"/>
            <w:vAlign w:val="bottom"/>
          </w:tcPr>
          <w:p>
            <w:pPr>
              <w:jc w:val="right"/>
              <w:ind w:right="30"/>
              <w:spacing w:after="0"/>
              <w:rPr>
                <w:sz w:val="20"/>
                <w:szCs w:val="20"/>
                <w:color w:val="auto"/>
              </w:rPr>
            </w:pPr>
            <w:r>
              <w:rPr>
                <w:rFonts w:ascii="Arial" w:cs="Arial" w:eastAsia="Arial" w:hAnsi="Arial"/>
                <w:sz w:val="18"/>
                <w:szCs w:val="18"/>
                <w:color w:val="auto"/>
              </w:rPr>
              <w:t>63,100</w:t>
            </w:r>
          </w:p>
        </w:tc>
        <w:tc>
          <w:tcPr>
            <w:tcW w:w="340" w:type="dxa"/>
            <w:vAlign w:val="bottom"/>
          </w:tcPr>
          <w:p>
            <w:pPr>
              <w:spacing w:after="0"/>
              <w:rPr>
                <w:sz w:val="18"/>
                <w:szCs w:val="18"/>
                <w:color w:val="auto"/>
              </w:rPr>
            </w:pPr>
          </w:p>
        </w:tc>
        <w:tc>
          <w:tcPr>
            <w:tcW w:w="1080" w:type="dxa"/>
            <w:vAlign w:val="bottom"/>
          </w:tcPr>
          <w:p>
            <w:pPr>
              <w:jc w:val="right"/>
              <w:ind w:right="50"/>
              <w:spacing w:after="0"/>
              <w:rPr>
                <w:sz w:val="20"/>
                <w:szCs w:val="20"/>
                <w:color w:val="auto"/>
              </w:rPr>
            </w:pPr>
            <w:r>
              <w:rPr>
                <w:rFonts w:ascii="Arial" w:cs="Arial" w:eastAsia="Arial" w:hAnsi="Arial"/>
                <w:sz w:val="18"/>
                <w:szCs w:val="18"/>
                <w:color w:val="auto"/>
              </w:rPr>
              <w:t>64,661</w:t>
            </w:r>
          </w:p>
        </w:tc>
        <w:tc>
          <w:tcPr>
            <w:tcW w:w="240" w:type="dxa"/>
            <w:vAlign w:val="bottom"/>
          </w:tcPr>
          <w:p>
            <w:pPr>
              <w:spacing w:after="0"/>
              <w:rPr>
                <w:sz w:val="18"/>
                <w:szCs w:val="18"/>
                <w:color w:val="auto"/>
              </w:rPr>
            </w:pPr>
          </w:p>
        </w:tc>
        <w:tc>
          <w:tcPr>
            <w:tcW w:w="1140" w:type="dxa"/>
            <w:vAlign w:val="bottom"/>
          </w:tcPr>
          <w:p>
            <w:pPr>
              <w:jc w:val="right"/>
              <w:ind w:right="50"/>
              <w:spacing w:after="0"/>
              <w:rPr>
                <w:sz w:val="20"/>
                <w:szCs w:val="20"/>
                <w:color w:val="auto"/>
              </w:rPr>
            </w:pPr>
            <w:r>
              <w:rPr>
                <w:rFonts w:ascii="Arial" w:cs="Arial" w:eastAsia="Arial" w:hAnsi="Arial"/>
                <w:sz w:val="18"/>
                <w:szCs w:val="18"/>
                <w:color w:val="auto"/>
              </w:rPr>
              <w:t>25,249</w:t>
            </w:r>
          </w:p>
        </w:tc>
        <w:tc>
          <w:tcPr>
            <w:tcW w:w="180" w:type="dxa"/>
            <w:vAlign w:val="bottom"/>
          </w:tcPr>
          <w:p>
            <w:pPr>
              <w:spacing w:after="0"/>
              <w:rPr>
                <w:sz w:val="18"/>
                <w:szCs w:val="18"/>
                <w:color w:val="auto"/>
              </w:rPr>
            </w:pPr>
          </w:p>
        </w:tc>
        <w:tc>
          <w:tcPr>
            <w:tcW w:w="1460" w:type="dxa"/>
            <w:vAlign w:val="bottom"/>
          </w:tcPr>
          <w:p>
            <w:pPr>
              <w:jc w:val="right"/>
              <w:ind w:right="230"/>
              <w:spacing w:after="0"/>
              <w:rPr>
                <w:sz w:val="20"/>
                <w:szCs w:val="20"/>
                <w:color w:val="auto"/>
              </w:rPr>
            </w:pPr>
            <w:r>
              <w:rPr>
                <w:rFonts w:ascii="Arial" w:cs="Arial" w:eastAsia="Arial" w:hAnsi="Arial"/>
                <w:sz w:val="18"/>
                <w:szCs w:val="18"/>
                <w:color w:val="auto"/>
              </w:rPr>
              <w:t>(42,738)</w:t>
            </w:r>
          </w:p>
        </w:tc>
        <w:tc>
          <w:tcPr>
            <w:tcW w:w="160" w:type="dxa"/>
            <w:vAlign w:val="bottom"/>
          </w:tcPr>
          <w:p>
            <w:pPr>
              <w:spacing w:after="0"/>
              <w:rPr>
                <w:sz w:val="18"/>
                <w:szCs w:val="18"/>
                <w:color w:val="auto"/>
              </w:rPr>
            </w:pPr>
          </w:p>
        </w:tc>
        <w:tc>
          <w:tcPr>
            <w:tcW w:w="1100" w:type="dxa"/>
            <w:vAlign w:val="bottom"/>
            <w:gridSpan w:val="2"/>
          </w:tcPr>
          <w:p>
            <w:pPr>
              <w:jc w:val="right"/>
              <w:ind w:right="20"/>
              <w:spacing w:after="0"/>
              <w:rPr>
                <w:sz w:val="20"/>
                <w:szCs w:val="20"/>
                <w:color w:val="auto"/>
              </w:rPr>
            </w:pPr>
            <w:r>
              <w:rPr>
                <w:rFonts w:ascii="Arial" w:cs="Arial" w:eastAsia="Arial" w:hAnsi="Arial"/>
                <w:sz w:val="18"/>
                <w:szCs w:val="18"/>
                <w:color w:val="auto"/>
              </w:rPr>
              <w:t>110,272</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3760" w:type="dxa"/>
            <w:vAlign w:val="bottom"/>
            <w:shd w:val="clear" w:color="auto" w:fill="CCEEFF"/>
          </w:tcPr>
          <w:p>
            <w:pPr>
              <w:spacing w:after="0"/>
              <w:rPr>
                <w:sz w:val="20"/>
                <w:szCs w:val="20"/>
                <w:color w:val="auto"/>
              </w:rPr>
            </w:pPr>
            <w:r>
              <w:rPr>
                <w:rFonts w:ascii="Arial" w:cs="Arial" w:eastAsia="Arial" w:hAnsi="Arial"/>
                <w:sz w:val="18"/>
                <w:szCs w:val="18"/>
                <w:color w:val="auto"/>
              </w:rPr>
              <w:t>Cost of furniture and accessories sold</w:t>
            </w:r>
          </w:p>
        </w:tc>
        <w:tc>
          <w:tcPr>
            <w:tcW w:w="14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42,644</w:t>
            </w:r>
          </w:p>
        </w:tc>
        <w:tc>
          <w:tcPr>
            <w:tcW w:w="340" w:type="dxa"/>
            <w:vAlign w:val="bottom"/>
            <w:shd w:val="clear" w:color="auto" w:fill="CCEEFF"/>
          </w:tcPr>
          <w:p>
            <w:pPr>
              <w:spacing w:after="0"/>
              <w:rPr>
                <w:sz w:val="18"/>
                <w:szCs w:val="18"/>
                <w:color w:val="auto"/>
              </w:rPr>
            </w:pPr>
          </w:p>
        </w:tc>
        <w:tc>
          <w:tcPr>
            <w:tcW w:w="108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31,994</w:t>
            </w:r>
          </w:p>
        </w:tc>
        <w:tc>
          <w:tcPr>
            <w:tcW w:w="24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(31,369) (3)</w:t>
            </w:r>
          </w:p>
        </w:tc>
        <w:tc>
          <w:tcPr>
            <w:tcW w:w="160" w:type="dxa"/>
            <w:vAlign w:val="bottom"/>
            <w:shd w:val="clear" w:color="auto" w:fill="CCEEFF"/>
          </w:tcPr>
          <w:p>
            <w:pPr>
              <w:spacing w:after="0"/>
              <w:rPr>
                <w:sz w:val="18"/>
                <w:szCs w:val="18"/>
                <w:color w:val="auto"/>
              </w:rPr>
            </w:pPr>
          </w:p>
        </w:tc>
        <w:tc>
          <w:tcPr>
            <w:tcW w:w="118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43,269</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3760" w:type="dxa"/>
            <w:vAlign w:val="bottom"/>
          </w:tcPr>
          <w:p>
            <w:pPr>
              <w:spacing w:after="0"/>
              <w:rPr>
                <w:sz w:val="20"/>
                <w:szCs w:val="20"/>
                <w:color w:val="auto"/>
              </w:rPr>
            </w:pPr>
            <w:r>
              <w:rPr>
                <w:rFonts w:ascii="Arial" w:cs="Arial" w:eastAsia="Arial" w:hAnsi="Arial"/>
                <w:sz w:val="18"/>
                <w:szCs w:val="18"/>
                <w:color w:val="auto"/>
              </w:rPr>
              <w:t>SG&amp;A expense</w:t>
            </w:r>
          </w:p>
        </w:tc>
        <w:tc>
          <w:tcPr>
            <w:tcW w:w="140" w:type="dxa"/>
            <w:vAlign w:val="bottom"/>
          </w:tcPr>
          <w:p>
            <w:pPr>
              <w:spacing w:after="0"/>
              <w:rPr>
                <w:sz w:val="18"/>
                <w:szCs w:val="18"/>
                <w:color w:val="auto"/>
              </w:rPr>
            </w:pPr>
          </w:p>
        </w:tc>
        <w:tc>
          <w:tcPr>
            <w:tcW w:w="1140" w:type="dxa"/>
            <w:vAlign w:val="bottom"/>
          </w:tcPr>
          <w:p>
            <w:pPr>
              <w:jc w:val="right"/>
              <w:ind w:right="30"/>
              <w:spacing w:after="0"/>
              <w:rPr>
                <w:sz w:val="20"/>
                <w:szCs w:val="20"/>
                <w:color w:val="auto"/>
              </w:rPr>
            </w:pPr>
            <w:r>
              <w:rPr>
                <w:rFonts w:ascii="Arial" w:cs="Arial" w:eastAsia="Arial" w:hAnsi="Arial"/>
                <w:sz w:val="18"/>
                <w:szCs w:val="18"/>
                <w:color w:val="auto"/>
              </w:rPr>
              <w:t>17,392</w:t>
            </w:r>
          </w:p>
        </w:tc>
        <w:tc>
          <w:tcPr>
            <w:tcW w:w="340" w:type="dxa"/>
            <w:vAlign w:val="bottom"/>
          </w:tcPr>
          <w:p>
            <w:pPr>
              <w:spacing w:after="0"/>
              <w:rPr>
                <w:sz w:val="18"/>
                <w:szCs w:val="18"/>
                <w:color w:val="auto"/>
              </w:rPr>
            </w:pPr>
          </w:p>
        </w:tc>
        <w:tc>
          <w:tcPr>
            <w:tcW w:w="1080" w:type="dxa"/>
            <w:vAlign w:val="bottom"/>
          </w:tcPr>
          <w:p>
            <w:pPr>
              <w:jc w:val="right"/>
              <w:ind w:right="50"/>
              <w:spacing w:after="0"/>
              <w:rPr>
                <w:sz w:val="20"/>
                <w:szCs w:val="20"/>
                <w:color w:val="auto"/>
              </w:rPr>
            </w:pPr>
            <w:r>
              <w:rPr>
                <w:rFonts w:ascii="Arial" w:cs="Arial" w:eastAsia="Arial" w:hAnsi="Arial"/>
                <w:sz w:val="18"/>
                <w:szCs w:val="18"/>
                <w:color w:val="auto"/>
              </w:rPr>
              <w:t>33,478</w:t>
            </w:r>
          </w:p>
        </w:tc>
        <w:tc>
          <w:tcPr>
            <w:tcW w:w="240" w:type="dxa"/>
            <w:vAlign w:val="bottom"/>
          </w:tcPr>
          <w:p>
            <w:pPr>
              <w:spacing w:after="0"/>
              <w:rPr>
                <w:sz w:val="18"/>
                <w:szCs w:val="18"/>
                <w:color w:val="auto"/>
              </w:rPr>
            </w:pPr>
          </w:p>
        </w:tc>
        <w:tc>
          <w:tcPr>
            <w:tcW w:w="1140" w:type="dxa"/>
            <w:vAlign w:val="bottom"/>
          </w:tcPr>
          <w:p>
            <w:pPr>
              <w:jc w:val="right"/>
              <w:ind w:right="50"/>
              <w:spacing w:after="0"/>
              <w:rPr>
                <w:sz w:val="20"/>
                <w:szCs w:val="20"/>
                <w:color w:val="auto"/>
              </w:rPr>
            </w:pPr>
            <w:r>
              <w:rPr>
                <w:rFonts w:ascii="Arial" w:cs="Arial" w:eastAsia="Arial" w:hAnsi="Arial"/>
                <w:sz w:val="18"/>
                <w:szCs w:val="18"/>
                <w:color w:val="auto"/>
              </w:rPr>
              <w:t>24,919</w:t>
            </w:r>
          </w:p>
        </w:tc>
        <w:tc>
          <w:tcPr>
            <w:tcW w:w="180" w:type="dxa"/>
            <w:vAlign w:val="bottom"/>
          </w:tcPr>
          <w:p>
            <w:pPr>
              <w:spacing w:after="0"/>
              <w:rPr>
                <w:sz w:val="18"/>
                <w:szCs w:val="18"/>
                <w:color w:val="auto"/>
              </w:rPr>
            </w:pPr>
          </w:p>
        </w:tc>
        <w:tc>
          <w:tcPr>
            <w:tcW w:w="1460" w:type="dxa"/>
            <w:vAlign w:val="bottom"/>
          </w:tcPr>
          <w:p>
            <w:pPr>
              <w:jc w:val="right"/>
              <w:spacing w:after="0"/>
              <w:rPr>
                <w:sz w:val="20"/>
                <w:szCs w:val="20"/>
                <w:color w:val="auto"/>
              </w:rPr>
            </w:pPr>
            <w:r>
              <w:rPr>
                <w:rFonts w:ascii="Arial" w:cs="Arial" w:eastAsia="Arial" w:hAnsi="Arial"/>
                <w:sz w:val="18"/>
                <w:szCs w:val="18"/>
                <w:color w:val="auto"/>
              </w:rPr>
              <w:t>(11,538) (4)</w:t>
            </w:r>
          </w:p>
        </w:tc>
        <w:tc>
          <w:tcPr>
            <w:tcW w:w="160" w:type="dxa"/>
            <w:vAlign w:val="bottom"/>
          </w:tcPr>
          <w:p>
            <w:pPr>
              <w:spacing w:after="0"/>
              <w:rPr>
                <w:sz w:val="18"/>
                <w:szCs w:val="18"/>
                <w:color w:val="auto"/>
              </w:rPr>
            </w:pPr>
          </w:p>
        </w:tc>
        <w:tc>
          <w:tcPr>
            <w:tcW w:w="1180" w:type="dxa"/>
            <w:vAlign w:val="bottom"/>
            <w:gridSpan w:val="3"/>
          </w:tcPr>
          <w:p>
            <w:pPr>
              <w:jc w:val="right"/>
              <w:ind w:right="100"/>
              <w:spacing w:after="0"/>
              <w:rPr>
                <w:sz w:val="20"/>
                <w:szCs w:val="20"/>
                <w:color w:val="auto"/>
              </w:rPr>
            </w:pPr>
            <w:r>
              <w:rPr>
                <w:rFonts w:ascii="Arial" w:cs="Arial" w:eastAsia="Arial" w:hAnsi="Arial"/>
                <w:sz w:val="18"/>
                <w:szCs w:val="18"/>
                <w:color w:val="auto"/>
              </w:rPr>
              <w:t>64,251</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37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New store pre-opening costs</w:t>
            </w:r>
          </w:p>
        </w:tc>
        <w:tc>
          <w:tcPr>
            <w:tcW w:w="140" w:type="dxa"/>
            <w:vAlign w:val="bottom"/>
            <w:tcBorders>
              <w:bottom w:val="single" w:sz="8" w:color="auto"/>
            </w:tcBorders>
            <w:shd w:val="clear" w:color="auto" w:fill="CCEEFF"/>
          </w:tcPr>
          <w:p>
            <w:pPr>
              <w:spacing w:after="0"/>
              <w:rPr>
                <w:sz w:val="18"/>
                <w:szCs w:val="18"/>
                <w:color w:val="auto"/>
              </w:rPr>
            </w:pPr>
          </w:p>
        </w:tc>
        <w:tc>
          <w:tcPr>
            <w:tcW w:w="11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340" w:type="dxa"/>
            <w:vAlign w:val="bottom"/>
            <w:tcBorders>
              <w:bottom w:val="single" w:sz="8" w:color="auto"/>
            </w:tcBorders>
            <w:shd w:val="clear" w:color="auto" w:fill="CCEEFF"/>
          </w:tcPr>
          <w:p>
            <w:pPr>
              <w:spacing w:after="0"/>
              <w:rPr>
                <w:sz w:val="18"/>
                <w:szCs w:val="18"/>
                <w:color w:val="auto"/>
              </w:rPr>
            </w:pPr>
          </w:p>
        </w:tc>
        <w:tc>
          <w:tcPr>
            <w:tcW w:w="108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rPr>
              <w:t>702</w:t>
            </w:r>
          </w:p>
        </w:tc>
        <w:tc>
          <w:tcPr>
            <w:tcW w:w="240" w:type="dxa"/>
            <w:vAlign w:val="bottom"/>
            <w:tcBorders>
              <w:bottom w:val="single" w:sz="8" w:color="auto"/>
            </w:tcBorders>
            <w:shd w:val="clear" w:color="auto" w:fill="CCEEFF"/>
          </w:tcPr>
          <w:p>
            <w:pPr>
              <w:spacing w:after="0"/>
              <w:rPr>
                <w:sz w:val="18"/>
                <w:szCs w:val="18"/>
                <w:color w:val="auto"/>
              </w:rPr>
            </w:pPr>
          </w:p>
        </w:tc>
        <w:tc>
          <w:tcPr>
            <w:tcW w:w="114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auto"/>
            </w:tcBorders>
            <w:shd w:val="clear" w:color="auto" w:fill="CCEEFF"/>
          </w:tcPr>
          <w:p>
            <w:pPr>
              <w:spacing w:after="0"/>
              <w:rPr>
                <w:sz w:val="18"/>
                <w:szCs w:val="18"/>
                <w:color w:val="auto"/>
              </w:rPr>
            </w:pPr>
          </w:p>
        </w:tc>
        <w:tc>
          <w:tcPr>
            <w:tcW w:w="1460" w:type="dxa"/>
            <w:vAlign w:val="bottom"/>
            <w:tcBorders>
              <w:bottom w:val="single" w:sz="8" w:color="auto"/>
            </w:tcBorders>
            <w:shd w:val="clear" w:color="auto" w:fill="CCEEFF"/>
          </w:tcPr>
          <w:p>
            <w:pPr>
              <w:jc w:val="right"/>
              <w:ind w:right="29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auto"/>
            </w:tcBorders>
            <w:shd w:val="clear" w:color="auto" w:fill="CCEEFF"/>
          </w:tcPr>
          <w:p>
            <w:pPr>
              <w:spacing w:after="0"/>
              <w:rPr>
                <w:sz w:val="18"/>
                <w:szCs w:val="18"/>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702</w:t>
            </w:r>
          </w:p>
        </w:tc>
        <w:tc>
          <w:tcPr>
            <w:tcW w:w="2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3780" w:type="dxa"/>
            <w:vAlign w:val="bottom"/>
            <w:gridSpan w:val="2"/>
          </w:tcPr>
          <w:p>
            <w:pPr>
              <w:spacing w:after="0"/>
              <w:rPr>
                <w:sz w:val="20"/>
                <w:szCs w:val="20"/>
                <w:color w:val="auto"/>
              </w:rPr>
            </w:pPr>
            <w:r>
              <w:rPr>
                <w:rFonts w:ascii="Arial" w:cs="Arial" w:eastAsia="Arial" w:hAnsi="Arial"/>
                <w:sz w:val="18"/>
                <w:szCs w:val="18"/>
                <w:color w:val="auto"/>
              </w:rPr>
              <w:t>Income (loss) from operations</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40" w:type="dxa"/>
            <w:vAlign w:val="bottom"/>
          </w:tcPr>
          <w:p>
            <w:pPr>
              <w:jc w:val="right"/>
              <w:ind w:right="30"/>
              <w:spacing w:after="0"/>
              <w:rPr>
                <w:sz w:val="20"/>
                <w:szCs w:val="20"/>
                <w:color w:val="auto"/>
              </w:rPr>
            </w:pPr>
            <w:r>
              <w:rPr>
                <w:rFonts w:ascii="Arial" w:cs="Arial" w:eastAsia="Arial" w:hAnsi="Arial"/>
                <w:sz w:val="18"/>
                <w:szCs w:val="18"/>
                <w:color w:val="auto"/>
              </w:rPr>
              <w:t>3,064</w:t>
            </w:r>
          </w:p>
        </w:tc>
        <w:tc>
          <w:tcPr>
            <w:tcW w:w="34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080" w:type="dxa"/>
            <w:vAlign w:val="bottom"/>
          </w:tcPr>
          <w:p>
            <w:pPr>
              <w:jc w:val="right"/>
              <w:spacing w:after="0"/>
              <w:rPr>
                <w:sz w:val="20"/>
                <w:szCs w:val="20"/>
                <w:color w:val="auto"/>
              </w:rPr>
            </w:pPr>
            <w:r>
              <w:rPr>
                <w:rFonts w:ascii="Arial" w:cs="Arial" w:eastAsia="Arial" w:hAnsi="Arial"/>
                <w:sz w:val="18"/>
                <w:szCs w:val="18"/>
                <w:color w:val="auto"/>
              </w:rPr>
              <w:t>(1,513)</w:t>
            </w:r>
          </w:p>
        </w:tc>
        <w:tc>
          <w:tcPr>
            <w:tcW w:w="240" w:type="dxa"/>
            <w:vAlign w:val="bottom"/>
          </w:tcPr>
          <w:p>
            <w:pPr>
              <w:jc w:val="right"/>
              <w:spacing w:after="0"/>
              <w:rPr>
                <w:sz w:val="20"/>
                <w:szCs w:val="20"/>
                <w:color w:val="auto"/>
              </w:rPr>
            </w:pPr>
            <w:r>
              <w:rPr>
                <w:rFonts w:ascii="Arial" w:cs="Arial" w:eastAsia="Arial" w:hAnsi="Arial"/>
                <w:sz w:val="18"/>
                <w:szCs w:val="18"/>
                <w:color w:val="auto"/>
              </w:rPr>
              <w:t>$</w:t>
            </w:r>
          </w:p>
        </w:tc>
        <w:tc>
          <w:tcPr>
            <w:tcW w:w="1140" w:type="dxa"/>
            <w:vAlign w:val="bottom"/>
          </w:tcPr>
          <w:p>
            <w:pPr>
              <w:jc w:val="right"/>
              <w:ind w:right="50"/>
              <w:spacing w:after="0"/>
              <w:rPr>
                <w:sz w:val="20"/>
                <w:szCs w:val="20"/>
                <w:color w:val="auto"/>
              </w:rPr>
            </w:pPr>
            <w:r>
              <w:rPr>
                <w:rFonts w:ascii="Arial" w:cs="Arial" w:eastAsia="Arial" w:hAnsi="Arial"/>
                <w:sz w:val="18"/>
                <w:szCs w:val="18"/>
                <w:color w:val="auto"/>
              </w:rPr>
              <w:t>330</w:t>
            </w:r>
          </w:p>
        </w:tc>
        <w:tc>
          <w:tcPr>
            <w:tcW w:w="180" w:type="dxa"/>
            <w:vAlign w:val="bottom"/>
          </w:tcPr>
          <w:p>
            <w:pPr>
              <w:jc w:val="right"/>
              <w:spacing w:after="0"/>
              <w:rPr>
                <w:sz w:val="20"/>
                <w:szCs w:val="20"/>
                <w:color w:val="auto"/>
              </w:rPr>
            </w:pPr>
            <w:r>
              <w:rPr>
                <w:rFonts w:ascii="Arial" w:cs="Arial" w:eastAsia="Arial" w:hAnsi="Arial"/>
                <w:sz w:val="18"/>
                <w:szCs w:val="18"/>
                <w:color w:val="auto"/>
              </w:rPr>
              <w:t>$</w:t>
            </w:r>
          </w:p>
        </w:tc>
        <w:tc>
          <w:tcPr>
            <w:tcW w:w="1460" w:type="dxa"/>
            <w:vAlign w:val="bottom"/>
          </w:tcPr>
          <w:p>
            <w:pPr>
              <w:jc w:val="right"/>
              <w:ind w:right="290"/>
              <w:spacing w:after="0"/>
              <w:rPr>
                <w:sz w:val="20"/>
                <w:szCs w:val="20"/>
                <w:color w:val="auto"/>
              </w:rPr>
            </w:pPr>
            <w:r>
              <w:rPr>
                <w:rFonts w:ascii="Arial" w:cs="Arial" w:eastAsia="Arial" w:hAnsi="Arial"/>
                <w:sz w:val="18"/>
                <w:szCs w:val="18"/>
                <w:color w:val="auto"/>
              </w:rPr>
              <w:t>169</w:t>
            </w:r>
          </w:p>
        </w:tc>
        <w:tc>
          <w:tcPr>
            <w:tcW w:w="160" w:type="dxa"/>
            <w:vAlign w:val="bottom"/>
          </w:tcPr>
          <w:p>
            <w:pPr>
              <w:jc w:val="right"/>
              <w:spacing w:after="0"/>
              <w:rPr>
                <w:sz w:val="20"/>
                <w:szCs w:val="20"/>
                <w:color w:val="auto"/>
              </w:rPr>
            </w:pPr>
            <w:r>
              <w:rPr>
                <w:rFonts w:ascii="Arial" w:cs="Arial" w:eastAsia="Arial" w:hAnsi="Arial"/>
                <w:sz w:val="18"/>
                <w:szCs w:val="18"/>
                <w:color w:val="auto"/>
              </w:rPr>
              <w:t>$</w:t>
            </w:r>
          </w:p>
        </w:tc>
        <w:tc>
          <w:tcPr>
            <w:tcW w:w="1100" w:type="dxa"/>
            <w:vAlign w:val="bottom"/>
            <w:gridSpan w:val="2"/>
          </w:tcPr>
          <w:p>
            <w:pPr>
              <w:jc w:val="right"/>
              <w:ind w:right="20"/>
              <w:spacing w:after="0"/>
              <w:rPr>
                <w:sz w:val="20"/>
                <w:szCs w:val="20"/>
                <w:color w:val="auto"/>
              </w:rPr>
            </w:pPr>
            <w:r>
              <w:rPr>
                <w:rFonts w:ascii="Arial" w:cs="Arial" w:eastAsia="Arial" w:hAnsi="Arial"/>
                <w:sz w:val="18"/>
                <w:szCs w:val="18"/>
                <w:color w:val="auto"/>
              </w:rPr>
              <w:t>2,050</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7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4100" w:type="dxa"/>
            <w:vAlign w:val="bottom"/>
            <w:tcBorders>
              <w:top w:val="single" w:sz="8" w:color="auto"/>
              <w:bottom w:val="single" w:sz="8" w:color="auto"/>
            </w:tcBorders>
            <w:gridSpan w:val="5"/>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8"/>
        </w:trPr>
        <w:tc>
          <w:tcPr>
            <w:tcW w:w="20" w:type="dxa"/>
            <w:vAlign w:val="bottom"/>
          </w:tcPr>
          <w:p>
            <w:pPr>
              <w:spacing w:after="0"/>
              <w:rPr>
                <w:sz w:val="24"/>
                <w:szCs w:val="24"/>
                <w:color w:val="auto"/>
              </w:rPr>
            </w:pPr>
          </w:p>
        </w:tc>
        <w:tc>
          <w:tcPr>
            <w:tcW w:w="3760" w:type="dxa"/>
            <w:vAlign w:val="bottom"/>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4100" w:type="dxa"/>
            <w:vAlign w:val="bottom"/>
            <w:tcBorders>
              <w:bottom w:val="single" w:sz="8" w:color="auto"/>
            </w:tcBorders>
            <w:gridSpan w:val="5"/>
          </w:tcPr>
          <w:p>
            <w:pPr>
              <w:jc w:val="right"/>
              <w:ind w:right="950"/>
              <w:spacing w:after="0"/>
              <w:rPr>
                <w:sz w:val="20"/>
                <w:szCs w:val="20"/>
                <w:color w:val="auto"/>
              </w:rPr>
            </w:pPr>
            <w:r>
              <w:rPr>
                <w:rFonts w:ascii="Arial" w:cs="Arial" w:eastAsia="Arial" w:hAnsi="Arial"/>
                <w:sz w:val="18"/>
                <w:szCs w:val="18"/>
                <w:color w:val="auto"/>
              </w:rPr>
              <w:t>Quarter Ended February 25, 2017</w:t>
            </w:r>
          </w:p>
        </w:tc>
        <w:tc>
          <w:tcPr>
            <w:tcW w:w="16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376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color w:val="auto"/>
                <w:w w:val="95"/>
              </w:rPr>
              <w:t>Wholesale</w:t>
            </w:r>
          </w:p>
        </w:tc>
        <w:tc>
          <w:tcPr>
            <w:tcW w:w="340" w:type="dxa"/>
            <w:vAlign w:val="bottom"/>
            <w:tcBorders>
              <w:bottom w:val="single" w:sz="8" w:color="auto"/>
            </w:tcBorders>
          </w:tcPr>
          <w:p>
            <w:pPr>
              <w:spacing w:after="0"/>
              <w:rPr>
                <w:sz w:val="18"/>
                <w:szCs w:val="18"/>
                <w:color w:val="auto"/>
              </w:rPr>
            </w:pPr>
          </w:p>
        </w:tc>
        <w:tc>
          <w:tcPr>
            <w:tcW w:w="1080" w:type="dxa"/>
            <w:vAlign w:val="bottom"/>
            <w:tcBorders>
              <w:bottom w:val="single" w:sz="8" w:color="auto"/>
            </w:tcBorders>
          </w:tcPr>
          <w:p>
            <w:pPr>
              <w:jc w:val="right"/>
              <w:ind w:right="430"/>
              <w:spacing w:after="0"/>
              <w:rPr>
                <w:sz w:val="20"/>
                <w:szCs w:val="20"/>
                <w:color w:val="auto"/>
              </w:rPr>
            </w:pPr>
            <w:r>
              <w:rPr>
                <w:rFonts w:ascii="Arial" w:cs="Arial" w:eastAsia="Arial" w:hAnsi="Arial"/>
                <w:sz w:val="18"/>
                <w:szCs w:val="18"/>
                <w:color w:val="auto"/>
              </w:rPr>
              <w:t>Retail</w:t>
            </w:r>
          </w:p>
        </w:tc>
        <w:tc>
          <w:tcPr>
            <w:tcW w:w="24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color w:val="auto"/>
              </w:rPr>
              <w:t>Logistics</w:t>
            </w:r>
          </w:p>
        </w:tc>
        <w:tc>
          <w:tcPr>
            <w:tcW w:w="180" w:type="dxa"/>
            <w:vAlign w:val="bottom"/>
            <w:tcBorders>
              <w:bottom w:val="single" w:sz="8" w:color="auto"/>
            </w:tcBorders>
          </w:tcPr>
          <w:p>
            <w:pPr>
              <w:spacing w:after="0"/>
              <w:rPr>
                <w:sz w:val="18"/>
                <w:szCs w:val="18"/>
                <w:color w:val="auto"/>
              </w:rPr>
            </w:pPr>
          </w:p>
        </w:tc>
        <w:tc>
          <w:tcPr>
            <w:tcW w:w="1460" w:type="dxa"/>
            <w:vAlign w:val="bottom"/>
            <w:tcBorders>
              <w:bottom w:val="single" w:sz="8" w:color="auto"/>
            </w:tcBorders>
          </w:tcPr>
          <w:p>
            <w:pPr>
              <w:jc w:val="right"/>
              <w:ind w:right="430"/>
              <w:spacing w:after="0"/>
              <w:rPr>
                <w:sz w:val="20"/>
                <w:szCs w:val="20"/>
                <w:color w:val="auto"/>
              </w:rPr>
            </w:pPr>
            <w:r>
              <w:rPr>
                <w:rFonts w:ascii="Arial" w:cs="Arial" w:eastAsia="Arial" w:hAnsi="Arial"/>
                <w:sz w:val="18"/>
                <w:szCs w:val="18"/>
                <w:color w:val="auto"/>
                <w:w w:val="94"/>
              </w:rPr>
              <w:t>Eliminations</w:t>
            </w:r>
          </w:p>
        </w:tc>
        <w:tc>
          <w:tcPr>
            <w:tcW w:w="160" w:type="dxa"/>
            <w:vAlign w:val="bottom"/>
            <w:tcBorders>
              <w:bottom w:val="single" w:sz="8" w:color="auto"/>
            </w:tcBorders>
          </w:tcPr>
          <w:p>
            <w:pPr>
              <w:spacing w:after="0"/>
              <w:rPr>
                <w:sz w:val="18"/>
                <w:szCs w:val="18"/>
                <w:color w:val="auto"/>
              </w:rPr>
            </w:pPr>
          </w:p>
        </w:tc>
        <w:tc>
          <w:tcPr>
            <w:tcW w:w="108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w w:val="89"/>
              </w:rPr>
              <w:t>Consolidated</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vMerge w:val="restart"/>
          </w:tcPr>
          <w:p>
            <w:pPr>
              <w:spacing w:after="0"/>
              <w:rPr>
                <w:sz w:val="18"/>
                <w:szCs w:val="18"/>
                <w:color w:val="auto"/>
              </w:rPr>
            </w:pPr>
          </w:p>
        </w:tc>
        <w:tc>
          <w:tcPr>
            <w:tcW w:w="37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vMerge w:val="continue"/>
          </w:tcPr>
          <w:p>
            <w:pPr>
              <w:spacing w:after="0"/>
              <w:rPr>
                <w:sz w:val="18"/>
                <w:szCs w:val="18"/>
                <w:color w:val="auto"/>
              </w:rPr>
            </w:pPr>
          </w:p>
        </w:tc>
        <w:tc>
          <w:tcPr>
            <w:tcW w:w="3760" w:type="dxa"/>
            <w:vAlign w:val="bottom"/>
            <w:shd w:val="clear" w:color="auto" w:fill="CCEEFF"/>
          </w:tcPr>
          <w:p>
            <w:pPr>
              <w:spacing w:after="0"/>
              <w:rPr>
                <w:sz w:val="20"/>
                <w:szCs w:val="20"/>
                <w:color w:val="auto"/>
              </w:rPr>
            </w:pPr>
            <w:r>
              <w:rPr>
                <w:rFonts w:ascii="Arial" w:cs="Arial" w:eastAsia="Arial" w:hAnsi="Arial"/>
                <w:sz w:val="18"/>
                <w:szCs w:val="18"/>
                <w:color w:val="auto"/>
              </w:rPr>
              <w:t>Sales revenue:</w:t>
            </w:r>
          </w:p>
        </w:tc>
        <w:tc>
          <w:tcPr>
            <w:tcW w:w="14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3760" w:type="dxa"/>
            <w:vAlign w:val="bottom"/>
          </w:tcPr>
          <w:p>
            <w:pPr>
              <w:ind w:left="140"/>
              <w:spacing w:after="0"/>
              <w:rPr>
                <w:sz w:val="20"/>
                <w:szCs w:val="20"/>
                <w:color w:val="auto"/>
              </w:rPr>
            </w:pPr>
            <w:r>
              <w:rPr>
                <w:rFonts w:ascii="Arial" w:cs="Arial" w:eastAsia="Arial" w:hAnsi="Arial"/>
                <w:sz w:val="18"/>
                <w:szCs w:val="18"/>
                <w:color w:val="auto"/>
              </w:rPr>
              <w:t>Furniture &amp; accessories</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40" w:type="dxa"/>
            <w:vAlign w:val="bottom"/>
          </w:tcPr>
          <w:p>
            <w:pPr>
              <w:jc w:val="right"/>
              <w:ind w:right="30"/>
              <w:spacing w:after="0"/>
              <w:rPr>
                <w:sz w:val="20"/>
                <w:szCs w:val="20"/>
                <w:color w:val="auto"/>
              </w:rPr>
            </w:pPr>
            <w:r>
              <w:rPr>
                <w:rFonts w:ascii="Arial" w:cs="Arial" w:eastAsia="Arial" w:hAnsi="Arial"/>
                <w:sz w:val="18"/>
                <w:szCs w:val="18"/>
                <w:color w:val="auto"/>
              </w:rPr>
              <w:t>61,975</w:t>
            </w:r>
          </w:p>
        </w:tc>
        <w:tc>
          <w:tcPr>
            <w:tcW w:w="34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080" w:type="dxa"/>
            <w:vAlign w:val="bottom"/>
          </w:tcPr>
          <w:p>
            <w:pPr>
              <w:jc w:val="right"/>
              <w:ind w:right="50"/>
              <w:spacing w:after="0"/>
              <w:rPr>
                <w:sz w:val="20"/>
                <w:szCs w:val="20"/>
                <w:color w:val="auto"/>
              </w:rPr>
            </w:pPr>
            <w:r>
              <w:rPr>
                <w:rFonts w:ascii="Arial" w:cs="Arial" w:eastAsia="Arial" w:hAnsi="Arial"/>
                <w:sz w:val="18"/>
                <w:szCs w:val="18"/>
                <w:color w:val="auto"/>
              </w:rPr>
              <w:t>61,593</w:t>
            </w:r>
          </w:p>
        </w:tc>
        <w:tc>
          <w:tcPr>
            <w:tcW w:w="240" w:type="dxa"/>
            <w:vAlign w:val="bottom"/>
          </w:tcPr>
          <w:p>
            <w:pPr>
              <w:jc w:val="right"/>
              <w:spacing w:after="0"/>
              <w:rPr>
                <w:sz w:val="20"/>
                <w:szCs w:val="20"/>
                <w:color w:val="auto"/>
              </w:rPr>
            </w:pPr>
            <w:r>
              <w:rPr>
                <w:rFonts w:ascii="Arial" w:cs="Arial" w:eastAsia="Arial" w:hAnsi="Arial"/>
                <w:sz w:val="18"/>
                <w:szCs w:val="18"/>
                <w:color w:val="auto"/>
              </w:rPr>
              <w:t>$</w:t>
            </w:r>
          </w:p>
        </w:tc>
        <w:tc>
          <w:tcPr>
            <w:tcW w:w="114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80" w:type="dxa"/>
            <w:vAlign w:val="bottom"/>
          </w:tcPr>
          <w:p>
            <w:pPr>
              <w:jc w:val="right"/>
              <w:spacing w:after="0"/>
              <w:rPr>
                <w:sz w:val="20"/>
                <w:szCs w:val="20"/>
                <w:color w:val="auto"/>
              </w:rPr>
            </w:pPr>
            <w:r>
              <w:rPr>
                <w:rFonts w:ascii="Arial" w:cs="Arial" w:eastAsia="Arial" w:hAnsi="Arial"/>
                <w:sz w:val="18"/>
                <w:szCs w:val="18"/>
                <w:color w:val="auto"/>
              </w:rPr>
              <w:t>$</w:t>
            </w:r>
          </w:p>
        </w:tc>
        <w:tc>
          <w:tcPr>
            <w:tcW w:w="1460" w:type="dxa"/>
            <w:vAlign w:val="bottom"/>
          </w:tcPr>
          <w:p>
            <w:pPr>
              <w:jc w:val="right"/>
              <w:spacing w:after="0"/>
              <w:rPr>
                <w:sz w:val="20"/>
                <w:szCs w:val="20"/>
                <w:color w:val="auto"/>
              </w:rPr>
            </w:pPr>
            <w:r>
              <w:rPr>
                <w:rFonts w:ascii="Arial" w:cs="Arial" w:eastAsia="Arial" w:hAnsi="Arial"/>
                <w:sz w:val="18"/>
                <w:szCs w:val="18"/>
                <w:color w:val="auto"/>
              </w:rPr>
              <w:t>(29,870) (1)</w:t>
            </w:r>
          </w:p>
        </w:tc>
        <w:tc>
          <w:tcPr>
            <w:tcW w:w="160" w:type="dxa"/>
            <w:vAlign w:val="bottom"/>
          </w:tcPr>
          <w:p>
            <w:pPr>
              <w:jc w:val="right"/>
              <w:spacing w:after="0"/>
              <w:rPr>
                <w:sz w:val="20"/>
                <w:szCs w:val="20"/>
                <w:color w:val="auto"/>
              </w:rPr>
            </w:pPr>
            <w:r>
              <w:rPr>
                <w:rFonts w:ascii="Arial" w:cs="Arial" w:eastAsia="Arial" w:hAnsi="Arial"/>
                <w:sz w:val="18"/>
                <w:szCs w:val="18"/>
                <w:color w:val="auto"/>
              </w:rPr>
              <w:t>$</w:t>
            </w:r>
          </w:p>
        </w:tc>
        <w:tc>
          <w:tcPr>
            <w:tcW w:w="1180" w:type="dxa"/>
            <w:vAlign w:val="bottom"/>
            <w:gridSpan w:val="3"/>
          </w:tcPr>
          <w:p>
            <w:pPr>
              <w:jc w:val="right"/>
              <w:ind w:right="100"/>
              <w:spacing w:after="0"/>
              <w:rPr>
                <w:sz w:val="20"/>
                <w:szCs w:val="20"/>
                <w:color w:val="auto"/>
              </w:rPr>
            </w:pPr>
            <w:r>
              <w:rPr>
                <w:rFonts w:ascii="Arial" w:cs="Arial" w:eastAsia="Arial" w:hAnsi="Arial"/>
                <w:sz w:val="18"/>
                <w:szCs w:val="18"/>
                <w:color w:val="auto"/>
              </w:rPr>
              <w:t>93,698</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376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Logistics</w:t>
            </w:r>
          </w:p>
        </w:tc>
        <w:tc>
          <w:tcPr>
            <w:tcW w:w="140" w:type="dxa"/>
            <w:vAlign w:val="bottom"/>
            <w:tcBorders>
              <w:bottom w:val="single" w:sz="8" w:color="auto"/>
            </w:tcBorders>
            <w:shd w:val="clear" w:color="auto" w:fill="CCEEFF"/>
          </w:tcPr>
          <w:p>
            <w:pPr>
              <w:spacing w:after="0"/>
              <w:rPr>
                <w:sz w:val="18"/>
                <w:szCs w:val="18"/>
                <w:color w:val="auto"/>
              </w:rPr>
            </w:pPr>
          </w:p>
        </w:tc>
        <w:tc>
          <w:tcPr>
            <w:tcW w:w="11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340" w:type="dxa"/>
            <w:vAlign w:val="bottom"/>
            <w:tcBorders>
              <w:bottom w:val="single" w:sz="8" w:color="auto"/>
            </w:tcBorders>
            <w:shd w:val="clear" w:color="auto" w:fill="CCEEFF"/>
          </w:tcPr>
          <w:p>
            <w:pPr>
              <w:spacing w:after="0"/>
              <w:rPr>
                <w:sz w:val="18"/>
                <w:szCs w:val="18"/>
                <w:color w:val="auto"/>
              </w:rPr>
            </w:pPr>
          </w:p>
        </w:tc>
        <w:tc>
          <w:tcPr>
            <w:tcW w:w="108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auto"/>
            </w:tcBorders>
            <w:shd w:val="clear" w:color="auto" w:fill="CCEEFF"/>
          </w:tcPr>
          <w:p>
            <w:pPr>
              <w:spacing w:after="0"/>
              <w:rPr>
                <w:sz w:val="18"/>
                <w:szCs w:val="18"/>
                <w:color w:val="auto"/>
              </w:rPr>
            </w:pPr>
          </w:p>
        </w:tc>
        <w:tc>
          <w:tcPr>
            <w:tcW w:w="114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rPr>
              <w:t>22,334</w:t>
            </w:r>
          </w:p>
        </w:tc>
        <w:tc>
          <w:tcPr>
            <w:tcW w:w="180" w:type="dxa"/>
            <w:vAlign w:val="bottom"/>
            <w:tcBorders>
              <w:bottom w:val="single" w:sz="8" w:color="auto"/>
            </w:tcBorders>
            <w:shd w:val="clear" w:color="auto" w:fill="CCEEFF"/>
          </w:tcPr>
          <w:p>
            <w:pPr>
              <w:spacing w:after="0"/>
              <w:rPr>
                <w:sz w:val="18"/>
                <w:szCs w:val="18"/>
                <w:color w:val="auto"/>
              </w:rPr>
            </w:pPr>
          </w:p>
        </w:tc>
        <w:tc>
          <w:tcPr>
            <w:tcW w:w="14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(10,140) (2)</w:t>
            </w:r>
          </w:p>
        </w:tc>
        <w:tc>
          <w:tcPr>
            <w:tcW w:w="160" w:type="dxa"/>
            <w:vAlign w:val="bottom"/>
            <w:tcBorders>
              <w:bottom w:val="single" w:sz="8" w:color="auto"/>
            </w:tcBorders>
            <w:shd w:val="clear" w:color="auto" w:fill="CCEEFF"/>
          </w:tcPr>
          <w:p>
            <w:pPr>
              <w:spacing w:after="0"/>
              <w:rPr>
                <w:sz w:val="18"/>
                <w:szCs w:val="18"/>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12,194</w:t>
            </w:r>
          </w:p>
        </w:tc>
        <w:tc>
          <w:tcPr>
            <w:tcW w:w="100" w:type="dxa"/>
            <w:vAlign w:val="bottom"/>
            <w:tcBorders>
              <w:bottom w:val="single" w:sz="8" w:color="CCEEFF"/>
            </w:tcBorders>
            <w:gridSpan w:val="2"/>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3760" w:type="dxa"/>
            <w:vAlign w:val="bottom"/>
          </w:tcPr>
          <w:p>
            <w:pPr>
              <w:ind w:left="320"/>
              <w:spacing w:after="0"/>
              <w:rPr>
                <w:sz w:val="20"/>
                <w:szCs w:val="20"/>
                <w:color w:val="auto"/>
              </w:rPr>
            </w:pPr>
            <w:r>
              <w:rPr>
                <w:rFonts w:ascii="Arial" w:cs="Arial" w:eastAsia="Arial" w:hAnsi="Arial"/>
                <w:sz w:val="18"/>
                <w:szCs w:val="18"/>
                <w:color w:val="auto"/>
              </w:rPr>
              <w:t>Total sales revenue</w:t>
            </w:r>
          </w:p>
        </w:tc>
        <w:tc>
          <w:tcPr>
            <w:tcW w:w="140" w:type="dxa"/>
            <w:vAlign w:val="bottom"/>
          </w:tcPr>
          <w:p>
            <w:pPr>
              <w:spacing w:after="0"/>
              <w:rPr>
                <w:sz w:val="18"/>
                <w:szCs w:val="18"/>
                <w:color w:val="auto"/>
              </w:rPr>
            </w:pPr>
          </w:p>
        </w:tc>
        <w:tc>
          <w:tcPr>
            <w:tcW w:w="1140" w:type="dxa"/>
            <w:vAlign w:val="bottom"/>
          </w:tcPr>
          <w:p>
            <w:pPr>
              <w:jc w:val="right"/>
              <w:ind w:right="30"/>
              <w:spacing w:after="0"/>
              <w:rPr>
                <w:sz w:val="20"/>
                <w:szCs w:val="20"/>
                <w:color w:val="auto"/>
              </w:rPr>
            </w:pPr>
            <w:r>
              <w:rPr>
                <w:rFonts w:ascii="Arial" w:cs="Arial" w:eastAsia="Arial" w:hAnsi="Arial"/>
                <w:sz w:val="18"/>
                <w:szCs w:val="18"/>
                <w:color w:val="auto"/>
              </w:rPr>
              <w:t>61,975</w:t>
            </w:r>
          </w:p>
        </w:tc>
        <w:tc>
          <w:tcPr>
            <w:tcW w:w="340" w:type="dxa"/>
            <w:vAlign w:val="bottom"/>
          </w:tcPr>
          <w:p>
            <w:pPr>
              <w:spacing w:after="0"/>
              <w:rPr>
                <w:sz w:val="18"/>
                <w:szCs w:val="18"/>
                <w:color w:val="auto"/>
              </w:rPr>
            </w:pPr>
          </w:p>
        </w:tc>
        <w:tc>
          <w:tcPr>
            <w:tcW w:w="1080" w:type="dxa"/>
            <w:vAlign w:val="bottom"/>
          </w:tcPr>
          <w:p>
            <w:pPr>
              <w:jc w:val="right"/>
              <w:ind w:right="50"/>
              <w:spacing w:after="0"/>
              <w:rPr>
                <w:sz w:val="20"/>
                <w:szCs w:val="20"/>
                <w:color w:val="auto"/>
              </w:rPr>
            </w:pPr>
            <w:r>
              <w:rPr>
                <w:rFonts w:ascii="Arial" w:cs="Arial" w:eastAsia="Arial" w:hAnsi="Arial"/>
                <w:sz w:val="18"/>
                <w:szCs w:val="18"/>
                <w:color w:val="auto"/>
              </w:rPr>
              <w:t>61,593</w:t>
            </w:r>
          </w:p>
        </w:tc>
        <w:tc>
          <w:tcPr>
            <w:tcW w:w="240" w:type="dxa"/>
            <w:vAlign w:val="bottom"/>
          </w:tcPr>
          <w:p>
            <w:pPr>
              <w:spacing w:after="0"/>
              <w:rPr>
                <w:sz w:val="18"/>
                <w:szCs w:val="18"/>
                <w:color w:val="auto"/>
              </w:rPr>
            </w:pPr>
          </w:p>
        </w:tc>
        <w:tc>
          <w:tcPr>
            <w:tcW w:w="1140" w:type="dxa"/>
            <w:vAlign w:val="bottom"/>
          </w:tcPr>
          <w:p>
            <w:pPr>
              <w:jc w:val="right"/>
              <w:ind w:right="50"/>
              <w:spacing w:after="0"/>
              <w:rPr>
                <w:sz w:val="20"/>
                <w:szCs w:val="20"/>
                <w:color w:val="auto"/>
              </w:rPr>
            </w:pPr>
            <w:r>
              <w:rPr>
                <w:rFonts w:ascii="Arial" w:cs="Arial" w:eastAsia="Arial" w:hAnsi="Arial"/>
                <w:sz w:val="18"/>
                <w:szCs w:val="18"/>
                <w:color w:val="auto"/>
              </w:rPr>
              <w:t>22,334</w:t>
            </w:r>
          </w:p>
        </w:tc>
        <w:tc>
          <w:tcPr>
            <w:tcW w:w="180" w:type="dxa"/>
            <w:vAlign w:val="bottom"/>
          </w:tcPr>
          <w:p>
            <w:pPr>
              <w:spacing w:after="0"/>
              <w:rPr>
                <w:sz w:val="18"/>
                <w:szCs w:val="18"/>
                <w:color w:val="auto"/>
              </w:rPr>
            </w:pPr>
          </w:p>
        </w:tc>
        <w:tc>
          <w:tcPr>
            <w:tcW w:w="1460" w:type="dxa"/>
            <w:vAlign w:val="bottom"/>
          </w:tcPr>
          <w:p>
            <w:pPr>
              <w:jc w:val="right"/>
              <w:ind w:right="230"/>
              <w:spacing w:after="0"/>
              <w:rPr>
                <w:sz w:val="20"/>
                <w:szCs w:val="20"/>
                <w:color w:val="auto"/>
              </w:rPr>
            </w:pPr>
            <w:r>
              <w:rPr>
                <w:rFonts w:ascii="Arial" w:cs="Arial" w:eastAsia="Arial" w:hAnsi="Arial"/>
                <w:sz w:val="18"/>
                <w:szCs w:val="18"/>
                <w:color w:val="auto"/>
              </w:rPr>
              <w:t>(40,010)</w:t>
            </w:r>
          </w:p>
        </w:tc>
        <w:tc>
          <w:tcPr>
            <w:tcW w:w="160" w:type="dxa"/>
            <w:vAlign w:val="bottom"/>
          </w:tcPr>
          <w:p>
            <w:pPr>
              <w:spacing w:after="0"/>
              <w:rPr>
                <w:sz w:val="18"/>
                <w:szCs w:val="18"/>
                <w:color w:val="auto"/>
              </w:rPr>
            </w:pPr>
          </w:p>
        </w:tc>
        <w:tc>
          <w:tcPr>
            <w:tcW w:w="1100" w:type="dxa"/>
            <w:vAlign w:val="bottom"/>
            <w:gridSpan w:val="2"/>
          </w:tcPr>
          <w:p>
            <w:pPr>
              <w:jc w:val="right"/>
              <w:ind w:right="20"/>
              <w:spacing w:after="0"/>
              <w:rPr>
                <w:sz w:val="20"/>
                <w:szCs w:val="20"/>
                <w:color w:val="auto"/>
              </w:rPr>
            </w:pPr>
            <w:r>
              <w:rPr>
                <w:rFonts w:ascii="Arial" w:cs="Arial" w:eastAsia="Arial" w:hAnsi="Arial"/>
                <w:sz w:val="18"/>
                <w:szCs w:val="18"/>
                <w:color w:val="auto"/>
              </w:rPr>
              <w:t>105,892</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3760" w:type="dxa"/>
            <w:vAlign w:val="bottom"/>
            <w:shd w:val="clear" w:color="auto" w:fill="CCEEFF"/>
          </w:tcPr>
          <w:p>
            <w:pPr>
              <w:spacing w:after="0"/>
              <w:rPr>
                <w:sz w:val="20"/>
                <w:szCs w:val="20"/>
                <w:color w:val="auto"/>
              </w:rPr>
            </w:pPr>
            <w:r>
              <w:rPr>
                <w:rFonts w:ascii="Arial" w:cs="Arial" w:eastAsia="Arial" w:hAnsi="Arial"/>
                <w:sz w:val="18"/>
                <w:szCs w:val="18"/>
                <w:color w:val="auto"/>
              </w:rPr>
              <w:t>Cost of furniture and accessories sold</w:t>
            </w:r>
          </w:p>
        </w:tc>
        <w:tc>
          <w:tcPr>
            <w:tcW w:w="14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40,169</w:t>
            </w:r>
          </w:p>
        </w:tc>
        <w:tc>
          <w:tcPr>
            <w:tcW w:w="340" w:type="dxa"/>
            <w:vAlign w:val="bottom"/>
            <w:shd w:val="clear" w:color="auto" w:fill="CCEEFF"/>
          </w:tcPr>
          <w:p>
            <w:pPr>
              <w:spacing w:after="0"/>
              <w:rPr>
                <w:sz w:val="18"/>
                <w:szCs w:val="18"/>
                <w:color w:val="auto"/>
              </w:rPr>
            </w:pPr>
          </w:p>
        </w:tc>
        <w:tc>
          <w:tcPr>
            <w:tcW w:w="108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31,459</w:t>
            </w:r>
          </w:p>
        </w:tc>
        <w:tc>
          <w:tcPr>
            <w:tcW w:w="24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(29,730) (3)</w:t>
            </w:r>
          </w:p>
        </w:tc>
        <w:tc>
          <w:tcPr>
            <w:tcW w:w="160" w:type="dxa"/>
            <w:vAlign w:val="bottom"/>
            <w:shd w:val="clear" w:color="auto" w:fill="CCEEFF"/>
          </w:tcPr>
          <w:p>
            <w:pPr>
              <w:spacing w:after="0"/>
              <w:rPr>
                <w:sz w:val="18"/>
                <w:szCs w:val="18"/>
                <w:color w:val="auto"/>
              </w:rPr>
            </w:pPr>
          </w:p>
        </w:tc>
        <w:tc>
          <w:tcPr>
            <w:tcW w:w="118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41,898</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3760" w:type="dxa"/>
            <w:vAlign w:val="bottom"/>
          </w:tcPr>
          <w:p>
            <w:pPr>
              <w:spacing w:after="0"/>
              <w:rPr>
                <w:sz w:val="20"/>
                <w:szCs w:val="20"/>
                <w:color w:val="auto"/>
              </w:rPr>
            </w:pPr>
            <w:r>
              <w:rPr>
                <w:rFonts w:ascii="Arial" w:cs="Arial" w:eastAsia="Arial" w:hAnsi="Arial"/>
                <w:sz w:val="18"/>
                <w:szCs w:val="18"/>
                <w:color w:val="auto"/>
              </w:rPr>
              <w:t>SG&amp;A expense</w:t>
            </w:r>
          </w:p>
        </w:tc>
        <w:tc>
          <w:tcPr>
            <w:tcW w:w="140" w:type="dxa"/>
            <w:vAlign w:val="bottom"/>
          </w:tcPr>
          <w:p>
            <w:pPr>
              <w:spacing w:after="0"/>
              <w:rPr>
                <w:sz w:val="18"/>
                <w:szCs w:val="18"/>
                <w:color w:val="auto"/>
              </w:rPr>
            </w:pPr>
          </w:p>
        </w:tc>
        <w:tc>
          <w:tcPr>
            <w:tcW w:w="1140" w:type="dxa"/>
            <w:vAlign w:val="bottom"/>
          </w:tcPr>
          <w:p>
            <w:pPr>
              <w:jc w:val="right"/>
              <w:ind w:right="30"/>
              <w:spacing w:after="0"/>
              <w:rPr>
                <w:sz w:val="20"/>
                <w:szCs w:val="20"/>
                <w:color w:val="auto"/>
              </w:rPr>
            </w:pPr>
            <w:r>
              <w:rPr>
                <w:rFonts w:ascii="Arial" w:cs="Arial" w:eastAsia="Arial" w:hAnsi="Arial"/>
                <w:sz w:val="18"/>
                <w:szCs w:val="18"/>
                <w:color w:val="auto"/>
              </w:rPr>
              <w:t>15,913</w:t>
            </w:r>
          </w:p>
        </w:tc>
        <w:tc>
          <w:tcPr>
            <w:tcW w:w="340" w:type="dxa"/>
            <w:vAlign w:val="bottom"/>
          </w:tcPr>
          <w:p>
            <w:pPr>
              <w:spacing w:after="0"/>
              <w:rPr>
                <w:sz w:val="18"/>
                <w:szCs w:val="18"/>
                <w:color w:val="auto"/>
              </w:rPr>
            </w:pPr>
          </w:p>
        </w:tc>
        <w:tc>
          <w:tcPr>
            <w:tcW w:w="1080" w:type="dxa"/>
            <w:vAlign w:val="bottom"/>
          </w:tcPr>
          <w:p>
            <w:pPr>
              <w:jc w:val="right"/>
              <w:ind w:right="50"/>
              <w:spacing w:after="0"/>
              <w:rPr>
                <w:sz w:val="20"/>
                <w:szCs w:val="20"/>
                <w:color w:val="auto"/>
              </w:rPr>
            </w:pPr>
            <w:r>
              <w:rPr>
                <w:rFonts w:ascii="Arial" w:cs="Arial" w:eastAsia="Arial" w:hAnsi="Arial"/>
                <w:sz w:val="18"/>
                <w:szCs w:val="18"/>
                <w:color w:val="auto"/>
              </w:rPr>
              <w:t>30,671</w:t>
            </w:r>
          </w:p>
        </w:tc>
        <w:tc>
          <w:tcPr>
            <w:tcW w:w="240" w:type="dxa"/>
            <w:vAlign w:val="bottom"/>
          </w:tcPr>
          <w:p>
            <w:pPr>
              <w:spacing w:after="0"/>
              <w:rPr>
                <w:sz w:val="18"/>
                <w:szCs w:val="18"/>
                <w:color w:val="auto"/>
              </w:rPr>
            </w:pPr>
          </w:p>
        </w:tc>
        <w:tc>
          <w:tcPr>
            <w:tcW w:w="1140" w:type="dxa"/>
            <w:vAlign w:val="bottom"/>
          </w:tcPr>
          <w:p>
            <w:pPr>
              <w:jc w:val="right"/>
              <w:ind w:right="50"/>
              <w:spacing w:after="0"/>
              <w:rPr>
                <w:sz w:val="20"/>
                <w:szCs w:val="20"/>
                <w:color w:val="auto"/>
              </w:rPr>
            </w:pPr>
            <w:r>
              <w:rPr>
                <w:rFonts w:ascii="Arial" w:cs="Arial" w:eastAsia="Arial" w:hAnsi="Arial"/>
                <w:sz w:val="18"/>
                <w:szCs w:val="18"/>
                <w:color w:val="auto"/>
              </w:rPr>
              <w:t>22,560</w:t>
            </w:r>
          </w:p>
        </w:tc>
        <w:tc>
          <w:tcPr>
            <w:tcW w:w="180" w:type="dxa"/>
            <w:vAlign w:val="bottom"/>
          </w:tcPr>
          <w:p>
            <w:pPr>
              <w:spacing w:after="0"/>
              <w:rPr>
                <w:sz w:val="18"/>
                <w:szCs w:val="18"/>
                <w:color w:val="auto"/>
              </w:rPr>
            </w:pPr>
          </w:p>
        </w:tc>
        <w:tc>
          <w:tcPr>
            <w:tcW w:w="1460" w:type="dxa"/>
            <w:vAlign w:val="bottom"/>
          </w:tcPr>
          <w:p>
            <w:pPr>
              <w:jc w:val="right"/>
              <w:spacing w:after="0"/>
              <w:rPr>
                <w:sz w:val="20"/>
                <w:szCs w:val="20"/>
                <w:color w:val="auto"/>
              </w:rPr>
            </w:pPr>
            <w:r>
              <w:rPr>
                <w:rFonts w:ascii="Arial" w:cs="Arial" w:eastAsia="Arial" w:hAnsi="Arial"/>
                <w:sz w:val="18"/>
                <w:szCs w:val="18"/>
                <w:color w:val="auto"/>
              </w:rPr>
              <w:t>(10,620) (4)</w:t>
            </w:r>
          </w:p>
        </w:tc>
        <w:tc>
          <w:tcPr>
            <w:tcW w:w="160" w:type="dxa"/>
            <w:vAlign w:val="bottom"/>
          </w:tcPr>
          <w:p>
            <w:pPr>
              <w:spacing w:after="0"/>
              <w:rPr>
                <w:sz w:val="18"/>
                <w:szCs w:val="18"/>
                <w:color w:val="auto"/>
              </w:rPr>
            </w:pPr>
          </w:p>
        </w:tc>
        <w:tc>
          <w:tcPr>
            <w:tcW w:w="1180" w:type="dxa"/>
            <w:vAlign w:val="bottom"/>
            <w:gridSpan w:val="3"/>
          </w:tcPr>
          <w:p>
            <w:pPr>
              <w:jc w:val="right"/>
              <w:ind w:right="100"/>
              <w:spacing w:after="0"/>
              <w:rPr>
                <w:sz w:val="20"/>
                <w:szCs w:val="20"/>
                <w:color w:val="auto"/>
              </w:rPr>
            </w:pPr>
            <w:r>
              <w:rPr>
                <w:rFonts w:ascii="Arial" w:cs="Arial" w:eastAsia="Arial" w:hAnsi="Arial"/>
                <w:sz w:val="18"/>
                <w:szCs w:val="18"/>
                <w:color w:val="auto"/>
              </w:rPr>
              <w:t>58,524</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37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New store pre-opening costs</w:t>
            </w:r>
          </w:p>
        </w:tc>
        <w:tc>
          <w:tcPr>
            <w:tcW w:w="140" w:type="dxa"/>
            <w:vAlign w:val="bottom"/>
            <w:tcBorders>
              <w:bottom w:val="single" w:sz="8" w:color="auto"/>
            </w:tcBorders>
            <w:shd w:val="clear" w:color="auto" w:fill="CCEEFF"/>
          </w:tcPr>
          <w:p>
            <w:pPr>
              <w:spacing w:after="0"/>
              <w:rPr>
                <w:sz w:val="18"/>
                <w:szCs w:val="18"/>
                <w:color w:val="auto"/>
              </w:rPr>
            </w:pPr>
          </w:p>
        </w:tc>
        <w:tc>
          <w:tcPr>
            <w:tcW w:w="11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340" w:type="dxa"/>
            <w:vAlign w:val="bottom"/>
            <w:tcBorders>
              <w:bottom w:val="single" w:sz="8" w:color="auto"/>
            </w:tcBorders>
            <w:shd w:val="clear" w:color="auto" w:fill="CCEEFF"/>
          </w:tcPr>
          <w:p>
            <w:pPr>
              <w:spacing w:after="0"/>
              <w:rPr>
                <w:sz w:val="18"/>
                <w:szCs w:val="18"/>
                <w:color w:val="auto"/>
              </w:rPr>
            </w:pPr>
          </w:p>
        </w:tc>
        <w:tc>
          <w:tcPr>
            <w:tcW w:w="108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rPr>
              <w:t>806</w:t>
            </w:r>
          </w:p>
        </w:tc>
        <w:tc>
          <w:tcPr>
            <w:tcW w:w="240" w:type="dxa"/>
            <w:vAlign w:val="bottom"/>
            <w:tcBorders>
              <w:bottom w:val="single" w:sz="8" w:color="auto"/>
            </w:tcBorders>
            <w:shd w:val="clear" w:color="auto" w:fill="CCEEFF"/>
          </w:tcPr>
          <w:p>
            <w:pPr>
              <w:spacing w:after="0"/>
              <w:rPr>
                <w:sz w:val="18"/>
                <w:szCs w:val="18"/>
                <w:color w:val="auto"/>
              </w:rPr>
            </w:pPr>
          </w:p>
        </w:tc>
        <w:tc>
          <w:tcPr>
            <w:tcW w:w="114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auto"/>
            </w:tcBorders>
            <w:shd w:val="clear" w:color="auto" w:fill="CCEEFF"/>
          </w:tcPr>
          <w:p>
            <w:pPr>
              <w:spacing w:after="0"/>
              <w:rPr>
                <w:sz w:val="18"/>
                <w:szCs w:val="18"/>
                <w:color w:val="auto"/>
              </w:rPr>
            </w:pPr>
          </w:p>
        </w:tc>
        <w:tc>
          <w:tcPr>
            <w:tcW w:w="1460" w:type="dxa"/>
            <w:vAlign w:val="bottom"/>
            <w:tcBorders>
              <w:bottom w:val="single" w:sz="8" w:color="auto"/>
            </w:tcBorders>
            <w:shd w:val="clear" w:color="auto" w:fill="CCEEFF"/>
          </w:tcPr>
          <w:p>
            <w:pPr>
              <w:jc w:val="right"/>
              <w:ind w:right="29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auto"/>
            </w:tcBorders>
            <w:shd w:val="clear" w:color="auto" w:fill="CCEEFF"/>
          </w:tcPr>
          <w:p>
            <w:pPr>
              <w:spacing w:after="0"/>
              <w:rPr>
                <w:sz w:val="18"/>
                <w:szCs w:val="18"/>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806</w:t>
            </w:r>
          </w:p>
        </w:tc>
        <w:tc>
          <w:tcPr>
            <w:tcW w:w="2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3780" w:type="dxa"/>
            <w:vAlign w:val="bottom"/>
            <w:gridSpan w:val="2"/>
          </w:tcPr>
          <w:p>
            <w:pPr>
              <w:spacing w:after="0"/>
              <w:rPr>
                <w:sz w:val="20"/>
                <w:szCs w:val="20"/>
                <w:color w:val="auto"/>
              </w:rPr>
            </w:pPr>
            <w:r>
              <w:rPr>
                <w:rFonts w:ascii="Arial" w:cs="Arial" w:eastAsia="Arial" w:hAnsi="Arial"/>
                <w:sz w:val="18"/>
                <w:szCs w:val="18"/>
                <w:color w:val="auto"/>
              </w:rPr>
              <w:t>Income (loss) from operations</w:t>
            </w: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1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5,893</w:t>
            </w:r>
          </w:p>
        </w:tc>
        <w:tc>
          <w:tcPr>
            <w:tcW w:w="3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w:t>
            </w: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(1,343)</w:t>
            </w:r>
          </w:p>
        </w:tc>
        <w:tc>
          <w:tcPr>
            <w:tcW w:w="2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(226)</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46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color w:val="auto"/>
              </w:rPr>
              <w:t>340</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10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4,664</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7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8" w:lineRule="exact"/>
        <w:rPr>
          <w:sz w:val="20"/>
          <w:szCs w:val="20"/>
          <w:color w:val="auto"/>
        </w:rPr>
      </w:pPr>
    </w:p>
    <w:p>
      <w:pPr>
        <w:ind w:left="340" w:hanging="332"/>
        <w:spacing w:after="0"/>
        <w:tabs>
          <w:tab w:leader="none" w:pos="340" w:val="left"/>
        </w:tabs>
        <w:numPr>
          <w:ilvl w:val="0"/>
          <w:numId w:val="6"/>
        </w:numPr>
        <w:rPr>
          <w:rFonts w:ascii="Arial" w:cs="Arial" w:eastAsia="Arial" w:hAnsi="Arial"/>
          <w:sz w:val="18"/>
          <w:szCs w:val="18"/>
          <w:color w:val="auto"/>
        </w:rPr>
      </w:pPr>
      <w:r>
        <w:rPr>
          <w:rFonts w:ascii="Arial" w:cs="Arial" w:eastAsia="Arial" w:hAnsi="Arial"/>
          <w:sz w:val="18"/>
          <w:szCs w:val="18"/>
          <w:color w:val="auto"/>
        </w:rPr>
        <w:t>Represents the elimination of sales from our wholesale segment to our Company-owned BHF stores.</w:t>
      </w:r>
    </w:p>
    <w:p>
      <w:pPr>
        <w:spacing w:after="0" w:line="22" w:lineRule="exact"/>
        <w:rPr>
          <w:rFonts w:ascii="Arial" w:cs="Arial" w:eastAsia="Arial" w:hAnsi="Arial"/>
          <w:sz w:val="18"/>
          <w:szCs w:val="18"/>
          <w:color w:val="auto"/>
        </w:rPr>
      </w:pPr>
    </w:p>
    <w:p>
      <w:pPr>
        <w:ind w:left="340" w:hanging="332"/>
        <w:spacing w:after="0"/>
        <w:tabs>
          <w:tab w:leader="none" w:pos="340" w:val="left"/>
        </w:tabs>
        <w:numPr>
          <w:ilvl w:val="0"/>
          <w:numId w:val="6"/>
        </w:numPr>
        <w:rPr>
          <w:rFonts w:ascii="Arial" w:cs="Arial" w:eastAsia="Arial" w:hAnsi="Arial"/>
          <w:sz w:val="18"/>
          <w:szCs w:val="18"/>
          <w:color w:val="auto"/>
        </w:rPr>
      </w:pPr>
      <w:r>
        <w:rPr>
          <w:rFonts w:ascii="Arial" w:cs="Arial" w:eastAsia="Arial" w:hAnsi="Arial"/>
          <w:sz w:val="18"/>
          <w:szCs w:val="18"/>
          <w:color w:val="auto"/>
        </w:rPr>
        <w:t>Represents the elimination of logistical services billed to our wholesale and retail segments.</w:t>
      </w:r>
    </w:p>
    <w:p>
      <w:pPr>
        <w:spacing w:after="0" w:line="8" w:lineRule="exact"/>
        <w:rPr>
          <w:rFonts w:ascii="Arial" w:cs="Arial" w:eastAsia="Arial" w:hAnsi="Arial"/>
          <w:sz w:val="18"/>
          <w:szCs w:val="18"/>
          <w:color w:val="auto"/>
        </w:rPr>
      </w:pPr>
    </w:p>
    <w:p>
      <w:pPr>
        <w:ind w:left="340" w:right="420" w:hanging="332"/>
        <w:spacing w:after="0" w:line="249" w:lineRule="auto"/>
        <w:tabs>
          <w:tab w:leader="none" w:pos="340" w:val="left"/>
        </w:tabs>
        <w:numPr>
          <w:ilvl w:val="0"/>
          <w:numId w:val="6"/>
        </w:numPr>
        <w:rPr>
          <w:rFonts w:ascii="Arial" w:cs="Arial" w:eastAsia="Arial" w:hAnsi="Arial"/>
          <w:sz w:val="18"/>
          <w:szCs w:val="18"/>
          <w:color w:val="auto"/>
        </w:rPr>
      </w:pPr>
      <w:r>
        <w:rPr>
          <w:rFonts w:ascii="Arial" w:cs="Arial" w:eastAsia="Arial" w:hAnsi="Arial"/>
          <w:sz w:val="18"/>
          <w:szCs w:val="18"/>
          <w:color w:val="auto"/>
        </w:rPr>
        <w:t>Represents the elimination of purchases by our Company-owned BHF stores from our wholesale segment, as well as the change for the period in the elimination of intercompany profit in ending retail inventory.</w:t>
      </w:r>
    </w:p>
    <w:p>
      <w:pPr>
        <w:spacing w:after="0" w:line="1" w:lineRule="exact"/>
        <w:rPr>
          <w:rFonts w:ascii="Arial" w:cs="Arial" w:eastAsia="Arial" w:hAnsi="Arial"/>
          <w:sz w:val="18"/>
          <w:szCs w:val="18"/>
          <w:color w:val="auto"/>
        </w:rPr>
      </w:pPr>
    </w:p>
    <w:p>
      <w:pPr>
        <w:ind w:left="340" w:right="260" w:hanging="332"/>
        <w:spacing w:after="0" w:line="259" w:lineRule="auto"/>
        <w:tabs>
          <w:tab w:leader="none" w:pos="340" w:val="left"/>
        </w:tabs>
        <w:numPr>
          <w:ilvl w:val="0"/>
          <w:numId w:val="6"/>
        </w:numPr>
        <w:rPr>
          <w:rFonts w:ascii="Arial" w:cs="Arial" w:eastAsia="Arial" w:hAnsi="Arial"/>
          <w:sz w:val="18"/>
          <w:szCs w:val="18"/>
          <w:color w:val="auto"/>
        </w:rPr>
      </w:pPr>
      <w:r>
        <w:rPr>
          <w:rFonts w:ascii="Arial" w:cs="Arial" w:eastAsia="Arial" w:hAnsi="Arial"/>
          <w:sz w:val="18"/>
          <w:szCs w:val="18"/>
          <w:color w:val="auto"/>
        </w:rPr>
        <w:t>Represents the elimination of rent paid by our retail stores occupying Company-owned real estate, and the elimination of logisitcal services charged by Zenith to Bassett's retail and wholesale segments as follows:</w:t>
      </w:r>
    </w:p>
    <w:p>
      <w:pPr>
        <w:spacing w:after="0" w:line="21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20" w:type="dxa"/>
            <w:vAlign w:val="bottom"/>
          </w:tcPr>
          <w:p>
            <w:pPr>
              <w:spacing w:after="0"/>
              <w:rPr>
                <w:sz w:val="19"/>
                <w:szCs w:val="19"/>
                <w:color w:val="auto"/>
              </w:rPr>
            </w:pPr>
          </w:p>
        </w:tc>
        <w:tc>
          <w:tcPr>
            <w:tcW w:w="516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230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rPr>
              <w:t>Quarter Ended</w:t>
            </w:r>
          </w:p>
        </w:tc>
        <w:tc>
          <w:tcPr>
            <w:tcW w:w="140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22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4"/>
        </w:trPr>
        <w:tc>
          <w:tcPr>
            <w:tcW w:w="20" w:type="dxa"/>
            <w:vAlign w:val="bottom"/>
          </w:tcPr>
          <w:p>
            <w:pPr>
              <w:spacing w:after="0"/>
              <w:rPr>
                <w:sz w:val="16"/>
                <w:szCs w:val="16"/>
                <w:color w:val="auto"/>
              </w:rPr>
            </w:pPr>
          </w:p>
        </w:tc>
        <w:tc>
          <w:tcPr>
            <w:tcW w:w="51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800" w:type="dxa"/>
            <w:vAlign w:val="bottom"/>
          </w:tcPr>
          <w:p>
            <w:pPr>
              <w:jc w:val="right"/>
              <w:ind w:right="490"/>
              <w:spacing w:after="0" w:line="195" w:lineRule="exact"/>
              <w:rPr>
                <w:sz w:val="20"/>
                <w:szCs w:val="20"/>
                <w:color w:val="auto"/>
              </w:rPr>
            </w:pPr>
            <w:r>
              <w:rPr>
                <w:rFonts w:ascii="Arial" w:cs="Arial" w:eastAsia="Arial" w:hAnsi="Arial"/>
                <w:sz w:val="18"/>
                <w:szCs w:val="18"/>
                <w:color w:val="auto"/>
              </w:rPr>
              <w:t>February 24,</w:t>
            </w:r>
          </w:p>
        </w:tc>
        <w:tc>
          <w:tcPr>
            <w:tcW w:w="500" w:type="dxa"/>
            <w:vAlign w:val="bottom"/>
          </w:tcPr>
          <w:p>
            <w:pPr>
              <w:spacing w:after="0"/>
              <w:rPr>
                <w:sz w:val="16"/>
                <w:szCs w:val="16"/>
                <w:color w:val="auto"/>
              </w:rPr>
            </w:pPr>
          </w:p>
        </w:tc>
        <w:tc>
          <w:tcPr>
            <w:tcW w:w="1400" w:type="dxa"/>
            <w:vAlign w:val="bottom"/>
          </w:tcPr>
          <w:p>
            <w:pPr>
              <w:jc w:val="center"/>
              <w:ind w:right="350"/>
              <w:spacing w:after="0" w:line="195" w:lineRule="exact"/>
              <w:rPr>
                <w:sz w:val="20"/>
                <w:szCs w:val="20"/>
                <w:color w:val="auto"/>
              </w:rPr>
            </w:pPr>
            <w:r>
              <w:rPr>
                <w:rFonts w:ascii="Arial" w:cs="Arial" w:eastAsia="Arial" w:hAnsi="Arial"/>
                <w:sz w:val="18"/>
                <w:szCs w:val="18"/>
                <w:color w:val="auto"/>
                <w:w w:val="90"/>
              </w:rPr>
              <w:t>February 25,</w:t>
            </w:r>
          </w:p>
        </w:tc>
        <w:tc>
          <w:tcPr>
            <w:tcW w:w="100" w:type="dxa"/>
            <w:vAlign w:val="bottom"/>
          </w:tcPr>
          <w:p>
            <w:pPr>
              <w:spacing w:after="0"/>
              <w:rPr>
                <w:sz w:val="16"/>
                <w:szCs w:val="16"/>
                <w:color w:val="auto"/>
              </w:rPr>
            </w:pPr>
          </w:p>
        </w:tc>
        <w:tc>
          <w:tcPr>
            <w:tcW w:w="22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16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800" w:type="dxa"/>
            <w:vAlign w:val="bottom"/>
            <w:tcBorders>
              <w:bottom w:val="single" w:sz="8" w:color="auto"/>
            </w:tcBorders>
          </w:tcPr>
          <w:p>
            <w:pPr>
              <w:jc w:val="right"/>
              <w:ind w:right="770"/>
              <w:spacing w:after="0"/>
              <w:rPr>
                <w:sz w:val="20"/>
                <w:szCs w:val="20"/>
                <w:color w:val="auto"/>
              </w:rPr>
            </w:pPr>
            <w:r>
              <w:rPr>
                <w:rFonts w:ascii="Arial" w:cs="Arial" w:eastAsia="Arial" w:hAnsi="Arial"/>
                <w:sz w:val="18"/>
                <w:szCs w:val="18"/>
                <w:color w:val="auto"/>
              </w:rPr>
              <w:t>2018</w:t>
            </w:r>
          </w:p>
        </w:tc>
        <w:tc>
          <w:tcPr>
            <w:tcW w:w="500" w:type="dxa"/>
            <w:vAlign w:val="bottom"/>
            <w:tcBorders>
              <w:bottom w:val="single" w:sz="8" w:color="auto"/>
            </w:tcBorders>
          </w:tcPr>
          <w:p>
            <w:pPr>
              <w:spacing w:after="0"/>
              <w:rPr>
                <w:sz w:val="19"/>
                <w:szCs w:val="19"/>
                <w:color w:val="auto"/>
              </w:rPr>
            </w:pPr>
          </w:p>
        </w:tc>
        <w:tc>
          <w:tcPr>
            <w:tcW w:w="1400" w:type="dxa"/>
            <w:vAlign w:val="bottom"/>
            <w:tcBorders>
              <w:bottom w:val="single" w:sz="8" w:color="auto"/>
            </w:tcBorders>
          </w:tcPr>
          <w:p>
            <w:pPr>
              <w:jc w:val="right"/>
              <w:ind w:right="650"/>
              <w:spacing w:after="0"/>
              <w:rPr>
                <w:sz w:val="20"/>
                <w:szCs w:val="20"/>
                <w:color w:val="auto"/>
              </w:rPr>
            </w:pPr>
            <w:r>
              <w:rPr>
                <w:rFonts w:ascii="Arial" w:cs="Arial" w:eastAsia="Arial" w:hAnsi="Arial"/>
                <w:sz w:val="18"/>
                <w:szCs w:val="18"/>
                <w:color w:val="auto"/>
              </w:rPr>
              <w:t>2017</w:t>
            </w:r>
          </w:p>
        </w:tc>
        <w:tc>
          <w:tcPr>
            <w:tcW w:w="100" w:type="dxa"/>
            <w:vAlign w:val="bottom"/>
          </w:tcPr>
          <w:p>
            <w:pPr>
              <w:spacing w:after="0"/>
              <w:rPr>
                <w:sz w:val="19"/>
                <w:szCs w:val="19"/>
                <w:color w:val="auto"/>
              </w:rPr>
            </w:pPr>
          </w:p>
        </w:tc>
        <w:tc>
          <w:tcPr>
            <w:tcW w:w="22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9"/>
        </w:trPr>
        <w:tc>
          <w:tcPr>
            <w:tcW w:w="20" w:type="dxa"/>
            <w:vAlign w:val="bottom"/>
            <w:vMerge w:val="restart"/>
          </w:tcPr>
          <w:p>
            <w:pPr>
              <w:spacing w:after="0"/>
              <w:rPr>
                <w:sz w:val="18"/>
                <w:szCs w:val="18"/>
                <w:color w:val="auto"/>
              </w:rPr>
            </w:pPr>
          </w:p>
        </w:tc>
        <w:tc>
          <w:tcPr>
            <w:tcW w:w="5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vMerge w:val="continue"/>
          </w:tcPr>
          <w:p>
            <w:pPr>
              <w:spacing w:after="0"/>
              <w:rPr>
                <w:sz w:val="18"/>
                <w:szCs w:val="18"/>
                <w:color w:val="auto"/>
              </w:rPr>
            </w:pPr>
          </w:p>
        </w:tc>
        <w:tc>
          <w:tcPr>
            <w:tcW w:w="5160" w:type="dxa"/>
            <w:vAlign w:val="bottom"/>
            <w:shd w:val="clear" w:color="auto" w:fill="CCEEFF"/>
          </w:tcPr>
          <w:p>
            <w:pPr>
              <w:spacing w:after="0"/>
              <w:rPr>
                <w:sz w:val="20"/>
                <w:szCs w:val="20"/>
                <w:color w:val="auto"/>
              </w:rPr>
            </w:pPr>
            <w:r>
              <w:rPr>
                <w:rFonts w:ascii="Arial" w:cs="Arial" w:eastAsia="Arial" w:hAnsi="Arial"/>
                <w:sz w:val="18"/>
                <w:szCs w:val="18"/>
                <w:color w:val="auto"/>
              </w:rPr>
              <w:t>Intercompany logistical services</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(11,100)</w:t>
            </w:r>
          </w:p>
        </w:tc>
        <w:tc>
          <w:tcPr>
            <w:tcW w:w="500" w:type="dxa"/>
            <w:vAlign w:val="bottom"/>
            <w:shd w:val="clear" w:color="auto" w:fill="CCEEFF"/>
          </w:tcPr>
          <w:p>
            <w:pPr>
              <w:jc w:val="right"/>
              <w:ind w:right="270"/>
              <w:spacing w:after="0"/>
              <w:rPr>
                <w:sz w:val="20"/>
                <w:szCs w:val="20"/>
                <w:color w:val="auto"/>
              </w:rPr>
            </w:pPr>
            <w:r>
              <w:rPr>
                <w:rFonts w:ascii="Arial" w:cs="Arial" w:eastAsia="Arial" w:hAnsi="Arial"/>
                <w:sz w:val="18"/>
                <w:szCs w:val="18"/>
                <w:color w:val="auto"/>
              </w:rPr>
              <w:t>$</w:t>
            </w:r>
          </w:p>
        </w:tc>
        <w:tc>
          <w:tcPr>
            <w:tcW w:w="15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(10,140)</w:t>
            </w:r>
          </w:p>
        </w:tc>
        <w:tc>
          <w:tcPr>
            <w:tcW w:w="2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5160" w:type="dxa"/>
            <w:vAlign w:val="bottom"/>
          </w:tcPr>
          <w:p>
            <w:pPr>
              <w:spacing w:after="0"/>
              <w:rPr>
                <w:sz w:val="20"/>
                <w:szCs w:val="20"/>
                <w:color w:val="auto"/>
              </w:rPr>
            </w:pPr>
            <w:r>
              <w:rPr>
                <w:rFonts w:ascii="Arial" w:cs="Arial" w:eastAsia="Arial" w:hAnsi="Arial"/>
                <w:sz w:val="18"/>
                <w:szCs w:val="18"/>
                <w:color w:val="auto"/>
              </w:rPr>
              <w:t>Intercompany rents</w:t>
            </w:r>
          </w:p>
        </w:tc>
        <w:tc>
          <w:tcPr>
            <w:tcW w:w="160" w:type="dxa"/>
            <w:vAlign w:val="bottom"/>
          </w:tcPr>
          <w:p>
            <w:pPr>
              <w:spacing w:after="0"/>
              <w:rPr>
                <w:sz w:val="18"/>
                <w:szCs w:val="18"/>
                <w:color w:val="auto"/>
              </w:rPr>
            </w:pPr>
          </w:p>
        </w:tc>
        <w:tc>
          <w:tcPr>
            <w:tcW w:w="1800" w:type="dxa"/>
            <w:vAlign w:val="bottom"/>
          </w:tcPr>
          <w:p>
            <w:pPr>
              <w:jc w:val="right"/>
              <w:spacing w:after="0"/>
              <w:rPr>
                <w:sz w:val="20"/>
                <w:szCs w:val="20"/>
                <w:color w:val="auto"/>
              </w:rPr>
            </w:pPr>
            <w:r>
              <w:rPr>
                <w:rFonts w:ascii="Arial" w:cs="Arial" w:eastAsia="Arial" w:hAnsi="Arial"/>
                <w:sz w:val="18"/>
                <w:szCs w:val="18"/>
                <w:color w:val="auto"/>
              </w:rPr>
              <w:t>(438)</w:t>
            </w:r>
          </w:p>
        </w:tc>
        <w:tc>
          <w:tcPr>
            <w:tcW w:w="500" w:type="dxa"/>
            <w:vAlign w:val="bottom"/>
          </w:tcPr>
          <w:p>
            <w:pPr>
              <w:spacing w:after="0"/>
              <w:rPr>
                <w:sz w:val="18"/>
                <w:szCs w:val="18"/>
                <w:color w:val="auto"/>
              </w:rPr>
            </w:pPr>
          </w:p>
        </w:tc>
        <w:tc>
          <w:tcPr>
            <w:tcW w:w="1500" w:type="dxa"/>
            <w:vAlign w:val="bottom"/>
            <w:gridSpan w:val="2"/>
          </w:tcPr>
          <w:p>
            <w:pPr>
              <w:jc w:val="right"/>
              <w:ind w:right="40"/>
              <w:spacing w:after="0"/>
              <w:rPr>
                <w:sz w:val="20"/>
                <w:szCs w:val="20"/>
                <w:color w:val="auto"/>
              </w:rPr>
            </w:pPr>
            <w:r>
              <w:rPr>
                <w:rFonts w:ascii="Arial" w:cs="Arial" w:eastAsia="Arial" w:hAnsi="Arial"/>
                <w:sz w:val="18"/>
                <w:szCs w:val="18"/>
                <w:color w:val="auto"/>
              </w:rPr>
              <w:t>(480)</w:t>
            </w:r>
          </w:p>
        </w:tc>
        <w:tc>
          <w:tcPr>
            <w:tcW w:w="2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516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1800" w:type="dxa"/>
            <w:vAlign w:val="bottom"/>
            <w:tcBorders>
              <w:top w:val="single" w:sz="8" w:color="auto"/>
            </w:tcBorders>
            <w:shd w:val="clear" w:color="auto" w:fill="CCEEFF"/>
          </w:tcPr>
          <w:p>
            <w:pPr>
              <w:spacing w:after="0"/>
              <w:rPr>
                <w:sz w:val="18"/>
                <w:szCs w:val="18"/>
                <w:color w:val="auto"/>
              </w:rPr>
            </w:pPr>
          </w:p>
        </w:tc>
        <w:tc>
          <w:tcPr>
            <w:tcW w:w="500" w:type="dxa"/>
            <w:vAlign w:val="bottom"/>
            <w:tcBorders>
              <w:top w:val="single" w:sz="8" w:color="auto"/>
            </w:tcBorders>
            <w:shd w:val="clear" w:color="auto" w:fill="CCEEFF"/>
          </w:tcPr>
          <w:p>
            <w:pPr>
              <w:spacing w:after="0"/>
              <w:rPr>
                <w:sz w:val="18"/>
                <w:szCs w:val="18"/>
                <w:color w:val="auto"/>
              </w:rPr>
            </w:pPr>
          </w:p>
        </w:tc>
        <w:tc>
          <w:tcPr>
            <w:tcW w:w="140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5180" w:type="dxa"/>
            <w:vAlign w:val="bottom"/>
            <w:gridSpan w:val="2"/>
          </w:tcPr>
          <w:p>
            <w:pPr>
              <w:spacing w:after="0"/>
              <w:rPr>
                <w:sz w:val="20"/>
                <w:szCs w:val="20"/>
                <w:color w:val="auto"/>
              </w:rPr>
            </w:pPr>
            <w:r>
              <w:rPr>
                <w:rFonts w:ascii="Arial" w:cs="Arial" w:eastAsia="Arial" w:hAnsi="Arial"/>
                <w:sz w:val="18"/>
                <w:szCs w:val="18"/>
                <w:color w:val="auto"/>
              </w:rPr>
              <w:t>Total SG&amp;A expense elimination</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800" w:type="dxa"/>
            <w:vAlign w:val="bottom"/>
          </w:tcPr>
          <w:p>
            <w:pPr>
              <w:jc w:val="right"/>
              <w:spacing w:after="0"/>
              <w:rPr>
                <w:sz w:val="20"/>
                <w:szCs w:val="20"/>
                <w:color w:val="auto"/>
              </w:rPr>
            </w:pPr>
            <w:r>
              <w:rPr>
                <w:rFonts w:ascii="Arial" w:cs="Arial" w:eastAsia="Arial" w:hAnsi="Arial"/>
                <w:sz w:val="18"/>
                <w:szCs w:val="18"/>
                <w:color w:val="auto"/>
              </w:rPr>
              <w:t>(11,538)</w:t>
            </w:r>
          </w:p>
        </w:tc>
        <w:tc>
          <w:tcPr>
            <w:tcW w:w="500" w:type="dxa"/>
            <w:vAlign w:val="bottom"/>
          </w:tcPr>
          <w:p>
            <w:pPr>
              <w:jc w:val="right"/>
              <w:ind w:right="270"/>
              <w:spacing w:after="0"/>
              <w:rPr>
                <w:sz w:val="20"/>
                <w:szCs w:val="20"/>
                <w:color w:val="auto"/>
              </w:rPr>
            </w:pPr>
            <w:r>
              <w:rPr>
                <w:rFonts w:ascii="Arial" w:cs="Arial" w:eastAsia="Arial" w:hAnsi="Arial"/>
                <w:sz w:val="18"/>
                <w:szCs w:val="18"/>
                <w:color w:val="auto"/>
              </w:rPr>
              <w:t>$</w:t>
            </w:r>
          </w:p>
        </w:tc>
        <w:tc>
          <w:tcPr>
            <w:tcW w:w="1500" w:type="dxa"/>
            <w:vAlign w:val="bottom"/>
            <w:gridSpan w:val="2"/>
          </w:tcPr>
          <w:p>
            <w:pPr>
              <w:jc w:val="right"/>
              <w:ind w:right="40"/>
              <w:spacing w:after="0"/>
              <w:rPr>
                <w:sz w:val="20"/>
                <w:szCs w:val="20"/>
                <w:color w:val="auto"/>
              </w:rPr>
            </w:pPr>
            <w:r>
              <w:rPr>
                <w:rFonts w:ascii="Arial" w:cs="Arial" w:eastAsia="Arial" w:hAnsi="Arial"/>
                <w:sz w:val="18"/>
                <w:szCs w:val="18"/>
                <w:color w:val="auto"/>
              </w:rPr>
              <w:t>(10,620)</w:t>
            </w:r>
          </w:p>
        </w:tc>
        <w:tc>
          <w:tcPr>
            <w:tcW w:w="2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1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8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4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8"/>
        </w:trPr>
        <w:tc>
          <w:tcPr>
            <w:tcW w:w="20" w:type="dxa"/>
            <w:vAlign w:val="bottom"/>
          </w:tcPr>
          <w:p>
            <w:pPr>
              <w:spacing w:after="0"/>
              <w:rPr>
                <w:sz w:val="24"/>
                <w:szCs w:val="24"/>
                <w:color w:val="auto"/>
              </w:rPr>
            </w:pPr>
          </w:p>
        </w:tc>
        <w:tc>
          <w:tcPr>
            <w:tcW w:w="5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800" w:type="dxa"/>
            <w:vAlign w:val="bottom"/>
          </w:tcPr>
          <w:p>
            <w:pPr>
              <w:jc w:val="right"/>
              <w:ind w:right="1030"/>
              <w:spacing w:after="0"/>
              <w:rPr>
                <w:sz w:val="20"/>
                <w:szCs w:val="20"/>
                <w:color w:val="auto"/>
              </w:rPr>
            </w:pPr>
            <w:r>
              <w:rPr>
                <w:rFonts w:ascii="Arial" w:cs="Arial" w:eastAsia="Arial" w:hAnsi="Arial"/>
                <w:sz w:val="18"/>
                <w:szCs w:val="18"/>
                <w:color w:val="auto"/>
              </w:rPr>
              <w:t>28 of 39</w:t>
            </w:r>
          </w:p>
        </w:tc>
        <w:tc>
          <w:tcPr>
            <w:tcW w:w="50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5160" w:type="dxa"/>
            <w:vAlign w:val="bottom"/>
            <w:tcBorders>
              <w:bottom w:val="single" w:sz="8" w:color="auto"/>
            </w:tcBorders>
          </w:tcPr>
          <w:p>
            <w:pPr>
              <w:spacing w:after="0"/>
              <w:rPr>
                <w:sz w:val="9"/>
                <w:szCs w:val="9"/>
                <w:color w:val="auto"/>
              </w:rPr>
            </w:pPr>
          </w:p>
        </w:tc>
        <w:tc>
          <w:tcPr>
            <w:tcW w:w="160" w:type="dxa"/>
            <w:vAlign w:val="bottom"/>
            <w:tcBorders>
              <w:bottom w:val="single" w:sz="8" w:color="auto"/>
            </w:tcBorders>
          </w:tcPr>
          <w:p>
            <w:pPr>
              <w:spacing w:after="0"/>
              <w:rPr>
                <w:sz w:val="9"/>
                <w:szCs w:val="9"/>
                <w:color w:val="auto"/>
              </w:rPr>
            </w:pPr>
          </w:p>
        </w:tc>
        <w:tc>
          <w:tcPr>
            <w:tcW w:w="1800" w:type="dxa"/>
            <w:vAlign w:val="bottom"/>
            <w:tcBorders>
              <w:bottom w:val="single" w:sz="8" w:color="auto"/>
            </w:tcBorders>
          </w:tcPr>
          <w:p>
            <w:pPr>
              <w:spacing w:after="0"/>
              <w:rPr>
                <w:sz w:val="9"/>
                <w:szCs w:val="9"/>
                <w:color w:val="auto"/>
              </w:rPr>
            </w:pPr>
          </w:p>
        </w:tc>
        <w:tc>
          <w:tcPr>
            <w:tcW w:w="500" w:type="dxa"/>
            <w:vAlign w:val="bottom"/>
            <w:tcBorders>
              <w:bottom w:val="single" w:sz="8" w:color="auto"/>
            </w:tcBorders>
          </w:tcPr>
          <w:p>
            <w:pPr>
              <w:spacing w:after="0"/>
              <w:rPr>
                <w:sz w:val="9"/>
                <w:szCs w:val="9"/>
                <w:color w:val="auto"/>
              </w:rPr>
            </w:pPr>
          </w:p>
        </w:tc>
        <w:tc>
          <w:tcPr>
            <w:tcW w:w="1400" w:type="dxa"/>
            <w:vAlign w:val="bottom"/>
            <w:tcBorders>
              <w:bottom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228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583" w:right="239" w:bottom="1440" w:gutter="0" w:footer="0" w:header="0"/>
        </w:sectPr>
      </w:pPr>
    </w:p>
    <w:bookmarkStart w:id="28" w:name="page29"/>
    <w:bookmarkEnd w:id="28"/>
    <w:p>
      <w:pPr>
        <w:jc w:val="center"/>
        <w:ind w:right="-19"/>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ind w:right="-19"/>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8" w:lineRule="exact"/>
        <w:rPr>
          <w:sz w:val="20"/>
          <w:szCs w:val="20"/>
          <w:color w:val="auto"/>
        </w:rPr>
      </w:pPr>
    </w:p>
    <w:p>
      <w:pPr>
        <w:jc w:val="center"/>
        <w:ind w:right="-19"/>
        <w:spacing w:after="0"/>
        <w:rPr>
          <w:sz w:val="20"/>
          <w:szCs w:val="20"/>
          <w:color w:val="auto"/>
        </w:rPr>
      </w:pPr>
      <w:r>
        <w:rPr>
          <w:rFonts w:ascii="Arial" w:cs="Arial" w:eastAsia="Arial" w:hAnsi="Arial"/>
          <w:sz w:val="18"/>
          <w:szCs w:val="18"/>
          <w:u w:val="single" w:color="auto"/>
          <w:color w:val="auto"/>
        </w:rPr>
        <w:t>FEBRUARY 24, 2018</w:t>
      </w:r>
    </w:p>
    <w:p>
      <w:pPr>
        <w:spacing w:after="0" w:line="8" w:lineRule="exact"/>
        <w:rPr>
          <w:sz w:val="20"/>
          <w:szCs w:val="20"/>
          <w:color w:val="auto"/>
        </w:rPr>
      </w:pPr>
    </w:p>
    <w:p>
      <w:pPr>
        <w:jc w:val="center"/>
        <w:ind w:right="-19"/>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0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Wholesale Segment</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color w:val="auto"/>
        </w:rPr>
        <w:t>Results for the wholesale segment for the quarters ended February 24, 2018 and February 25, 2017 are as follows:</w:t>
      </w:r>
    </w:p>
    <w:p>
      <w:pPr>
        <w:spacing w:after="0" w:line="224" w:lineRule="exact"/>
        <w:rPr>
          <w:sz w:val="20"/>
          <w:szCs w:val="20"/>
          <w:color w:val="auto"/>
        </w:rPr>
      </w:pPr>
    </w:p>
    <w:tbl>
      <w:tblPr>
        <w:tblLayout w:type="fixed"/>
        <w:tblInd w:w="980" w:type="dxa"/>
        <w:tblCellMar>
          <w:top w:w="0" w:type="dxa"/>
          <w:left w:w="0" w:type="dxa"/>
          <w:bottom w:w="0" w:type="dxa"/>
          <w:right w:w="0" w:type="dxa"/>
        </w:tblCellMar>
      </w:tblPr>
      <w:tr>
        <w:trPr>
          <w:trHeight w:val="230"/>
        </w:trPr>
        <w:tc>
          <w:tcPr>
            <w:tcW w:w="20" w:type="dxa"/>
            <w:vAlign w:val="bottom"/>
          </w:tcPr>
          <w:p>
            <w:pPr>
              <w:spacing w:after="0"/>
              <w:rPr>
                <w:sz w:val="19"/>
                <w:szCs w:val="19"/>
                <w:color w:val="auto"/>
              </w:rPr>
            </w:pPr>
          </w:p>
        </w:tc>
        <w:tc>
          <w:tcPr>
            <w:tcW w:w="21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2220" w:type="dxa"/>
            <w:vAlign w:val="bottom"/>
            <w:gridSpan w:val="4"/>
          </w:tcPr>
          <w:p>
            <w:pPr>
              <w:jc w:val="right"/>
              <w:ind w:right="750"/>
              <w:spacing w:after="0"/>
              <w:rPr>
                <w:sz w:val="20"/>
                <w:szCs w:val="20"/>
                <w:color w:val="auto"/>
              </w:rPr>
            </w:pPr>
            <w:r>
              <w:rPr>
                <w:rFonts w:ascii="Arial" w:cs="Arial" w:eastAsia="Arial" w:hAnsi="Arial"/>
                <w:sz w:val="18"/>
                <w:szCs w:val="18"/>
                <w:color w:val="auto"/>
              </w:rPr>
              <w:t>Quarter Ended</w:t>
            </w:r>
          </w:p>
        </w:tc>
        <w:tc>
          <w:tcPr>
            <w:tcW w:w="7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00" w:type="dxa"/>
            <w:vAlign w:val="bottom"/>
            <w:gridSpan w:val="3"/>
          </w:tcPr>
          <w:p>
            <w:pPr>
              <w:jc w:val="right"/>
              <w:ind w:right="880"/>
              <w:spacing w:after="0"/>
              <w:rPr>
                <w:sz w:val="20"/>
                <w:szCs w:val="20"/>
                <w:color w:val="auto"/>
              </w:rPr>
            </w:pPr>
            <w:r>
              <w:rPr>
                <w:rFonts w:ascii="Arial" w:cs="Arial" w:eastAsia="Arial" w:hAnsi="Arial"/>
                <w:sz w:val="18"/>
                <w:szCs w:val="18"/>
                <w:color w:val="auto"/>
              </w:rPr>
              <w:t>Change</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2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2020" w:type="dxa"/>
            <w:vAlign w:val="bottom"/>
            <w:tcBorders>
              <w:top w:val="single" w:sz="8" w:color="auto"/>
            </w:tcBorders>
            <w:gridSpan w:val="3"/>
          </w:tcPr>
          <w:p>
            <w:pPr>
              <w:jc w:val="right"/>
              <w:ind w:right="580"/>
              <w:spacing w:after="0"/>
              <w:rPr>
                <w:sz w:val="20"/>
                <w:szCs w:val="20"/>
                <w:color w:val="auto"/>
              </w:rPr>
            </w:pPr>
            <w:r>
              <w:rPr>
                <w:rFonts w:ascii="Arial" w:cs="Arial" w:eastAsia="Arial" w:hAnsi="Arial"/>
                <w:sz w:val="18"/>
                <w:szCs w:val="18"/>
                <w:color w:val="auto"/>
                <w:w w:val="96"/>
              </w:rPr>
              <w:t>February 24, 2018</w:t>
            </w:r>
          </w:p>
        </w:tc>
        <w:tc>
          <w:tcPr>
            <w:tcW w:w="220" w:type="dxa"/>
            <w:vAlign w:val="bottom"/>
            <w:tcBorders>
              <w:top w:val="single" w:sz="8" w:color="auto"/>
            </w:tcBorders>
          </w:tcPr>
          <w:p>
            <w:pPr>
              <w:spacing w:after="0"/>
              <w:rPr>
                <w:sz w:val="18"/>
                <w:szCs w:val="18"/>
                <w:color w:val="auto"/>
              </w:rPr>
            </w:pPr>
          </w:p>
        </w:tc>
        <w:tc>
          <w:tcPr>
            <w:tcW w:w="1760" w:type="dxa"/>
            <w:vAlign w:val="bottom"/>
            <w:tcBorders>
              <w:top w:val="single" w:sz="8" w:color="auto"/>
            </w:tcBorders>
            <w:gridSpan w:val="2"/>
          </w:tcPr>
          <w:p>
            <w:pPr>
              <w:ind w:left="120"/>
              <w:spacing w:after="0"/>
              <w:rPr>
                <w:sz w:val="20"/>
                <w:szCs w:val="20"/>
                <w:color w:val="auto"/>
              </w:rPr>
            </w:pPr>
            <w:r>
              <w:rPr>
                <w:rFonts w:ascii="Arial" w:cs="Arial" w:eastAsia="Arial" w:hAnsi="Arial"/>
                <w:sz w:val="18"/>
                <w:szCs w:val="18"/>
                <w:color w:val="auto"/>
              </w:rPr>
              <w:t>February 25, 2017</w:t>
            </w:r>
          </w:p>
        </w:tc>
        <w:tc>
          <w:tcPr>
            <w:tcW w:w="24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jc w:val="right"/>
              <w:ind w:right="310"/>
              <w:spacing w:after="0"/>
              <w:rPr>
                <w:sz w:val="20"/>
                <w:szCs w:val="20"/>
                <w:color w:val="auto"/>
              </w:rPr>
            </w:pPr>
            <w:r>
              <w:rPr>
                <w:rFonts w:ascii="Arial" w:cs="Arial" w:eastAsia="Arial" w:hAnsi="Arial"/>
                <w:sz w:val="18"/>
                <w:szCs w:val="18"/>
                <w:color w:val="auto"/>
                <w:w w:val="99"/>
              </w:rPr>
              <w:t>Dollars</w:t>
            </w:r>
          </w:p>
        </w:tc>
        <w:tc>
          <w:tcPr>
            <w:tcW w:w="86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color w:val="auto"/>
              </w:rPr>
              <w:t>Percent</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vMerge w:val="restart"/>
          </w:tcPr>
          <w:p>
            <w:pPr>
              <w:spacing w:after="0"/>
              <w:rPr>
                <w:sz w:val="18"/>
                <w:szCs w:val="18"/>
                <w:color w:val="auto"/>
              </w:rPr>
            </w:pPr>
          </w:p>
        </w:tc>
        <w:tc>
          <w:tcPr>
            <w:tcW w:w="2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860" w:type="dxa"/>
            <w:vAlign w:val="bottom"/>
            <w:tcBorders>
              <w:top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vMerge w:val="continue"/>
          </w:tcPr>
          <w:p>
            <w:pPr>
              <w:spacing w:after="0"/>
              <w:rPr>
                <w:sz w:val="18"/>
                <w:szCs w:val="18"/>
                <w:color w:val="auto"/>
              </w:rPr>
            </w:pPr>
          </w:p>
        </w:tc>
        <w:tc>
          <w:tcPr>
            <w:tcW w:w="2120" w:type="dxa"/>
            <w:vAlign w:val="bottom"/>
            <w:shd w:val="clear" w:color="auto" w:fill="CCEEFF"/>
          </w:tcPr>
          <w:p>
            <w:pPr>
              <w:spacing w:after="0"/>
              <w:rPr>
                <w:sz w:val="20"/>
                <w:szCs w:val="20"/>
                <w:color w:val="auto"/>
              </w:rPr>
            </w:pPr>
            <w:r>
              <w:rPr>
                <w:rFonts w:ascii="Arial" w:cs="Arial" w:eastAsia="Arial" w:hAnsi="Arial"/>
                <w:sz w:val="18"/>
                <w:szCs w:val="18"/>
                <w:color w:val="auto"/>
              </w:rPr>
              <w:t>Net sales</w:t>
            </w:r>
          </w:p>
        </w:tc>
        <w:tc>
          <w:tcPr>
            <w:tcW w:w="400" w:type="dxa"/>
            <w:vAlign w:val="bottom"/>
            <w:shd w:val="clear" w:color="auto" w:fill="CCEEFF"/>
          </w:tcPr>
          <w:p>
            <w:pPr>
              <w:spacing w:after="0"/>
              <w:rPr>
                <w:sz w:val="18"/>
                <w:szCs w:val="18"/>
                <w:color w:val="auto"/>
              </w:rPr>
            </w:pP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04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rPr>
              <w:t>63,100</w:t>
            </w:r>
          </w:p>
        </w:tc>
        <w:tc>
          <w:tcPr>
            <w:tcW w:w="1200" w:type="dxa"/>
            <w:vAlign w:val="bottom"/>
            <w:gridSpan w:val="3"/>
            <w:shd w:val="clear" w:color="auto" w:fill="CCEEFF"/>
          </w:tcPr>
          <w:p>
            <w:pPr>
              <w:jc w:val="right"/>
              <w:ind w:right="30"/>
              <w:spacing w:after="0"/>
              <w:rPr>
                <w:sz w:val="20"/>
                <w:szCs w:val="20"/>
                <w:color w:val="auto"/>
              </w:rPr>
            </w:pPr>
            <w:r>
              <w:rPr>
                <w:rFonts w:ascii="Arial" w:cs="Arial" w:eastAsia="Arial" w:hAnsi="Arial"/>
                <w:sz w:val="18"/>
                <w:szCs w:val="18"/>
                <w:color w:val="auto"/>
              </w:rPr>
              <w:t>100.0% $</w:t>
            </w:r>
          </w:p>
        </w:tc>
        <w:tc>
          <w:tcPr>
            <w:tcW w:w="102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rPr>
              <w:t>61,975</w:t>
            </w:r>
          </w:p>
        </w:tc>
        <w:tc>
          <w:tcPr>
            <w:tcW w:w="112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100.0% $</w:t>
            </w:r>
          </w:p>
        </w:tc>
        <w:tc>
          <w:tcPr>
            <w:tcW w:w="98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rPr>
              <w:t>1,125</w:t>
            </w:r>
          </w:p>
        </w:tc>
        <w:tc>
          <w:tcPr>
            <w:tcW w:w="10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1.8%</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2120" w:type="dxa"/>
            <w:vAlign w:val="bottom"/>
            <w:shd w:val="clear" w:color="auto" w:fill="CCEEFF"/>
          </w:tcPr>
          <w:p>
            <w:pPr>
              <w:spacing w:after="0" w:line="20" w:lineRule="exact"/>
              <w:rPr>
                <w:sz w:val="1"/>
                <w:szCs w:val="1"/>
                <w:color w:val="auto"/>
              </w:rPr>
            </w:pPr>
          </w:p>
        </w:tc>
        <w:tc>
          <w:tcPr>
            <w:tcW w:w="400" w:type="dxa"/>
            <w:vAlign w:val="bottom"/>
            <w:shd w:val="clear" w:color="auto" w:fill="CCEEFF"/>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20" w:type="dxa"/>
            <w:vAlign w:val="bottom"/>
            <w:vMerge w:val="continue"/>
          </w:tcPr>
          <w:p>
            <w:pPr>
              <w:spacing w:after="0"/>
              <w:rPr>
                <w:sz w:val="18"/>
                <w:szCs w:val="18"/>
                <w:color w:val="auto"/>
              </w:rPr>
            </w:pPr>
          </w:p>
        </w:tc>
        <w:tc>
          <w:tcPr>
            <w:tcW w:w="2120" w:type="dxa"/>
            <w:vAlign w:val="bottom"/>
          </w:tcPr>
          <w:p>
            <w:pPr>
              <w:spacing w:after="0"/>
              <w:rPr>
                <w:sz w:val="20"/>
                <w:szCs w:val="20"/>
                <w:color w:val="auto"/>
              </w:rPr>
            </w:pPr>
            <w:r>
              <w:rPr>
                <w:rFonts w:ascii="Arial" w:cs="Arial" w:eastAsia="Arial" w:hAnsi="Arial"/>
                <w:sz w:val="18"/>
                <w:szCs w:val="18"/>
                <w:color w:val="auto"/>
              </w:rPr>
              <w:t>Gross profit</w:t>
            </w:r>
          </w:p>
        </w:tc>
        <w:tc>
          <w:tcPr>
            <w:tcW w:w="4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40" w:type="dxa"/>
            <w:vAlign w:val="bottom"/>
          </w:tcPr>
          <w:p>
            <w:pPr>
              <w:jc w:val="right"/>
              <w:ind w:right="230"/>
              <w:spacing w:after="0"/>
              <w:rPr>
                <w:sz w:val="20"/>
                <w:szCs w:val="20"/>
                <w:color w:val="auto"/>
              </w:rPr>
            </w:pPr>
            <w:r>
              <w:rPr>
                <w:rFonts w:ascii="Arial" w:cs="Arial" w:eastAsia="Arial" w:hAnsi="Arial"/>
                <w:sz w:val="18"/>
                <w:szCs w:val="18"/>
                <w:color w:val="auto"/>
              </w:rPr>
              <w:t>20,456</w:t>
            </w: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32.4%</w:t>
            </w:r>
          </w:p>
        </w:tc>
        <w:tc>
          <w:tcPr>
            <w:tcW w:w="220" w:type="dxa"/>
            <w:vAlign w:val="bottom"/>
          </w:tcPr>
          <w:p>
            <w:pPr>
              <w:spacing w:after="0"/>
              <w:rPr>
                <w:sz w:val="18"/>
                <w:szCs w:val="18"/>
                <w:color w:val="auto"/>
              </w:rPr>
            </w:pPr>
          </w:p>
        </w:tc>
        <w:tc>
          <w:tcPr>
            <w:tcW w:w="1020" w:type="dxa"/>
            <w:vAlign w:val="bottom"/>
          </w:tcPr>
          <w:p>
            <w:pPr>
              <w:jc w:val="right"/>
              <w:ind w:right="230"/>
              <w:spacing w:after="0"/>
              <w:rPr>
                <w:sz w:val="20"/>
                <w:szCs w:val="20"/>
                <w:color w:val="auto"/>
              </w:rPr>
            </w:pPr>
            <w:r>
              <w:rPr>
                <w:rFonts w:ascii="Arial" w:cs="Arial" w:eastAsia="Arial" w:hAnsi="Arial"/>
                <w:sz w:val="18"/>
                <w:szCs w:val="18"/>
                <w:color w:val="auto"/>
              </w:rPr>
              <w:t>21,806</w:t>
            </w: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35.2%</w:t>
            </w:r>
          </w:p>
        </w:tc>
        <w:tc>
          <w:tcPr>
            <w:tcW w:w="140" w:type="dxa"/>
            <w:vAlign w:val="bottom"/>
          </w:tcPr>
          <w:p>
            <w:pPr>
              <w:spacing w:after="0"/>
              <w:rPr>
                <w:sz w:val="18"/>
                <w:szCs w:val="18"/>
                <w:color w:val="auto"/>
              </w:rPr>
            </w:pPr>
          </w:p>
        </w:tc>
        <w:tc>
          <w:tcPr>
            <w:tcW w:w="980" w:type="dxa"/>
            <w:vAlign w:val="bottom"/>
          </w:tcPr>
          <w:p>
            <w:pPr>
              <w:jc w:val="right"/>
              <w:ind w:right="50"/>
              <w:spacing w:after="0"/>
              <w:rPr>
                <w:sz w:val="20"/>
                <w:szCs w:val="20"/>
                <w:color w:val="auto"/>
              </w:rPr>
            </w:pPr>
            <w:r>
              <w:rPr>
                <w:rFonts w:ascii="Arial" w:cs="Arial" w:eastAsia="Arial" w:hAnsi="Arial"/>
                <w:sz w:val="18"/>
                <w:szCs w:val="18"/>
                <w:color w:val="auto"/>
              </w:rPr>
              <w:t>(1,350)</w:t>
            </w:r>
          </w:p>
        </w:tc>
        <w:tc>
          <w:tcPr>
            <w:tcW w:w="1020" w:type="dxa"/>
            <w:vAlign w:val="bottom"/>
            <w:gridSpan w:val="2"/>
          </w:tcPr>
          <w:p>
            <w:pPr>
              <w:jc w:val="right"/>
              <w:ind w:right="20"/>
              <w:spacing w:after="0"/>
              <w:rPr>
                <w:sz w:val="20"/>
                <w:szCs w:val="20"/>
                <w:color w:val="auto"/>
              </w:rPr>
            </w:pPr>
            <w:r>
              <w:rPr>
                <w:rFonts w:ascii="Arial" w:cs="Arial" w:eastAsia="Arial" w:hAnsi="Arial"/>
                <w:sz w:val="18"/>
                <w:szCs w:val="18"/>
                <w:color w:val="auto"/>
              </w:rPr>
              <w:t>-6.2%</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2120" w:type="dxa"/>
            <w:vAlign w:val="bottom"/>
            <w:shd w:val="clear" w:color="auto" w:fill="CCEEFF"/>
          </w:tcPr>
          <w:p>
            <w:pPr>
              <w:spacing w:after="0"/>
              <w:rPr>
                <w:sz w:val="20"/>
                <w:szCs w:val="20"/>
                <w:color w:val="auto"/>
              </w:rPr>
            </w:pPr>
            <w:r>
              <w:rPr>
                <w:rFonts w:ascii="Arial" w:cs="Arial" w:eastAsia="Arial" w:hAnsi="Arial"/>
                <w:sz w:val="18"/>
                <w:szCs w:val="18"/>
                <w:color w:val="auto"/>
              </w:rPr>
              <w:t>SG&amp;A expenses</w:t>
            </w:r>
          </w:p>
        </w:tc>
        <w:tc>
          <w:tcPr>
            <w:tcW w:w="4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4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rPr>
              <w:t>17,392</w:t>
            </w: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27.6%</w:t>
            </w:r>
          </w:p>
        </w:tc>
        <w:tc>
          <w:tcPr>
            <w:tcW w:w="220" w:type="dxa"/>
            <w:vAlign w:val="bottom"/>
            <w:shd w:val="clear" w:color="auto" w:fill="CCEEFF"/>
          </w:tcPr>
          <w:p>
            <w:pPr>
              <w:spacing w:after="0"/>
              <w:rPr>
                <w:sz w:val="18"/>
                <w:szCs w:val="18"/>
                <w:color w:val="auto"/>
              </w:rPr>
            </w:pPr>
          </w:p>
        </w:tc>
        <w:tc>
          <w:tcPr>
            <w:tcW w:w="102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rPr>
              <w:t>15,913</w:t>
            </w: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25.7%</w:t>
            </w:r>
          </w:p>
        </w:tc>
        <w:tc>
          <w:tcPr>
            <w:tcW w:w="140" w:type="dxa"/>
            <w:vAlign w:val="bottom"/>
            <w:shd w:val="clear" w:color="auto" w:fill="CCEEFF"/>
          </w:tcPr>
          <w:p>
            <w:pPr>
              <w:spacing w:after="0"/>
              <w:rPr>
                <w:sz w:val="18"/>
                <w:szCs w:val="18"/>
                <w:color w:val="auto"/>
              </w:rPr>
            </w:pPr>
          </w:p>
        </w:tc>
        <w:tc>
          <w:tcPr>
            <w:tcW w:w="98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rPr>
              <w:t>1,479</w:t>
            </w:r>
          </w:p>
        </w:tc>
        <w:tc>
          <w:tcPr>
            <w:tcW w:w="10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9.3%</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2120" w:type="dxa"/>
            <w:vAlign w:val="bottom"/>
            <w:tcBorders>
              <w:top w:val="single" w:sz="8" w:color="CCEEFF"/>
            </w:tcBorders>
          </w:tcPr>
          <w:p>
            <w:pPr>
              <w:spacing w:after="0"/>
              <w:rPr>
                <w:sz w:val="18"/>
                <w:szCs w:val="18"/>
                <w:color w:val="auto"/>
              </w:rPr>
            </w:pPr>
          </w:p>
        </w:tc>
        <w:tc>
          <w:tcPr>
            <w:tcW w:w="400" w:type="dxa"/>
            <w:vAlign w:val="bottom"/>
            <w:tcBorders>
              <w:top w:val="single" w:sz="8" w:color="CCEEFF"/>
            </w:tcBorders>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spacing w:after="0"/>
              <w:rPr>
                <w:sz w:val="18"/>
                <w:szCs w:val="18"/>
                <w:color w:val="auto"/>
              </w:rPr>
            </w:pPr>
          </w:p>
        </w:tc>
        <w:tc>
          <w:tcPr>
            <w:tcW w:w="240" w:type="dxa"/>
            <w:vAlign w:val="bottom"/>
            <w:tcBorders>
              <w:top w:val="single" w:sz="8" w:color="CCEEFF"/>
            </w:tcBorders>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spacing w:after="0"/>
              <w:rPr>
                <w:sz w:val="18"/>
                <w:szCs w:val="18"/>
                <w:color w:val="auto"/>
              </w:rPr>
            </w:pPr>
          </w:p>
        </w:tc>
        <w:tc>
          <w:tcPr>
            <w:tcW w:w="240" w:type="dxa"/>
            <w:vAlign w:val="bottom"/>
            <w:tcBorders>
              <w:top w:val="single" w:sz="8" w:color="CCEEFF"/>
            </w:tcBorders>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860" w:type="dxa"/>
            <w:vAlign w:val="bottom"/>
            <w:tcBorders>
              <w:top w:val="single" w:sz="8" w:color="auto"/>
            </w:tcBorders>
          </w:tcPr>
          <w:p>
            <w:pPr>
              <w:spacing w:after="0"/>
              <w:rPr>
                <w:sz w:val="18"/>
                <w:szCs w:val="18"/>
                <w:color w:val="auto"/>
              </w:rPr>
            </w:pPr>
          </w:p>
        </w:tc>
        <w:tc>
          <w:tcPr>
            <w:tcW w:w="16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35"/>
        </w:trPr>
        <w:tc>
          <w:tcPr>
            <w:tcW w:w="20" w:type="dxa"/>
            <w:vAlign w:val="bottom"/>
          </w:tcPr>
          <w:p>
            <w:pPr>
              <w:spacing w:after="0"/>
              <w:rPr>
                <w:sz w:val="20"/>
                <w:szCs w:val="20"/>
                <w:color w:val="auto"/>
              </w:rPr>
            </w:pPr>
          </w:p>
        </w:tc>
        <w:tc>
          <w:tcPr>
            <w:tcW w:w="2120" w:type="dxa"/>
            <w:vAlign w:val="bottom"/>
            <w:shd w:val="clear" w:color="auto" w:fill="CCEEFF"/>
          </w:tcPr>
          <w:p>
            <w:pPr>
              <w:spacing w:after="0"/>
              <w:rPr>
                <w:sz w:val="20"/>
                <w:szCs w:val="20"/>
                <w:color w:val="auto"/>
              </w:rPr>
            </w:pPr>
            <w:r>
              <w:rPr>
                <w:rFonts w:ascii="Arial" w:cs="Arial" w:eastAsia="Arial" w:hAnsi="Arial"/>
                <w:sz w:val="18"/>
                <w:szCs w:val="18"/>
                <w:color w:val="auto"/>
              </w:rPr>
              <w:t>Income from operations</w:t>
            </w:r>
          </w:p>
        </w:tc>
        <w:tc>
          <w:tcPr>
            <w:tcW w:w="400" w:type="dxa"/>
            <w:vAlign w:val="bottom"/>
            <w:shd w:val="clear" w:color="auto" w:fill="CCEEFF"/>
          </w:tcPr>
          <w:p>
            <w:pPr>
              <w:spacing w:after="0"/>
              <w:rPr>
                <w:sz w:val="20"/>
                <w:szCs w:val="20"/>
                <w:color w:val="auto"/>
              </w:rPr>
            </w:pP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04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rPr>
              <w:t>3,064</w:t>
            </w: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4.9%</w:t>
            </w:r>
          </w:p>
        </w:tc>
        <w:tc>
          <w:tcPr>
            <w:tcW w:w="2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02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rPr>
              <w:t>5,893</w:t>
            </w: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9.5%</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8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(2,829)</w:t>
            </w:r>
          </w:p>
        </w:tc>
        <w:tc>
          <w:tcPr>
            <w:tcW w:w="10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-48.0%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120" w:type="dxa"/>
            <w:vAlign w:val="bottom"/>
            <w:tcBorders>
              <w:top w:val="single" w:sz="8" w:color="CCEEFF"/>
            </w:tcBorders>
            <w:shd w:val="clear" w:color="auto" w:fill="CCEEFF"/>
          </w:tcPr>
          <w:p>
            <w:pPr>
              <w:spacing w:after="0" w:line="20" w:lineRule="exact"/>
              <w:rPr>
                <w:sz w:val="1"/>
                <w:szCs w:val="1"/>
                <w:color w:val="auto"/>
              </w:rPr>
            </w:pPr>
          </w:p>
        </w:tc>
        <w:tc>
          <w:tcPr>
            <w:tcW w:w="400" w:type="dxa"/>
            <w:vAlign w:val="bottom"/>
            <w:tcBorders>
              <w:top w:val="single" w:sz="8" w:color="CCEEFF"/>
            </w:tcBorders>
            <w:shd w:val="clear" w:color="auto" w:fill="CCEEFF"/>
          </w:tcPr>
          <w:p>
            <w:pPr>
              <w:spacing w:after="0" w:line="20" w:lineRule="exact"/>
              <w:rPr>
                <w:sz w:val="1"/>
                <w:szCs w:val="1"/>
                <w:color w:val="auto"/>
              </w:rPr>
            </w:pPr>
          </w:p>
        </w:tc>
        <w:tc>
          <w:tcPr>
            <w:tcW w:w="200" w:type="dxa"/>
            <w:vAlign w:val="bottom"/>
            <w:tcBorders>
              <w:top w:val="single" w:sz="8" w:color="auto"/>
            </w:tcBorders>
            <w:shd w:val="clear" w:color="auto" w:fill="000000"/>
          </w:tcPr>
          <w:p>
            <w:pPr>
              <w:spacing w:after="0" w:line="20" w:lineRule="exact"/>
              <w:rPr>
                <w:sz w:val="1"/>
                <w:szCs w:val="1"/>
                <w:color w:val="auto"/>
              </w:rPr>
            </w:pPr>
          </w:p>
        </w:tc>
        <w:tc>
          <w:tcPr>
            <w:tcW w:w="1040" w:type="dxa"/>
            <w:vAlign w:val="bottom"/>
            <w:tcBorders>
              <w:top w:val="single" w:sz="8" w:color="auto"/>
            </w:tcBorders>
            <w:shd w:val="clear" w:color="auto" w:fill="000000"/>
          </w:tcPr>
          <w:p>
            <w:pPr>
              <w:spacing w:after="0" w:line="20" w:lineRule="exact"/>
              <w:rPr>
                <w:sz w:val="1"/>
                <w:szCs w:val="1"/>
                <w:color w:val="auto"/>
              </w:rPr>
            </w:pPr>
          </w:p>
        </w:tc>
        <w:tc>
          <w:tcPr>
            <w:tcW w:w="74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220" w:type="dxa"/>
            <w:vAlign w:val="bottom"/>
            <w:tcBorders>
              <w:top w:val="single" w:sz="8" w:color="auto"/>
            </w:tcBorders>
            <w:shd w:val="clear" w:color="auto" w:fill="000000"/>
          </w:tcPr>
          <w:p>
            <w:pPr>
              <w:spacing w:after="0" w:line="20" w:lineRule="exact"/>
              <w:rPr>
                <w:sz w:val="1"/>
                <w:szCs w:val="1"/>
                <w:color w:val="auto"/>
              </w:rPr>
            </w:pPr>
          </w:p>
        </w:tc>
        <w:tc>
          <w:tcPr>
            <w:tcW w:w="1020" w:type="dxa"/>
            <w:vAlign w:val="bottom"/>
            <w:tcBorders>
              <w:top w:val="single" w:sz="8" w:color="auto"/>
            </w:tcBorders>
            <w:shd w:val="clear" w:color="auto" w:fill="000000"/>
          </w:tcPr>
          <w:p>
            <w:pPr>
              <w:spacing w:after="0" w:line="20" w:lineRule="exact"/>
              <w:rPr>
                <w:sz w:val="1"/>
                <w:szCs w:val="1"/>
                <w:color w:val="auto"/>
              </w:rPr>
            </w:pPr>
          </w:p>
        </w:tc>
        <w:tc>
          <w:tcPr>
            <w:tcW w:w="74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140" w:type="dxa"/>
            <w:vAlign w:val="bottom"/>
            <w:tcBorders>
              <w:top w:val="single" w:sz="8" w:color="auto"/>
            </w:tcBorders>
            <w:shd w:val="clear" w:color="auto" w:fill="000000"/>
          </w:tcPr>
          <w:p>
            <w:pPr>
              <w:spacing w:after="0" w:line="20" w:lineRule="exact"/>
              <w:rPr>
                <w:sz w:val="1"/>
                <w:szCs w:val="1"/>
                <w:color w:val="auto"/>
              </w:rPr>
            </w:pPr>
          </w:p>
        </w:tc>
        <w:tc>
          <w:tcPr>
            <w:tcW w:w="980" w:type="dxa"/>
            <w:vAlign w:val="bottom"/>
            <w:tcBorders>
              <w:top w:val="single" w:sz="8" w:color="auto"/>
            </w:tcBorders>
            <w:shd w:val="clear" w:color="auto" w:fill="000000"/>
          </w:tcPr>
          <w:p>
            <w:pPr>
              <w:spacing w:after="0" w:line="20" w:lineRule="exact"/>
              <w:rPr>
                <w:sz w:val="1"/>
                <w:szCs w:val="1"/>
                <w:color w:val="auto"/>
              </w:rPr>
            </w:pPr>
          </w:p>
        </w:tc>
        <w:tc>
          <w:tcPr>
            <w:tcW w:w="860" w:type="dxa"/>
            <w:vAlign w:val="bottom"/>
            <w:tcBorders>
              <w:top w:val="single" w:sz="8" w:color="auto"/>
            </w:tcBorders>
            <w:shd w:val="clear" w:color="auto" w:fill="000000"/>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Quarterly Analysis of Results - Wholesale</w:t>
      </w:r>
    </w:p>
    <w:p>
      <w:pPr>
        <w:spacing w:after="0" w:line="224"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The increase in net sales was driven by an 8.2% increase in furniture shipments to the open market (outside the Bassett Home Furnishings network) as compared to the prior year period partially offset by a 2.9% decrease in furniture shipments to the Bassett Home Furnishings network. A much smaller component of our wholesale revenues, shipments of wholesale accessories, increased 55% over the prior year period. Gross margins for the wholesale segment were 32.4% for the first quarter of 2018 compared to 35.2% for the prior year quarter. This decrease was primarily driven by lower margins in the Bassett Custom Upholstery operation from continued higher materials costs coupled with lower absorption of fixed costs from lower volumes, excluding Lane Venture. Also, lower margins in the imported Bassett Casegoods were primarily due to a higher sales level of discontinued and discounted goods and higher container freight costs. Wholesale SG&amp;A increased as a percentage of sales over the prior year period primarily due to one-time acquisition and startup costs associated with the Lane Venture operation and higher digital marketing and other brand development costs.</w:t>
      </w:r>
    </w:p>
    <w:p>
      <w:pPr>
        <w:spacing w:after="0" w:line="394" w:lineRule="exact"/>
        <w:rPr>
          <w:sz w:val="20"/>
          <w:szCs w:val="20"/>
          <w:color w:val="auto"/>
        </w:rPr>
      </w:pPr>
    </w:p>
    <w:tbl>
      <w:tblPr>
        <w:tblLayout w:type="fixed"/>
        <w:tblInd w:w="980" w:type="dxa"/>
        <w:tblCellMar>
          <w:top w:w="0" w:type="dxa"/>
          <w:left w:w="0" w:type="dxa"/>
          <w:bottom w:w="0" w:type="dxa"/>
          <w:right w:w="0" w:type="dxa"/>
        </w:tblCellMar>
      </w:tblPr>
      <w:tr>
        <w:trPr>
          <w:trHeight w:val="230"/>
        </w:trPr>
        <w:tc>
          <w:tcPr>
            <w:tcW w:w="2980" w:type="dxa"/>
            <w:vAlign w:val="bottom"/>
            <w:gridSpan w:val="2"/>
          </w:tcPr>
          <w:p>
            <w:pPr>
              <w:spacing w:after="0"/>
              <w:rPr>
                <w:sz w:val="20"/>
                <w:szCs w:val="20"/>
                <w:color w:val="auto"/>
              </w:rPr>
            </w:pPr>
            <w:r>
              <w:rPr>
                <w:rFonts w:ascii="Arial" w:cs="Arial" w:eastAsia="Arial" w:hAnsi="Arial"/>
                <w:sz w:val="18"/>
                <w:szCs w:val="18"/>
                <w:i w:val="1"/>
                <w:iCs w:val="1"/>
                <w:color w:val="auto"/>
              </w:rPr>
              <w:t>Wholesale shipments by type:</w:t>
            </w:r>
          </w:p>
        </w:tc>
        <w:tc>
          <w:tcPr>
            <w:tcW w:w="260" w:type="dxa"/>
            <w:vAlign w:val="bottom"/>
            <w:tcBorders>
              <w:bottom w:val="single" w:sz="8" w:color="auto"/>
            </w:tcBorders>
          </w:tcPr>
          <w:p>
            <w:pPr>
              <w:spacing w:after="0"/>
              <w:rPr>
                <w:sz w:val="19"/>
                <w:szCs w:val="19"/>
                <w:color w:val="auto"/>
              </w:rPr>
            </w:pPr>
          </w:p>
        </w:tc>
        <w:tc>
          <w:tcPr>
            <w:tcW w:w="152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color w:val="auto"/>
                <w:w w:val="89"/>
              </w:rPr>
              <w:t>Quarter Ended</w:t>
            </w:r>
          </w:p>
        </w:tc>
        <w:tc>
          <w:tcPr>
            <w:tcW w:w="136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26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Change</w:t>
            </w:r>
          </w:p>
        </w:tc>
        <w:tc>
          <w:tcPr>
            <w:tcW w:w="800" w:type="dxa"/>
            <w:vAlign w:val="bottom"/>
            <w:tcBorders>
              <w:bottom w:val="single" w:sz="8" w:color="auto"/>
            </w:tcBorders>
          </w:tcPr>
          <w:p>
            <w:pPr>
              <w:spacing w:after="0"/>
              <w:rPr>
                <w:sz w:val="19"/>
                <w:szCs w:val="19"/>
                <w:color w:val="auto"/>
              </w:rPr>
            </w:pP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2960" w:type="dxa"/>
            <w:vAlign w:val="bottom"/>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5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February 24, 2018</w:t>
            </w:r>
          </w:p>
        </w:tc>
        <w:tc>
          <w:tcPr>
            <w:tcW w:w="420" w:type="dxa"/>
            <w:vAlign w:val="bottom"/>
            <w:tcBorders>
              <w:bottom w:val="single" w:sz="8" w:color="auto"/>
            </w:tcBorders>
          </w:tcPr>
          <w:p>
            <w:pPr>
              <w:spacing w:after="0"/>
              <w:rPr>
                <w:sz w:val="19"/>
                <w:szCs w:val="19"/>
                <w:color w:val="auto"/>
              </w:rPr>
            </w:pPr>
          </w:p>
        </w:tc>
        <w:tc>
          <w:tcPr>
            <w:tcW w:w="260" w:type="dxa"/>
            <w:vAlign w:val="bottom"/>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9"/>
              </w:rPr>
              <w:t>February 25, 2017</w:t>
            </w:r>
          </w:p>
        </w:tc>
        <w:tc>
          <w:tcPr>
            <w:tcW w:w="420" w:type="dxa"/>
            <w:vAlign w:val="bottom"/>
            <w:tcBorders>
              <w:bottom w:val="single" w:sz="8" w:color="auto"/>
            </w:tcBorders>
          </w:tcPr>
          <w:p>
            <w:pPr>
              <w:spacing w:after="0"/>
              <w:rPr>
                <w:sz w:val="19"/>
                <w:szCs w:val="19"/>
                <w:color w:val="auto"/>
              </w:rPr>
            </w:pPr>
          </w:p>
        </w:tc>
        <w:tc>
          <w:tcPr>
            <w:tcW w:w="26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240" w:type="dxa"/>
            <w:vAlign w:val="bottom"/>
            <w:tcBorders>
              <w:bottom w:val="single" w:sz="8" w:color="auto"/>
            </w:tcBorders>
          </w:tcPr>
          <w:p>
            <w:pPr>
              <w:jc w:val="right"/>
              <w:ind w:right="550"/>
              <w:spacing w:after="0"/>
              <w:rPr>
                <w:sz w:val="20"/>
                <w:szCs w:val="20"/>
                <w:color w:val="auto"/>
              </w:rPr>
            </w:pPr>
            <w:r>
              <w:rPr>
                <w:rFonts w:ascii="Arial" w:cs="Arial" w:eastAsia="Arial" w:hAnsi="Arial"/>
                <w:sz w:val="18"/>
                <w:szCs w:val="18"/>
                <w:color w:val="auto"/>
              </w:rPr>
              <w:t>Dollars</w:t>
            </w:r>
          </w:p>
        </w:tc>
        <w:tc>
          <w:tcPr>
            <w:tcW w:w="800" w:type="dxa"/>
            <w:vAlign w:val="bottom"/>
            <w:tcBorders>
              <w:bottom w:val="single" w:sz="8" w:color="auto"/>
            </w:tcBorders>
          </w:tcPr>
          <w:p>
            <w:pPr>
              <w:ind w:left="40"/>
              <w:spacing w:after="0"/>
              <w:rPr>
                <w:sz w:val="20"/>
                <w:szCs w:val="20"/>
                <w:color w:val="auto"/>
              </w:rPr>
            </w:pPr>
            <w:r>
              <w:rPr>
                <w:rFonts w:ascii="Arial" w:cs="Arial" w:eastAsia="Arial" w:hAnsi="Arial"/>
                <w:sz w:val="18"/>
                <w:szCs w:val="18"/>
                <w:color w:val="auto"/>
              </w:rPr>
              <w:t>Percent</w:t>
            </w: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9"/>
        </w:trPr>
        <w:tc>
          <w:tcPr>
            <w:tcW w:w="20" w:type="dxa"/>
            <w:vAlign w:val="bottom"/>
            <w:vMerge w:val="restart"/>
          </w:tcPr>
          <w:p>
            <w:pPr>
              <w:spacing w:after="0"/>
              <w:rPr>
                <w:sz w:val="18"/>
                <w:szCs w:val="18"/>
                <w:color w:val="auto"/>
              </w:rPr>
            </w:pPr>
          </w:p>
        </w:tc>
        <w:tc>
          <w:tcPr>
            <w:tcW w:w="29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vMerge w:val="continue"/>
          </w:tcPr>
          <w:p>
            <w:pPr>
              <w:spacing w:after="0"/>
              <w:rPr>
                <w:sz w:val="18"/>
                <w:szCs w:val="18"/>
                <w:color w:val="auto"/>
              </w:rPr>
            </w:pPr>
          </w:p>
        </w:tc>
        <w:tc>
          <w:tcPr>
            <w:tcW w:w="2960" w:type="dxa"/>
            <w:vAlign w:val="bottom"/>
            <w:shd w:val="clear" w:color="auto" w:fill="CCEEFF"/>
          </w:tcPr>
          <w:p>
            <w:pPr>
              <w:spacing w:after="0"/>
              <w:rPr>
                <w:sz w:val="20"/>
                <w:szCs w:val="20"/>
                <w:color w:val="auto"/>
              </w:rPr>
            </w:pPr>
            <w:r>
              <w:rPr>
                <w:rFonts w:ascii="Arial" w:cs="Arial" w:eastAsia="Arial" w:hAnsi="Arial"/>
                <w:sz w:val="18"/>
                <w:szCs w:val="18"/>
                <w:color w:val="auto"/>
              </w:rPr>
              <w:t>Bassett Custom Upholstery</w:t>
            </w:r>
          </w:p>
        </w:tc>
        <w:tc>
          <w:tcPr>
            <w:tcW w:w="260" w:type="dxa"/>
            <w:vAlign w:val="bottom"/>
            <w:shd w:val="clear" w:color="auto" w:fill="CCEEFF"/>
          </w:tcPr>
          <w:p>
            <w:pPr>
              <w:jc w:val="right"/>
              <w:ind w:right="107"/>
              <w:spacing w:after="0"/>
              <w:rPr>
                <w:sz w:val="20"/>
                <w:szCs w:val="20"/>
                <w:color w:val="auto"/>
              </w:rPr>
            </w:pPr>
            <w:r>
              <w:rPr>
                <w:rFonts w:ascii="Arial" w:cs="Arial" w:eastAsia="Arial" w:hAnsi="Arial"/>
                <w:sz w:val="15"/>
                <w:szCs w:val="15"/>
                <w:color w:val="auto"/>
                <w:w w:val="71"/>
              </w:rPr>
              <w:t>$</w:t>
            </w:r>
          </w:p>
        </w:tc>
        <w:tc>
          <w:tcPr>
            <w:tcW w:w="1520" w:type="dxa"/>
            <w:vAlign w:val="bottom"/>
            <w:shd w:val="clear" w:color="auto" w:fill="CCEEFF"/>
          </w:tcPr>
          <w:p>
            <w:pPr>
              <w:jc w:val="right"/>
              <w:ind w:right="690"/>
              <w:spacing w:after="0"/>
              <w:rPr>
                <w:sz w:val="20"/>
                <w:szCs w:val="20"/>
                <w:color w:val="auto"/>
              </w:rPr>
            </w:pPr>
            <w:r>
              <w:rPr>
                <w:rFonts w:ascii="Arial" w:cs="Arial" w:eastAsia="Arial" w:hAnsi="Arial"/>
                <w:sz w:val="18"/>
                <w:szCs w:val="18"/>
                <w:color w:val="auto"/>
              </w:rPr>
              <w:t>33,568</w:t>
            </w:r>
          </w:p>
        </w:tc>
        <w:tc>
          <w:tcPr>
            <w:tcW w:w="68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53.2%</w:t>
            </w:r>
          </w:p>
        </w:tc>
        <w:tc>
          <w:tcPr>
            <w:tcW w:w="420" w:type="dxa"/>
            <w:vAlign w:val="bottom"/>
            <w:shd w:val="clear" w:color="auto" w:fill="CCEEFF"/>
          </w:tcPr>
          <w:p>
            <w:pPr>
              <w:jc w:val="right"/>
              <w:ind w:right="267"/>
              <w:spacing w:after="0"/>
              <w:rPr>
                <w:sz w:val="20"/>
                <w:szCs w:val="20"/>
                <w:color w:val="auto"/>
              </w:rPr>
            </w:pPr>
            <w:r>
              <w:rPr>
                <w:rFonts w:ascii="Arial" w:cs="Arial" w:eastAsia="Arial" w:hAnsi="Arial"/>
                <w:sz w:val="15"/>
                <w:szCs w:val="15"/>
                <w:color w:val="auto"/>
                <w:w w:val="71"/>
              </w:rPr>
              <w:t>$</w:t>
            </w:r>
          </w:p>
        </w:tc>
        <w:tc>
          <w:tcPr>
            <w:tcW w:w="1360" w:type="dxa"/>
            <w:vAlign w:val="bottom"/>
            <w:shd w:val="clear" w:color="auto" w:fill="CCEEFF"/>
          </w:tcPr>
          <w:p>
            <w:pPr>
              <w:jc w:val="right"/>
              <w:ind w:right="690"/>
              <w:spacing w:after="0"/>
              <w:rPr>
                <w:sz w:val="20"/>
                <w:szCs w:val="20"/>
                <w:color w:val="auto"/>
              </w:rPr>
            </w:pPr>
            <w:r>
              <w:rPr>
                <w:rFonts w:ascii="Arial" w:cs="Arial" w:eastAsia="Arial" w:hAnsi="Arial"/>
                <w:sz w:val="18"/>
                <w:szCs w:val="18"/>
                <w:color w:val="auto"/>
              </w:rPr>
              <w:t>33,455</w:t>
            </w: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54.0%</w:t>
            </w:r>
          </w:p>
        </w:tc>
        <w:tc>
          <w:tcPr>
            <w:tcW w:w="160" w:type="dxa"/>
            <w:vAlign w:val="bottom"/>
            <w:shd w:val="clear" w:color="auto" w:fill="CCEEFF"/>
          </w:tcPr>
          <w:p>
            <w:pPr>
              <w:jc w:val="right"/>
              <w:ind w:right="7"/>
              <w:spacing w:after="0"/>
              <w:rPr>
                <w:sz w:val="20"/>
                <w:szCs w:val="20"/>
                <w:color w:val="auto"/>
              </w:rPr>
            </w:pPr>
            <w:r>
              <w:rPr>
                <w:rFonts w:ascii="Arial" w:cs="Arial" w:eastAsia="Arial" w:hAnsi="Arial"/>
                <w:sz w:val="15"/>
                <w:szCs w:val="15"/>
                <w:color w:val="auto"/>
                <w:w w:val="71"/>
              </w:rPr>
              <w:t>$</w:t>
            </w:r>
          </w:p>
        </w:tc>
        <w:tc>
          <w:tcPr>
            <w:tcW w:w="1240" w:type="dxa"/>
            <w:vAlign w:val="bottom"/>
            <w:shd w:val="clear" w:color="auto" w:fill="CCEEFF"/>
          </w:tcPr>
          <w:p>
            <w:pPr>
              <w:jc w:val="right"/>
              <w:ind w:right="310"/>
              <w:spacing w:after="0"/>
              <w:rPr>
                <w:sz w:val="20"/>
                <w:szCs w:val="20"/>
                <w:color w:val="auto"/>
              </w:rPr>
            </w:pPr>
            <w:r>
              <w:rPr>
                <w:rFonts w:ascii="Arial" w:cs="Arial" w:eastAsia="Arial" w:hAnsi="Arial"/>
                <w:sz w:val="18"/>
                <w:szCs w:val="18"/>
                <w:color w:val="auto"/>
              </w:rPr>
              <w:t>113</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0.3%</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2960" w:type="dxa"/>
            <w:vAlign w:val="bottom"/>
          </w:tcPr>
          <w:p>
            <w:pPr>
              <w:spacing w:after="0"/>
              <w:rPr>
                <w:sz w:val="20"/>
                <w:szCs w:val="20"/>
                <w:color w:val="auto"/>
              </w:rPr>
            </w:pPr>
            <w:r>
              <w:rPr>
                <w:rFonts w:ascii="Arial" w:cs="Arial" w:eastAsia="Arial" w:hAnsi="Arial"/>
                <w:sz w:val="18"/>
                <w:szCs w:val="18"/>
                <w:color w:val="auto"/>
              </w:rPr>
              <w:t>Bassett Leather</w:t>
            </w:r>
          </w:p>
        </w:tc>
        <w:tc>
          <w:tcPr>
            <w:tcW w:w="260" w:type="dxa"/>
            <w:vAlign w:val="bottom"/>
          </w:tcPr>
          <w:p>
            <w:pPr>
              <w:spacing w:after="0"/>
              <w:rPr>
                <w:sz w:val="18"/>
                <w:szCs w:val="18"/>
                <w:color w:val="auto"/>
              </w:rPr>
            </w:pPr>
          </w:p>
        </w:tc>
        <w:tc>
          <w:tcPr>
            <w:tcW w:w="1520" w:type="dxa"/>
            <w:vAlign w:val="bottom"/>
          </w:tcPr>
          <w:p>
            <w:pPr>
              <w:jc w:val="right"/>
              <w:ind w:right="690"/>
              <w:spacing w:after="0"/>
              <w:rPr>
                <w:sz w:val="20"/>
                <w:szCs w:val="20"/>
                <w:color w:val="auto"/>
              </w:rPr>
            </w:pPr>
            <w:r>
              <w:rPr>
                <w:rFonts w:ascii="Arial" w:cs="Arial" w:eastAsia="Arial" w:hAnsi="Arial"/>
                <w:sz w:val="18"/>
                <w:szCs w:val="18"/>
                <w:color w:val="auto"/>
              </w:rPr>
              <w:t>6,524</w:t>
            </w:r>
          </w:p>
        </w:tc>
        <w:tc>
          <w:tcPr>
            <w:tcW w:w="680" w:type="dxa"/>
            <w:vAlign w:val="bottom"/>
            <w:gridSpan w:val="2"/>
          </w:tcPr>
          <w:p>
            <w:pPr>
              <w:jc w:val="right"/>
              <w:ind w:right="120"/>
              <w:spacing w:after="0"/>
              <w:rPr>
                <w:sz w:val="20"/>
                <w:szCs w:val="20"/>
                <w:color w:val="auto"/>
              </w:rPr>
            </w:pPr>
            <w:r>
              <w:rPr>
                <w:rFonts w:ascii="Arial" w:cs="Arial" w:eastAsia="Arial" w:hAnsi="Arial"/>
                <w:sz w:val="18"/>
                <w:szCs w:val="18"/>
                <w:color w:val="auto"/>
              </w:rPr>
              <w:t>10.3%</w:t>
            </w:r>
          </w:p>
        </w:tc>
        <w:tc>
          <w:tcPr>
            <w:tcW w:w="420" w:type="dxa"/>
            <w:vAlign w:val="bottom"/>
          </w:tcPr>
          <w:p>
            <w:pPr>
              <w:spacing w:after="0"/>
              <w:rPr>
                <w:sz w:val="18"/>
                <w:szCs w:val="18"/>
                <w:color w:val="auto"/>
              </w:rPr>
            </w:pPr>
          </w:p>
        </w:tc>
        <w:tc>
          <w:tcPr>
            <w:tcW w:w="1360" w:type="dxa"/>
            <w:vAlign w:val="bottom"/>
          </w:tcPr>
          <w:p>
            <w:pPr>
              <w:jc w:val="right"/>
              <w:ind w:right="690"/>
              <w:spacing w:after="0"/>
              <w:rPr>
                <w:sz w:val="20"/>
                <w:szCs w:val="20"/>
                <w:color w:val="auto"/>
              </w:rPr>
            </w:pPr>
            <w:r>
              <w:rPr>
                <w:rFonts w:ascii="Arial" w:cs="Arial" w:eastAsia="Arial" w:hAnsi="Arial"/>
                <w:sz w:val="18"/>
                <w:szCs w:val="18"/>
                <w:color w:val="auto"/>
              </w:rPr>
              <w:t>5,582</w:t>
            </w: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9.0%</w:t>
            </w:r>
          </w:p>
        </w:tc>
        <w:tc>
          <w:tcPr>
            <w:tcW w:w="160" w:type="dxa"/>
            <w:vAlign w:val="bottom"/>
          </w:tcPr>
          <w:p>
            <w:pPr>
              <w:spacing w:after="0"/>
              <w:rPr>
                <w:sz w:val="18"/>
                <w:szCs w:val="18"/>
                <w:color w:val="auto"/>
              </w:rPr>
            </w:pPr>
          </w:p>
        </w:tc>
        <w:tc>
          <w:tcPr>
            <w:tcW w:w="1240" w:type="dxa"/>
            <w:vAlign w:val="bottom"/>
          </w:tcPr>
          <w:p>
            <w:pPr>
              <w:jc w:val="right"/>
              <w:ind w:right="310"/>
              <w:spacing w:after="0"/>
              <w:rPr>
                <w:sz w:val="20"/>
                <w:szCs w:val="20"/>
                <w:color w:val="auto"/>
              </w:rPr>
            </w:pPr>
            <w:r>
              <w:rPr>
                <w:rFonts w:ascii="Arial" w:cs="Arial" w:eastAsia="Arial" w:hAnsi="Arial"/>
                <w:sz w:val="18"/>
                <w:szCs w:val="18"/>
                <w:color w:val="auto"/>
              </w:rPr>
              <w:t>942</w:t>
            </w: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16.9%</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2960" w:type="dxa"/>
            <w:vAlign w:val="bottom"/>
            <w:shd w:val="clear" w:color="auto" w:fill="CCEEFF"/>
          </w:tcPr>
          <w:p>
            <w:pPr>
              <w:spacing w:after="0"/>
              <w:rPr>
                <w:sz w:val="20"/>
                <w:szCs w:val="20"/>
                <w:color w:val="auto"/>
              </w:rPr>
            </w:pPr>
            <w:r>
              <w:rPr>
                <w:rFonts w:ascii="Arial" w:cs="Arial" w:eastAsia="Arial" w:hAnsi="Arial"/>
                <w:sz w:val="18"/>
                <w:szCs w:val="18"/>
                <w:color w:val="auto"/>
              </w:rPr>
              <w:t>Bassett Custom Wood</w:t>
            </w:r>
          </w:p>
        </w:tc>
        <w:tc>
          <w:tcPr>
            <w:tcW w:w="260" w:type="dxa"/>
            <w:vAlign w:val="bottom"/>
            <w:shd w:val="clear" w:color="auto" w:fill="CCEEFF"/>
          </w:tcPr>
          <w:p>
            <w:pPr>
              <w:spacing w:after="0"/>
              <w:rPr>
                <w:sz w:val="18"/>
                <w:szCs w:val="18"/>
                <w:color w:val="auto"/>
              </w:rPr>
            </w:pPr>
          </w:p>
        </w:tc>
        <w:tc>
          <w:tcPr>
            <w:tcW w:w="1520" w:type="dxa"/>
            <w:vAlign w:val="bottom"/>
            <w:shd w:val="clear" w:color="auto" w:fill="CCEEFF"/>
          </w:tcPr>
          <w:p>
            <w:pPr>
              <w:jc w:val="right"/>
              <w:ind w:right="690"/>
              <w:spacing w:after="0"/>
              <w:rPr>
                <w:sz w:val="20"/>
                <w:szCs w:val="20"/>
                <w:color w:val="auto"/>
              </w:rPr>
            </w:pPr>
            <w:r>
              <w:rPr>
                <w:rFonts w:ascii="Arial" w:cs="Arial" w:eastAsia="Arial" w:hAnsi="Arial"/>
                <w:sz w:val="18"/>
                <w:szCs w:val="18"/>
                <w:color w:val="auto"/>
              </w:rPr>
              <w:t>10,987</w:t>
            </w:r>
          </w:p>
        </w:tc>
        <w:tc>
          <w:tcPr>
            <w:tcW w:w="68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17.4%</w:t>
            </w:r>
          </w:p>
        </w:tc>
        <w:tc>
          <w:tcPr>
            <w:tcW w:w="420" w:type="dxa"/>
            <w:vAlign w:val="bottom"/>
            <w:shd w:val="clear" w:color="auto" w:fill="CCEEFF"/>
          </w:tcPr>
          <w:p>
            <w:pPr>
              <w:spacing w:after="0"/>
              <w:rPr>
                <w:sz w:val="18"/>
                <w:szCs w:val="18"/>
                <w:color w:val="auto"/>
              </w:rPr>
            </w:pPr>
          </w:p>
        </w:tc>
        <w:tc>
          <w:tcPr>
            <w:tcW w:w="1360" w:type="dxa"/>
            <w:vAlign w:val="bottom"/>
            <w:shd w:val="clear" w:color="auto" w:fill="CCEEFF"/>
          </w:tcPr>
          <w:p>
            <w:pPr>
              <w:jc w:val="right"/>
              <w:ind w:right="690"/>
              <w:spacing w:after="0"/>
              <w:rPr>
                <w:sz w:val="20"/>
                <w:szCs w:val="20"/>
                <w:color w:val="auto"/>
              </w:rPr>
            </w:pPr>
            <w:r>
              <w:rPr>
                <w:rFonts w:ascii="Arial" w:cs="Arial" w:eastAsia="Arial" w:hAnsi="Arial"/>
                <w:sz w:val="18"/>
                <w:szCs w:val="18"/>
                <w:color w:val="auto"/>
              </w:rPr>
              <w:t>9,868</w:t>
            </w: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15.9%</w:t>
            </w:r>
          </w:p>
        </w:tc>
        <w:tc>
          <w:tcPr>
            <w:tcW w:w="160" w:type="dxa"/>
            <w:vAlign w:val="bottom"/>
            <w:shd w:val="clear" w:color="auto" w:fill="CCEEFF"/>
          </w:tcPr>
          <w:p>
            <w:pPr>
              <w:spacing w:after="0"/>
              <w:rPr>
                <w:sz w:val="18"/>
                <w:szCs w:val="18"/>
                <w:color w:val="auto"/>
              </w:rPr>
            </w:pPr>
          </w:p>
        </w:tc>
        <w:tc>
          <w:tcPr>
            <w:tcW w:w="1240" w:type="dxa"/>
            <w:vAlign w:val="bottom"/>
            <w:shd w:val="clear" w:color="auto" w:fill="CCEEFF"/>
          </w:tcPr>
          <w:p>
            <w:pPr>
              <w:jc w:val="right"/>
              <w:ind w:right="310"/>
              <w:spacing w:after="0"/>
              <w:rPr>
                <w:sz w:val="20"/>
                <w:szCs w:val="20"/>
                <w:color w:val="auto"/>
              </w:rPr>
            </w:pPr>
            <w:r>
              <w:rPr>
                <w:rFonts w:ascii="Arial" w:cs="Arial" w:eastAsia="Arial" w:hAnsi="Arial"/>
                <w:sz w:val="18"/>
                <w:szCs w:val="18"/>
                <w:color w:val="auto"/>
              </w:rPr>
              <w:t>1,119</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11.3%</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2960" w:type="dxa"/>
            <w:vAlign w:val="bottom"/>
          </w:tcPr>
          <w:p>
            <w:pPr>
              <w:spacing w:after="0"/>
              <w:rPr>
                <w:sz w:val="20"/>
                <w:szCs w:val="20"/>
                <w:color w:val="auto"/>
              </w:rPr>
            </w:pPr>
            <w:r>
              <w:rPr>
                <w:rFonts w:ascii="Arial" w:cs="Arial" w:eastAsia="Arial" w:hAnsi="Arial"/>
                <w:sz w:val="18"/>
                <w:szCs w:val="18"/>
                <w:color w:val="auto"/>
              </w:rPr>
              <w:t>Bassett Casegoods</w:t>
            </w:r>
          </w:p>
        </w:tc>
        <w:tc>
          <w:tcPr>
            <w:tcW w:w="260" w:type="dxa"/>
            <w:vAlign w:val="bottom"/>
          </w:tcPr>
          <w:p>
            <w:pPr>
              <w:spacing w:after="0"/>
              <w:rPr>
                <w:sz w:val="18"/>
                <w:szCs w:val="18"/>
                <w:color w:val="auto"/>
              </w:rPr>
            </w:pPr>
          </w:p>
        </w:tc>
        <w:tc>
          <w:tcPr>
            <w:tcW w:w="1520" w:type="dxa"/>
            <w:vAlign w:val="bottom"/>
          </w:tcPr>
          <w:p>
            <w:pPr>
              <w:jc w:val="right"/>
              <w:ind w:right="690"/>
              <w:spacing w:after="0"/>
              <w:rPr>
                <w:sz w:val="20"/>
                <w:szCs w:val="20"/>
                <w:color w:val="auto"/>
              </w:rPr>
            </w:pPr>
            <w:r>
              <w:rPr>
                <w:rFonts w:ascii="Arial" w:cs="Arial" w:eastAsia="Arial" w:hAnsi="Arial"/>
                <w:sz w:val="18"/>
                <w:szCs w:val="18"/>
                <w:color w:val="auto"/>
              </w:rPr>
              <w:t>10,797</w:t>
            </w:r>
          </w:p>
        </w:tc>
        <w:tc>
          <w:tcPr>
            <w:tcW w:w="680" w:type="dxa"/>
            <w:vAlign w:val="bottom"/>
            <w:gridSpan w:val="2"/>
          </w:tcPr>
          <w:p>
            <w:pPr>
              <w:jc w:val="right"/>
              <w:ind w:right="120"/>
              <w:spacing w:after="0"/>
              <w:rPr>
                <w:sz w:val="20"/>
                <w:szCs w:val="20"/>
                <w:color w:val="auto"/>
              </w:rPr>
            </w:pPr>
            <w:r>
              <w:rPr>
                <w:rFonts w:ascii="Arial" w:cs="Arial" w:eastAsia="Arial" w:hAnsi="Arial"/>
                <w:sz w:val="18"/>
                <w:szCs w:val="18"/>
                <w:color w:val="auto"/>
              </w:rPr>
              <w:t>17.1%</w:t>
            </w:r>
          </w:p>
        </w:tc>
        <w:tc>
          <w:tcPr>
            <w:tcW w:w="420" w:type="dxa"/>
            <w:vAlign w:val="bottom"/>
          </w:tcPr>
          <w:p>
            <w:pPr>
              <w:spacing w:after="0"/>
              <w:rPr>
                <w:sz w:val="18"/>
                <w:szCs w:val="18"/>
                <w:color w:val="auto"/>
              </w:rPr>
            </w:pPr>
          </w:p>
        </w:tc>
        <w:tc>
          <w:tcPr>
            <w:tcW w:w="1360" w:type="dxa"/>
            <w:vAlign w:val="bottom"/>
          </w:tcPr>
          <w:p>
            <w:pPr>
              <w:jc w:val="right"/>
              <w:ind w:right="690"/>
              <w:spacing w:after="0"/>
              <w:rPr>
                <w:sz w:val="20"/>
                <w:szCs w:val="20"/>
                <w:color w:val="auto"/>
              </w:rPr>
            </w:pPr>
            <w:r>
              <w:rPr>
                <w:rFonts w:ascii="Arial" w:cs="Arial" w:eastAsia="Arial" w:hAnsi="Arial"/>
                <w:sz w:val="18"/>
                <w:szCs w:val="18"/>
                <w:color w:val="auto"/>
              </w:rPr>
              <w:t>12,282</w:t>
            </w: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19.8%</w:t>
            </w:r>
          </w:p>
        </w:tc>
        <w:tc>
          <w:tcPr>
            <w:tcW w:w="160" w:type="dxa"/>
            <w:vAlign w:val="bottom"/>
          </w:tcPr>
          <w:p>
            <w:pPr>
              <w:spacing w:after="0"/>
              <w:rPr>
                <w:sz w:val="18"/>
                <w:szCs w:val="18"/>
                <w:color w:val="auto"/>
              </w:rPr>
            </w:pPr>
          </w:p>
        </w:tc>
        <w:tc>
          <w:tcPr>
            <w:tcW w:w="1240" w:type="dxa"/>
            <w:vAlign w:val="bottom"/>
          </w:tcPr>
          <w:p>
            <w:pPr>
              <w:jc w:val="right"/>
              <w:ind w:right="250"/>
              <w:spacing w:after="0"/>
              <w:rPr>
                <w:sz w:val="20"/>
                <w:szCs w:val="20"/>
                <w:color w:val="auto"/>
              </w:rPr>
            </w:pPr>
            <w:r>
              <w:rPr>
                <w:rFonts w:ascii="Arial" w:cs="Arial" w:eastAsia="Arial" w:hAnsi="Arial"/>
                <w:sz w:val="18"/>
                <w:szCs w:val="18"/>
                <w:color w:val="auto"/>
              </w:rPr>
              <w:t>(1,485)</w:t>
            </w: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-12.1%</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2960" w:type="dxa"/>
            <w:vAlign w:val="bottom"/>
            <w:shd w:val="clear" w:color="auto" w:fill="CCEEFF"/>
          </w:tcPr>
          <w:p>
            <w:pPr>
              <w:spacing w:after="0"/>
              <w:rPr>
                <w:sz w:val="20"/>
                <w:szCs w:val="20"/>
                <w:color w:val="auto"/>
              </w:rPr>
            </w:pPr>
            <w:r>
              <w:rPr>
                <w:rFonts w:ascii="Arial" w:cs="Arial" w:eastAsia="Arial" w:hAnsi="Arial"/>
                <w:sz w:val="18"/>
                <w:szCs w:val="18"/>
                <w:color w:val="auto"/>
              </w:rPr>
              <w:t>Accessories</w:t>
            </w:r>
          </w:p>
        </w:tc>
        <w:tc>
          <w:tcPr>
            <w:tcW w:w="260" w:type="dxa"/>
            <w:vAlign w:val="bottom"/>
            <w:shd w:val="clear" w:color="auto" w:fill="CCEEFF"/>
          </w:tcPr>
          <w:p>
            <w:pPr>
              <w:spacing w:after="0"/>
              <w:rPr>
                <w:sz w:val="18"/>
                <w:szCs w:val="18"/>
                <w:color w:val="auto"/>
              </w:rPr>
            </w:pPr>
          </w:p>
        </w:tc>
        <w:tc>
          <w:tcPr>
            <w:tcW w:w="1520" w:type="dxa"/>
            <w:vAlign w:val="bottom"/>
            <w:shd w:val="clear" w:color="auto" w:fill="CCEEFF"/>
          </w:tcPr>
          <w:p>
            <w:pPr>
              <w:jc w:val="right"/>
              <w:ind w:right="690"/>
              <w:spacing w:after="0"/>
              <w:rPr>
                <w:sz w:val="20"/>
                <w:szCs w:val="20"/>
                <w:color w:val="auto"/>
              </w:rPr>
            </w:pPr>
            <w:r>
              <w:rPr>
                <w:rFonts w:ascii="Arial" w:cs="Arial" w:eastAsia="Arial" w:hAnsi="Arial"/>
                <w:sz w:val="18"/>
                <w:szCs w:val="18"/>
                <w:color w:val="auto"/>
              </w:rPr>
              <w:t>1,224</w:t>
            </w:r>
          </w:p>
        </w:tc>
        <w:tc>
          <w:tcPr>
            <w:tcW w:w="68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1.9%</w:t>
            </w:r>
          </w:p>
        </w:tc>
        <w:tc>
          <w:tcPr>
            <w:tcW w:w="420" w:type="dxa"/>
            <w:vAlign w:val="bottom"/>
            <w:shd w:val="clear" w:color="auto" w:fill="CCEEFF"/>
          </w:tcPr>
          <w:p>
            <w:pPr>
              <w:spacing w:after="0"/>
              <w:rPr>
                <w:sz w:val="18"/>
                <w:szCs w:val="18"/>
                <w:color w:val="auto"/>
              </w:rPr>
            </w:pPr>
          </w:p>
        </w:tc>
        <w:tc>
          <w:tcPr>
            <w:tcW w:w="1360" w:type="dxa"/>
            <w:vAlign w:val="bottom"/>
            <w:shd w:val="clear" w:color="auto" w:fill="CCEEFF"/>
          </w:tcPr>
          <w:p>
            <w:pPr>
              <w:jc w:val="right"/>
              <w:ind w:right="690"/>
              <w:spacing w:after="0"/>
              <w:rPr>
                <w:sz w:val="20"/>
                <w:szCs w:val="20"/>
                <w:color w:val="auto"/>
              </w:rPr>
            </w:pPr>
            <w:r>
              <w:rPr>
                <w:rFonts w:ascii="Arial" w:cs="Arial" w:eastAsia="Arial" w:hAnsi="Arial"/>
                <w:sz w:val="18"/>
                <w:szCs w:val="18"/>
                <w:color w:val="auto"/>
              </w:rPr>
              <w:t>788</w:t>
            </w: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w:t>
            </w:r>
          </w:p>
        </w:tc>
        <w:tc>
          <w:tcPr>
            <w:tcW w:w="160" w:type="dxa"/>
            <w:vAlign w:val="bottom"/>
            <w:shd w:val="clear" w:color="auto" w:fill="CCEEFF"/>
          </w:tcPr>
          <w:p>
            <w:pPr>
              <w:spacing w:after="0"/>
              <w:rPr>
                <w:sz w:val="18"/>
                <w:szCs w:val="18"/>
                <w:color w:val="auto"/>
              </w:rPr>
            </w:pPr>
          </w:p>
        </w:tc>
        <w:tc>
          <w:tcPr>
            <w:tcW w:w="1240" w:type="dxa"/>
            <w:vAlign w:val="bottom"/>
            <w:shd w:val="clear" w:color="auto" w:fill="CCEEFF"/>
          </w:tcPr>
          <w:p>
            <w:pPr>
              <w:jc w:val="right"/>
              <w:ind w:right="310"/>
              <w:spacing w:after="0"/>
              <w:rPr>
                <w:sz w:val="20"/>
                <w:szCs w:val="20"/>
                <w:color w:val="auto"/>
              </w:rPr>
            </w:pPr>
            <w:r>
              <w:rPr>
                <w:rFonts w:ascii="Arial" w:cs="Arial" w:eastAsia="Arial" w:hAnsi="Arial"/>
                <w:sz w:val="18"/>
                <w:szCs w:val="18"/>
                <w:color w:val="auto"/>
              </w:rPr>
              <w:t>436</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55.3%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960" w:type="dxa"/>
            <w:vAlign w:val="bottom"/>
            <w:shd w:val="clear" w:color="auto" w:fill="CCEEFF"/>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52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60" w:type="dxa"/>
            <w:vAlign w:val="bottom"/>
            <w:tcBorders>
              <w:right w:val="single" w:sz="8" w:color="CCEEFF"/>
            </w:tcBorders>
            <w:shd w:val="clear" w:color="auto" w:fill="CCEEFF"/>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24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2980" w:type="dxa"/>
            <w:vAlign w:val="bottom"/>
            <w:gridSpan w:val="2"/>
          </w:tcPr>
          <w:p>
            <w:pPr>
              <w:spacing w:after="0"/>
              <w:rPr>
                <w:sz w:val="20"/>
                <w:szCs w:val="20"/>
                <w:color w:val="auto"/>
              </w:rPr>
            </w:pPr>
            <w:r>
              <w:rPr>
                <w:rFonts w:ascii="Arial" w:cs="Arial" w:eastAsia="Arial" w:hAnsi="Arial"/>
                <w:sz w:val="18"/>
                <w:szCs w:val="18"/>
                <w:color w:val="auto"/>
              </w:rPr>
              <w:t>Total</w:t>
            </w:r>
          </w:p>
        </w:tc>
        <w:tc>
          <w:tcPr>
            <w:tcW w:w="260" w:type="dxa"/>
            <w:vAlign w:val="bottom"/>
          </w:tcPr>
          <w:p>
            <w:pPr>
              <w:jc w:val="right"/>
              <w:ind w:right="107"/>
              <w:spacing w:after="0"/>
              <w:rPr>
                <w:sz w:val="20"/>
                <w:szCs w:val="20"/>
                <w:color w:val="auto"/>
              </w:rPr>
            </w:pPr>
            <w:r>
              <w:rPr>
                <w:rFonts w:ascii="Arial" w:cs="Arial" w:eastAsia="Arial" w:hAnsi="Arial"/>
                <w:sz w:val="15"/>
                <w:szCs w:val="15"/>
                <w:color w:val="auto"/>
                <w:w w:val="71"/>
              </w:rPr>
              <w:t>$</w:t>
            </w:r>
          </w:p>
        </w:tc>
        <w:tc>
          <w:tcPr>
            <w:tcW w:w="1520" w:type="dxa"/>
            <w:vAlign w:val="bottom"/>
          </w:tcPr>
          <w:p>
            <w:pPr>
              <w:jc w:val="right"/>
              <w:ind w:right="690"/>
              <w:spacing w:after="0"/>
              <w:rPr>
                <w:sz w:val="20"/>
                <w:szCs w:val="20"/>
                <w:color w:val="auto"/>
              </w:rPr>
            </w:pPr>
            <w:r>
              <w:rPr>
                <w:rFonts w:ascii="Arial" w:cs="Arial" w:eastAsia="Arial" w:hAnsi="Arial"/>
                <w:sz w:val="18"/>
                <w:szCs w:val="18"/>
                <w:color w:val="auto"/>
              </w:rPr>
              <w:t>63,100</w:t>
            </w:r>
          </w:p>
        </w:tc>
        <w:tc>
          <w:tcPr>
            <w:tcW w:w="680" w:type="dxa"/>
            <w:vAlign w:val="bottom"/>
            <w:gridSpan w:val="2"/>
          </w:tcPr>
          <w:p>
            <w:pPr>
              <w:jc w:val="right"/>
              <w:ind w:right="120"/>
              <w:spacing w:after="0" w:line="209" w:lineRule="exact"/>
              <w:rPr>
                <w:sz w:val="20"/>
                <w:szCs w:val="20"/>
                <w:color w:val="auto"/>
              </w:rPr>
            </w:pPr>
            <w:r>
              <w:rPr>
                <w:rFonts w:ascii="Arial" w:cs="Arial" w:eastAsia="Arial" w:hAnsi="Arial"/>
                <w:sz w:val="14"/>
                <w:szCs w:val="14"/>
                <w:color w:val="auto"/>
              </w:rPr>
              <w:t>100.0</w:t>
            </w:r>
            <w:r>
              <w:rPr>
                <w:rFonts w:ascii="Arial" w:cs="Arial" w:eastAsia="Arial" w:hAnsi="Arial"/>
                <w:sz w:val="24"/>
                <w:szCs w:val="24"/>
                <w:color w:val="auto"/>
                <w:vertAlign w:val="subscript"/>
              </w:rPr>
              <w:t>%</w:t>
            </w:r>
          </w:p>
        </w:tc>
        <w:tc>
          <w:tcPr>
            <w:tcW w:w="420" w:type="dxa"/>
            <w:vAlign w:val="bottom"/>
          </w:tcPr>
          <w:p>
            <w:pPr>
              <w:jc w:val="right"/>
              <w:ind w:right="267"/>
              <w:spacing w:after="0"/>
              <w:rPr>
                <w:sz w:val="20"/>
                <w:szCs w:val="20"/>
                <w:color w:val="auto"/>
              </w:rPr>
            </w:pPr>
            <w:r>
              <w:rPr>
                <w:rFonts w:ascii="Arial" w:cs="Arial" w:eastAsia="Arial" w:hAnsi="Arial"/>
                <w:sz w:val="15"/>
                <w:szCs w:val="15"/>
                <w:color w:val="auto"/>
                <w:w w:val="71"/>
              </w:rPr>
              <w:t>$</w:t>
            </w:r>
          </w:p>
        </w:tc>
        <w:tc>
          <w:tcPr>
            <w:tcW w:w="1360" w:type="dxa"/>
            <w:vAlign w:val="bottom"/>
          </w:tcPr>
          <w:p>
            <w:pPr>
              <w:jc w:val="right"/>
              <w:ind w:right="690"/>
              <w:spacing w:after="0"/>
              <w:rPr>
                <w:sz w:val="20"/>
                <w:szCs w:val="20"/>
                <w:color w:val="auto"/>
              </w:rPr>
            </w:pPr>
            <w:r>
              <w:rPr>
                <w:rFonts w:ascii="Arial" w:cs="Arial" w:eastAsia="Arial" w:hAnsi="Arial"/>
                <w:sz w:val="18"/>
                <w:szCs w:val="18"/>
                <w:color w:val="auto"/>
              </w:rPr>
              <w:t>61,975</w:t>
            </w:r>
          </w:p>
        </w:tc>
        <w:tc>
          <w:tcPr>
            <w:tcW w:w="680" w:type="dxa"/>
            <w:vAlign w:val="bottom"/>
            <w:gridSpan w:val="2"/>
          </w:tcPr>
          <w:p>
            <w:pPr>
              <w:jc w:val="right"/>
              <w:ind w:right="100"/>
              <w:spacing w:after="0" w:line="209" w:lineRule="exact"/>
              <w:rPr>
                <w:sz w:val="20"/>
                <w:szCs w:val="20"/>
                <w:color w:val="auto"/>
              </w:rPr>
            </w:pPr>
            <w:r>
              <w:rPr>
                <w:rFonts w:ascii="Arial" w:cs="Arial" w:eastAsia="Arial" w:hAnsi="Arial"/>
                <w:sz w:val="14"/>
                <w:szCs w:val="14"/>
                <w:color w:val="auto"/>
              </w:rPr>
              <w:t>100.0</w:t>
            </w:r>
            <w:r>
              <w:rPr>
                <w:rFonts w:ascii="Arial" w:cs="Arial" w:eastAsia="Arial" w:hAnsi="Arial"/>
                <w:sz w:val="24"/>
                <w:szCs w:val="24"/>
                <w:color w:val="auto"/>
                <w:vertAlign w:val="subscript"/>
              </w:rPr>
              <w:t>%</w:t>
            </w:r>
          </w:p>
        </w:tc>
        <w:tc>
          <w:tcPr>
            <w:tcW w:w="160" w:type="dxa"/>
            <w:vAlign w:val="bottom"/>
          </w:tcPr>
          <w:p>
            <w:pPr>
              <w:jc w:val="right"/>
              <w:ind w:right="7"/>
              <w:spacing w:after="0"/>
              <w:rPr>
                <w:sz w:val="20"/>
                <w:szCs w:val="20"/>
                <w:color w:val="auto"/>
              </w:rPr>
            </w:pPr>
            <w:r>
              <w:rPr>
                <w:rFonts w:ascii="Arial" w:cs="Arial" w:eastAsia="Arial" w:hAnsi="Arial"/>
                <w:sz w:val="15"/>
                <w:szCs w:val="15"/>
                <w:color w:val="auto"/>
                <w:w w:val="71"/>
              </w:rPr>
              <w:t>$</w:t>
            </w:r>
          </w:p>
        </w:tc>
        <w:tc>
          <w:tcPr>
            <w:tcW w:w="1240" w:type="dxa"/>
            <w:vAlign w:val="bottom"/>
          </w:tcPr>
          <w:p>
            <w:pPr>
              <w:jc w:val="right"/>
              <w:ind w:right="310"/>
              <w:spacing w:after="0"/>
              <w:rPr>
                <w:sz w:val="20"/>
                <w:szCs w:val="20"/>
                <w:color w:val="auto"/>
              </w:rPr>
            </w:pPr>
            <w:r>
              <w:rPr>
                <w:rFonts w:ascii="Arial" w:cs="Arial" w:eastAsia="Arial" w:hAnsi="Arial"/>
                <w:sz w:val="18"/>
                <w:szCs w:val="18"/>
                <w:color w:val="auto"/>
              </w:rPr>
              <w:t>1,125</w:t>
            </w: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1.8%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96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52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Wholesale Backlog</w:t>
      </w:r>
    </w:p>
    <w:p>
      <w:pPr>
        <w:spacing w:after="0" w:line="224" w:lineRule="exact"/>
        <w:rPr>
          <w:sz w:val="20"/>
          <w:szCs w:val="20"/>
          <w:color w:val="auto"/>
        </w:rPr>
      </w:pPr>
    </w:p>
    <w:p>
      <w:pPr>
        <w:spacing w:after="0" w:line="276" w:lineRule="auto"/>
        <w:rPr>
          <w:sz w:val="20"/>
          <w:szCs w:val="20"/>
          <w:color w:val="auto"/>
        </w:rPr>
      </w:pPr>
      <w:r>
        <w:rPr>
          <w:rFonts w:ascii="Arial" w:cs="Arial" w:eastAsia="Arial" w:hAnsi="Arial"/>
          <w:sz w:val="18"/>
          <w:szCs w:val="18"/>
          <w:color w:val="auto"/>
        </w:rPr>
        <w:t>The dollar value of wholesale backlog, representing orders received but not yet shipped to dealers and Company stores, was $17,098 at February 24, 2018 as compared with $17,140 at February 25, 2017.</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29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82550</wp:posOffset>
            </wp:positionV>
            <wp:extent cx="7247255" cy="171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47255" cy="17145"/>
                    </a:xfrm>
                    <a:prstGeom prst="rect">
                      <a:avLst/>
                    </a:prstGeom>
                    <a:noFill/>
                  </pic:spPr>
                </pic:pic>
              </a:graphicData>
            </a:graphic>
          </wp:anchor>
        </w:drawing>
      </w:r>
    </w:p>
    <w:p>
      <w:pPr>
        <w:sectPr>
          <w:pgSz w:w="11900" w:h="16838" w:orient="portrait"/>
          <w:cols w:equalWidth="0" w:num="1">
            <w:col w:w="11420"/>
          </w:cols>
          <w:pgMar w:left="240" w:top="583" w:right="239" w:bottom="1440" w:gutter="0" w:footer="0" w:header="0"/>
        </w:sectPr>
      </w:pPr>
    </w:p>
    <w:bookmarkStart w:id="29" w:name="page30"/>
    <w:bookmarkEnd w:id="29"/>
    <w:p>
      <w:pPr>
        <w:jc w:val="center"/>
        <w:ind w:right="100"/>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ind w:right="100"/>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8" w:lineRule="exact"/>
        <w:rPr>
          <w:sz w:val="20"/>
          <w:szCs w:val="20"/>
          <w:color w:val="auto"/>
        </w:rPr>
      </w:pPr>
    </w:p>
    <w:p>
      <w:pPr>
        <w:jc w:val="center"/>
        <w:ind w:right="100"/>
        <w:spacing w:after="0"/>
        <w:rPr>
          <w:sz w:val="20"/>
          <w:szCs w:val="20"/>
          <w:color w:val="auto"/>
        </w:rPr>
      </w:pPr>
      <w:r>
        <w:rPr>
          <w:rFonts w:ascii="Arial" w:cs="Arial" w:eastAsia="Arial" w:hAnsi="Arial"/>
          <w:sz w:val="18"/>
          <w:szCs w:val="18"/>
          <w:u w:val="single" w:color="auto"/>
          <w:color w:val="auto"/>
        </w:rPr>
        <w:t>FEBRUARY 24, 2018</w:t>
      </w:r>
    </w:p>
    <w:p>
      <w:pPr>
        <w:spacing w:after="0" w:line="8" w:lineRule="exact"/>
        <w:rPr>
          <w:sz w:val="20"/>
          <w:szCs w:val="20"/>
          <w:color w:val="auto"/>
        </w:rPr>
      </w:pPr>
    </w:p>
    <w:p>
      <w:pPr>
        <w:jc w:val="center"/>
        <w:ind w:right="100"/>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0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Retail – Company-owned Stores Segment</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color w:val="auto"/>
        </w:rPr>
        <w:t>Results for the retail segment for the quarters ended February 24, 2018 and February 25, 2017 are as follows:</w:t>
      </w:r>
    </w:p>
    <w:p>
      <w:pPr>
        <w:spacing w:after="0" w:line="224" w:lineRule="exact"/>
        <w:rPr>
          <w:sz w:val="20"/>
          <w:szCs w:val="20"/>
          <w:color w:val="auto"/>
        </w:rPr>
      </w:pPr>
    </w:p>
    <w:tbl>
      <w:tblPr>
        <w:tblLayout w:type="fixed"/>
        <w:tblInd w:w="1300" w:type="dxa"/>
        <w:tblCellMar>
          <w:top w:w="0" w:type="dxa"/>
          <w:left w:w="0" w:type="dxa"/>
          <w:bottom w:w="0" w:type="dxa"/>
          <w:right w:w="0" w:type="dxa"/>
        </w:tblCellMar>
      </w:tblPr>
      <w:tr>
        <w:trPr>
          <w:trHeight w:val="230"/>
        </w:trPr>
        <w:tc>
          <w:tcPr>
            <w:tcW w:w="20" w:type="dxa"/>
            <w:vAlign w:val="bottom"/>
          </w:tcPr>
          <w:p>
            <w:pPr>
              <w:spacing w:after="0"/>
              <w:rPr>
                <w:sz w:val="19"/>
                <w:szCs w:val="19"/>
                <w:color w:val="auto"/>
              </w:rPr>
            </w:pPr>
          </w:p>
        </w:tc>
        <w:tc>
          <w:tcPr>
            <w:tcW w:w="2960" w:type="dxa"/>
            <w:vAlign w:val="bottom"/>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52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color w:val="auto"/>
                <w:w w:val="89"/>
              </w:rPr>
              <w:t>Quarter Ended</w:t>
            </w:r>
          </w:p>
        </w:tc>
        <w:tc>
          <w:tcPr>
            <w:tcW w:w="136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26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Change</w:t>
            </w:r>
          </w:p>
        </w:tc>
        <w:tc>
          <w:tcPr>
            <w:tcW w:w="800" w:type="dxa"/>
            <w:vAlign w:val="bottom"/>
            <w:tcBorders>
              <w:bottom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2960" w:type="dxa"/>
            <w:vAlign w:val="bottom"/>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15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February 24, 2018</w:t>
            </w:r>
          </w:p>
        </w:tc>
        <w:tc>
          <w:tcPr>
            <w:tcW w:w="420" w:type="dxa"/>
            <w:vAlign w:val="bottom"/>
            <w:tcBorders>
              <w:bottom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420" w:type="dxa"/>
            <w:vAlign w:val="bottom"/>
            <w:tcBorders>
              <w:bottom w:val="single" w:sz="8" w:color="auto"/>
            </w:tcBorders>
          </w:tcPr>
          <w:p>
            <w:pPr>
              <w:spacing w:after="0"/>
              <w:rPr>
                <w:sz w:val="18"/>
                <w:szCs w:val="18"/>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9"/>
              </w:rPr>
              <w:t>February 25, 2017</w:t>
            </w:r>
          </w:p>
        </w:tc>
        <w:tc>
          <w:tcPr>
            <w:tcW w:w="420" w:type="dxa"/>
            <w:vAlign w:val="bottom"/>
            <w:tcBorders>
              <w:bottom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240" w:type="dxa"/>
            <w:vAlign w:val="bottom"/>
            <w:tcBorders>
              <w:bottom w:val="single" w:sz="8" w:color="auto"/>
            </w:tcBorders>
          </w:tcPr>
          <w:p>
            <w:pPr>
              <w:jc w:val="right"/>
              <w:ind w:right="550"/>
              <w:spacing w:after="0"/>
              <w:rPr>
                <w:sz w:val="20"/>
                <w:szCs w:val="20"/>
                <w:color w:val="auto"/>
              </w:rPr>
            </w:pPr>
            <w:r>
              <w:rPr>
                <w:rFonts w:ascii="Arial" w:cs="Arial" w:eastAsia="Arial" w:hAnsi="Arial"/>
                <w:sz w:val="18"/>
                <w:szCs w:val="18"/>
                <w:color w:val="auto"/>
              </w:rPr>
              <w:t>Dollars</w:t>
            </w:r>
          </w:p>
        </w:tc>
        <w:tc>
          <w:tcPr>
            <w:tcW w:w="800" w:type="dxa"/>
            <w:vAlign w:val="bottom"/>
            <w:tcBorders>
              <w:bottom w:val="single" w:sz="8" w:color="auto"/>
            </w:tcBorders>
          </w:tcPr>
          <w:p>
            <w:pPr>
              <w:ind w:left="40"/>
              <w:spacing w:after="0"/>
              <w:rPr>
                <w:sz w:val="20"/>
                <w:szCs w:val="20"/>
                <w:color w:val="auto"/>
              </w:rPr>
            </w:pPr>
            <w:r>
              <w:rPr>
                <w:rFonts w:ascii="Arial" w:cs="Arial" w:eastAsia="Arial" w:hAnsi="Arial"/>
                <w:sz w:val="18"/>
                <w:szCs w:val="18"/>
                <w:color w:val="auto"/>
              </w:rPr>
              <w:t>Percent</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vMerge w:val="restart"/>
          </w:tcPr>
          <w:p>
            <w:pPr>
              <w:spacing w:after="0"/>
              <w:rPr>
                <w:sz w:val="18"/>
                <w:szCs w:val="18"/>
                <w:color w:val="auto"/>
              </w:rPr>
            </w:pPr>
          </w:p>
        </w:tc>
        <w:tc>
          <w:tcPr>
            <w:tcW w:w="29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vMerge w:val="continue"/>
          </w:tcPr>
          <w:p>
            <w:pPr>
              <w:spacing w:after="0"/>
              <w:rPr>
                <w:sz w:val="18"/>
                <w:szCs w:val="18"/>
                <w:color w:val="auto"/>
              </w:rPr>
            </w:pPr>
          </w:p>
        </w:tc>
        <w:tc>
          <w:tcPr>
            <w:tcW w:w="2960" w:type="dxa"/>
            <w:vAlign w:val="bottom"/>
            <w:shd w:val="clear" w:color="auto" w:fill="CCEEFF"/>
          </w:tcPr>
          <w:p>
            <w:pPr>
              <w:spacing w:after="0"/>
              <w:rPr>
                <w:sz w:val="20"/>
                <w:szCs w:val="20"/>
                <w:color w:val="auto"/>
              </w:rPr>
            </w:pPr>
            <w:r>
              <w:rPr>
                <w:rFonts w:ascii="Arial" w:cs="Arial" w:eastAsia="Arial" w:hAnsi="Arial"/>
                <w:sz w:val="18"/>
                <w:szCs w:val="18"/>
                <w:color w:val="auto"/>
              </w:rPr>
              <w:t>Net sales</w:t>
            </w:r>
          </w:p>
        </w:tc>
        <w:tc>
          <w:tcPr>
            <w:tcW w:w="260" w:type="dxa"/>
            <w:vAlign w:val="bottom"/>
            <w:shd w:val="clear" w:color="auto" w:fill="CCEEFF"/>
          </w:tcPr>
          <w:p>
            <w:pPr>
              <w:jc w:val="right"/>
              <w:ind w:right="107"/>
              <w:spacing w:after="0"/>
              <w:rPr>
                <w:sz w:val="20"/>
                <w:szCs w:val="20"/>
                <w:color w:val="auto"/>
              </w:rPr>
            </w:pPr>
            <w:r>
              <w:rPr>
                <w:rFonts w:ascii="Arial" w:cs="Arial" w:eastAsia="Arial" w:hAnsi="Arial"/>
                <w:sz w:val="15"/>
                <w:szCs w:val="15"/>
                <w:color w:val="auto"/>
                <w:w w:val="71"/>
              </w:rPr>
              <w:t>$</w:t>
            </w:r>
          </w:p>
        </w:tc>
        <w:tc>
          <w:tcPr>
            <w:tcW w:w="1520" w:type="dxa"/>
            <w:vAlign w:val="bottom"/>
            <w:shd w:val="clear" w:color="auto" w:fill="CCEEFF"/>
          </w:tcPr>
          <w:p>
            <w:pPr>
              <w:jc w:val="right"/>
              <w:ind w:right="690"/>
              <w:spacing w:after="0"/>
              <w:rPr>
                <w:sz w:val="20"/>
                <w:szCs w:val="20"/>
                <w:color w:val="auto"/>
              </w:rPr>
            </w:pPr>
            <w:r>
              <w:rPr>
                <w:rFonts w:ascii="Arial" w:cs="Arial" w:eastAsia="Arial" w:hAnsi="Arial"/>
                <w:sz w:val="18"/>
                <w:szCs w:val="18"/>
                <w:color w:val="auto"/>
              </w:rPr>
              <w:t>64,661</w:t>
            </w:r>
          </w:p>
        </w:tc>
        <w:tc>
          <w:tcPr>
            <w:tcW w:w="68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1"/>
              </w:rPr>
              <w:t>100.0%</w:t>
            </w:r>
          </w:p>
        </w:tc>
        <w:tc>
          <w:tcPr>
            <w:tcW w:w="420" w:type="dxa"/>
            <w:vAlign w:val="bottom"/>
            <w:shd w:val="clear" w:color="auto" w:fill="CCEEFF"/>
          </w:tcPr>
          <w:p>
            <w:pPr>
              <w:jc w:val="right"/>
              <w:ind w:right="267"/>
              <w:spacing w:after="0"/>
              <w:rPr>
                <w:sz w:val="20"/>
                <w:szCs w:val="20"/>
                <w:color w:val="auto"/>
              </w:rPr>
            </w:pPr>
            <w:r>
              <w:rPr>
                <w:rFonts w:ascii="Arial" w:cs="Arial" w:eastAsia="Arial" w:hAnsi="Arial"/>
                <w:sz w:val="15"/>
                <w:szCs w:val="15"/>
                <w:color w:val="auto"/>
                <w:w w:val="71"/>
              </w:rPr>
              <w:t>$</w:t>
            </w:r>
          </w:p>
        </w:tc>
        <w:tc>
          <w:tcPr>
            <w:tcW w:w="1360" w:type="dxa"/>
            <w:vAlign w:val="bottom"/>
            <w:shd w:val="clear" w:color="auto" w:fill="CCEEFF"/>
          </w:tcPr>
          <w:p>
            <w:pPr>
              <w:jc w:val="right"/>
              <w:ind w:right="690"/>
              <w:spacing w:after="0"/>
              <w:rPr>
                <w:sz w:val="20"/>
                <w:szCs w:val="20"/>
                <w:color w:val="auto"/>
              </w:rPr>
            </w:pPr>
            <w:r>
              <w:rPr>
                <w:rFonts w:ascii="Arial" w:cs="Arial" w:eastAsia="Arial" w:hAnsi="Arial"/>
                <w:sz w:val="18"/>
                <w:szCs w:val="18"/>
                <w:color w:val="auto"/>
              </w:rPr>
              <w:t>61,593</w:t>
            </w: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1"/>
              </w:rPr>
              <w:t>100.0%</w:t>
            </w:r>
          </w:p>
        </w:tc>
        <w:tc>
          <w:tcPr>
            <w:tcW w:w="160" w:type="dxa"/>
            <w:vAlign w:val="bottom"/>
            <w:shd w:val="clear" w:color="auto" w:fill="CCEEFF"/>
          </w:tcPr>
          <w:p>
            <w:pPr>
              <w:jc w:val="right"/>
              <w:ind w:right="7"/>
              <w:spacing w:after="0"/>
              <w:rPr>
                <w:sz w:val="20"/>
                <w:szCs w:val="20"/>
                <w:color w:val="auto"/>
              </w:rPr>
            </w:pPr>
            <w:r>
              <w:rPr>
                <w:rFonts w:ascii="Arial" w:cs="Arial" w:eastAsia="Arial" w:hAnsi="Arial"/>
                <w:sz w:val="15"/>
                <w:szCs w:val="15"/>
                <w:color w:val="auto"/>
                <w:w w:val="71"/>
              </w:rPr>
              <w:t>$</w:t>
            </w:r>
          </w:p>
        </w:tc>
        <w:tc>
          <w:tcPr>
            <w:tcW w:w="1240" w:type="dxa"/>
            <w:vAlign w:val="bottom"/>
            <w:shd w:val="clear" w:color="auto" w:fill="CCEEFF"/>
          </w:tcPr>
          <w:p>
            <w:pPr>
              <w:jc w:val="right"/>
              <w:ind w:right="310"/>
              <w:spacing w:after="0"/>
              <w:rPr>
                <w:sz w:val="20"/>
                <w:szCs w:val="20"/>
                <w:color w:val="auto"/>
              </w:rPr>
            </w:pPr>
            <w:r>
              <w:rPr>
                <w:rFonts w:ascii="Arial" w:cs="Arial" w:eastAsia="Arial" w:hAnsi="Arial"/>
                <w:sz w:val="18"/>
                <w:szCs w:val="18"/>
                <w:color w:val="auto"/>
              </w:rPr>
              <w:t>3,068</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5.0%</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2960" w:type="dxa"/>
            <w:vAlign w:val="bottom"/>
            <w:shd w:val="clear" w:color="auto" w:fill="CCEEFF"/>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52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60" w:type="dxa"/>
            <w:vAlign w:val="bottom"/>
            <w:tcBorders>
              <w:right w:val="single" w:sz="8" w:color="CCEEFF"/>
            </w:tcBorders>
            <w:shd w:val="clear" w:color="auto" w:fill="CCEEFF"/>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24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20" w:type="dxa"/>
            <w:vAlign w:val="bottom"/>
            <w:vMerge w:val="continue"/>
          </w:tcPr>
          <w:p>
            <w:pPr>
              <w:spacing w:after="0"/>
              <w:rPr>
                <w:sz w:val="18"/>
                <w:szCs w:val="18"/>
                <w:color w:val="auto"/>
              </w:rPr>
            </w:pPr>
          </w:p>
        </w:tc>
        <w:tc>
          <w:tcPr>
            <w:tcW w:w="2960" w:type="dxa"/>
            <w:vAlign w:val="bottom"/>
          </w:tcPr>
          <w:p>
            <w:pPr>
              <w:spacing w:after="0"/>
              <w:rPr>
                <w:sz w:val="20"/>
                <w:szCs w:val="20"/>
                <w:color w:val="auto"/>
              </w:rPr>
            </w:pPr>
            <w:r>
              <w:rPr>
                <w:rFonts w:ascii="Arial" w:cs="Arial" w:eastAsia="Arial" w:hAnsi="Arial"/>
                <w:sz w:val="18"/>
                <w:szCs w:val="18"/>
                <w:color w:val="auto"/>
              </w:rPr>
              <w:t>Gross profit</w:t>
            </w:r>
          </w:p>
        </w:tc>
        <w:tc>
          <w:tcPr>
            <w:tcW w:w="260" w:type="dxa"/>
            <w:vAlign w:val="bottom"/>
          </w:tcPr>
          <w:p>
            <w:pPr>
              <w:spacing w:after="0"/>
              <w:rPr>
                <w:sz w:val="18"/>
                <w:szCs w:val="18"/>
                <w:color w:val="auto"/>
              </w:rPr>
            </w:pPr>
          </w:p>
        </w:tc>
        <w:tc>
          <w:tcPr>
            <w:tcW w:w="1520" w:type="dxa"/>
            <w:vAlign w:val="bottom"/>
          </w:tcPr>
          <w:p>
            <w:pPr>
              <w:jc w:val="right"/>
              <w:ind w:right="690"/>
              <w:spacing w:after="0"/>
              <w:rPr>
                <w:sz w:val="20"/>
                <w:szCs w:val="20"/>
                <w:color w:val="auto"/>
              </w:rPr>
            </w:pPr>
            <w:r>
              <w:rPr>
                <w:rFonts w:ascii="Arial" w:cs="Arial" w:eastAsia="Arial" w:hAnsi="Arial"/>
                <w:sz w:val="18"/>
                <w:szCs w:val="18"/>
                <w:color w:val="auto"/>
              </w:rPr>
              <w:t>32,667</w:t>
            </w: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50.5%</w:t>
            </w:r>
          </w:p>
        </w:tc>
        <w:tc>
          <w:tcPr>
            <w:tcW w:w="420" w:type="dxa"/>
            <w:vAlign w:val="bottom"/>
          </w:tcPr>
          <w:p>
            <w:pPr>
              <w:spacing w:after="0"/>
              <w:rPr>
                <w:sz w:val="18"/>
                <w:szCs w:val="18"/>
                <w:color w:val="auto"/>
              </w:rPr>
            </w:pPr>
          </w:p>
        </w:tc>
        <w:tc>
          <w:tcPr>
            <w:tcW w:w="1360" w:type="dxa"/>
            <w:vAlign w:val="bottom"/>
          </w:tcPr>
          <w:p>
            <w:pPr>
              <w:jc w:val="right"/>
              <w:ind w:right="690"/>
              <w:spacing w:after="0"/>
              <w:rPr>
                <w:sz w:val="20"/>
                <w:szCs w:val="20"/>
                <w:color w:val="auto"/>
              </w:rPr>
            </w:pPr>
            <w:r>
              <w:rPr>
                <w:rFonts w:ascii="Arial" w:cs="Arial" w:eastAsia="Arial" w:hAnsi="Arial"/>
                <w:sz w:val="18"/>
                <w:szCs w:val="18"/>
                <w:color w:val="auto"/>
              </w:rPr>
              <w:t>30,134</w:t>
            </w: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48.9%</w:t>
            </w:r>
          </w:p>
        </w:tc>
        <w:tc>
          <w:tcPr>
            <w:tcW w:w="160" w:type="dxa"/>
            <w:vAlign w:val="bottom"/>
          </w:tcPr>
          <w:p>
            <w:pPr>
              <w:spacing w:after="0"/>
              <w:rPr>
                <w:sz w:val="18"/>
                <w:szCs w:val="18"/>
                <w:color w:val="auto"/>
              </w:rPr>
            </w:pPr>
          </w:p>
        </w:tc>
        <w:tc>
          <w:tcPr>
            <w:tcW w:w="1240" w:type="dxa"/>
            <w:vAlign w:val="bottom"/>
          </w:tcPr>
          <w:p>
            <w:pPr>
              <w:jc w:val="right"/>
              <w:ind w:right="310"/>
              <w:spacing w:after="0"/>
              <w:rPr>
                <w:sz w:val="20"/>
                <w:szCs w:val="20"/>
                <w:color w:val="auto"/>
              </w:rPr>
            </w:pPr>
            <w:r>
              <w:rPr>
                <w:rFonts w:ascii="Arial" w:cs="Arial" w:eastAsia="Arial" w:hAnsi="Arial"/>
                <w:sz w:val="18"/>
                <w:szCs w:val="18"/>
                <w:color w:val="auto"/>
              </w:rPr>
              <w:t>2,533</w:t>
            </w:r>
          </w:p>
        </w:tc>
        <w:tc>
          <w:tcPr>
            <w:tcW w:w="920" w:type="dxa"/>
            <w:vAlign w:val="bottom"/>
            <w:gridSpan w:val="2"/>
          </w:tcPr>
          <w:p>
            <w:pPr>
              <w:jc w:val="right"/>
              <w:spacing w:after="0"/>
              <w:rPr>
                <w:sz w:val="20"/>
                <w:szCs w:val="20"/>
                <w:color w:val="auto"/>
              </w:rPr>
            </w:pPr>
            <w:r>
              <w:rPr>
                <w:rFonts w:ascii="Arial" w:cs="Arial" w:eastAsia="Arial" w:hAnsi="Arial"/>
                <w:sz w:val="18"/>
                <w:szCs w:val="18"/>
                <w:color w:val="auto"/>
              </w:rPr>
              <w:t>8.4%</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2960" w:type="dxa"/>
            <w:vAlign w:val="bottom"/>
            <w:shd w:val="clear" w:color="auto" w:fill="CCEEFF"/>
          </w:tcPr>
          <w:p>
            <w:pPr>
              <w:spacing w:after="0"/>
              <w:rPr>
                <w:sz w:val="20"/>
                <w:szCs w:val="20"/>
                <w:color w:val="auto"/>
              </w:rPr>
            </w:pPr>
            <w:r>
              <w:rPr>
                <w:rFonts w:ascii="Arial" w:cs="Arial" w:eastAsia="Arial" w:hAnsi="Arial"/>
                <w:sz w:val="18"/>
                <w:szCs w:val="18"/>
                <w:color w:val="auto"/>
              </w:rPr>
              <w:t>SG&amp;A expenses</w:t>
            </w:r>
          </w:p>
        </w:tc>
        <w:tc>
          <w:tcPr>
            <w:tcW w:w="260" w:type="dxa"/>
            <w:vAlign w:val="bottom"/>
            <w:shd w:val="clear" w:color="auto" w:fill="CCEEFF"/>
          </w:tcPr>
          <w:p>
            <w:pPr>
              <w:spacing w:after="0"/>
              <w:rPr>
                <w:sz w:val="18"/>
                <w:szCs w:val="18"/>
                <w:color w:val="auto"/>
              </w:rPr>
            </w:pPr>
          </w:p>
        </w:tc>
        <w:tc>
          <w:tcPr>
            <w:tcW w:w="1520" w:type="dxa"/>
            <w:vAlign w:val="bottom"/>
            <w:shd w:val="clear" w:color="auto" w:fill="CCEEFF"/>
          </w:tcPr>
          <w:p>
            <w:pPr>
              <w:jc w:val="right"/>
              <w:ind w:right="690"/>
              <w:spacing w:after="0"/>
              <w:rPr>
                <w:sz w:val="20"/>
                <w:szCs w:val="20"/>
                <w:color w:val="auto"/>
              </w:rPr>
            </w:pPr>
            <w:r>
              <w:rPr>
                <w:rFonts w:ascii="Arial" w:cs="Arial" w:eastAsia="Arial" w:hAnsi="Arial"/>
                <w:sz w:val="18"/>
                <w:szCs w:val="18"/>
                <w:color w:val="auto"/>
              </w:rPr>
              <w:t>33,478</w:t>
            </w:r>
          </w:p>
        </w:tc>
        <w:tc>
          <w:tcPr>
            <w:tcW w:w="68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51.8%</w:t>
            </w:r>
          </w:p>
        </w:tc>
        <w:tc>
          <w:tcPr>
            <w:tcW w:w="420" w:type="dxa"/>
            <w:vAlign w:val="bottom"/>
            <w:shd w:val="clear" w:color="auto" w:fill="CCEEFF"/>
          </w:tcPr>
          <w:p>
            <w:pPr>
              <w:spacing w:after="0"/>
              <w:rPr>
                <w:sz w:val="18"/>
                <w:szCs w:val="18"/>
                <w:color w:val="auto"/>
              </w:rPr>
            </w:pPr>
          </w:p>
        </w:tc>
        <w:tc>
          <w:tcPr>
            <w:tcW w:w="1360" w:type="dxa"/>
            <w:vAlign w:val="bottom"/>
            <w:shd w:val="clear" w:color="auto" w:fill="CCEEFF"/>
          </w:tcPr>
          <w:p>
            <w:pPr>
              <w:jc w:val="right"/>
              <w:ind w:right="690"/>
              <w:spacing w:after="0"/>
              <w:rPr>
                <w:sz w:val="20"/>
                <w:szCs w:val="20"/>
                <w:color w:val="auto"/>
              </w:rPr>
            </w:pPr>
            <w:r>
              <w:rPr>
                <w:rFonts w:ascii="Arial" w:cs="Arial" w:eastAsia="Arial" w:hAnsi="Arial"/>
                <w:sz w:val="18"/>
                <w:szCs w:val="18"/>
                <w:color w:val="auto"/>
              </w:rPr>
              <w:t>30,671</w:t>
            </w: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49.8%</w:t>
            </w:r>
          </w:p>
        </w:tc>
        <w:tc>
          <w:tcPr>
            <w:tcW w:w="160" w:type="dxa"/>
            <w:vAlign w:val="bottom"/>
            <w:shd w:val="clear" w:color="auto" w:fill="CCEEFF"/>
          </w:tcPr>
          <w:p>
            <w:pPr>
              <w:spacing w:after="0"/>
              <w:rPr>
                <w:sz w:val="18"/>
                <w:szCs w:val="18"/>
                <w:color w:val="auto"/>
              </w:rPr>
            </w:pPr>
          </w:p>
        </w:tc>
        <w:tc>
          <w:tcPr>
            <w:tcW w:w="1240" w:type="dxa"/>
            <w:vAlign w:val="bottom"/>
            <w:shd w:val="clear" w:color="auto" w:fill="CCEEFF"/>
          </w:tcPr>
          <w:p>
            <w:pPr>
              <w:jc w:val="right"/>
              <w:ind w:right="310"/>
              <w:spacing w:after="0"/>
              <w:rPr>
                <w:sz w:val="20"/>
                <w:szCs w:val="20"/>
                <w:color w:val="auto"/>
              </w:rPr>
            </w:pPr>
            <w:r>
              <w:rPr>
                <w:rFonts w:ascii="Arial" w:cs="Arial" w:eastAsia="Arial" w:hAnsi="Arial"/>
                <w:sz w:val="18"/>
                <w:szCs w:val="18"/>
                <w:color w:val="auto"/>
              </w:rPr>
              <w:t>2,807</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9.2%</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2960" w:type="dxa"/>
            <w:vAlign w:val="bottom"/>
          </w:tcPr>
          <w:p>
            <w:pPr>
              <w:spacing w:after="0"/>
              <w:rPr>
                <w:sz w:val="20"/>
                <w:szCs w:val="20"/>
                <w:color w:val="auto"/>
              </w:rPr>
            </w:pPr>
            <w:r>
              <w:rPr>
                <w:rFonts w:ascii="Arial" w:cs="Arial" w:eastAsia="Arial" w:hAnsi="Arial"/>
                <w:sz w:val="18"/>
                <w:szCs w:val="18"/>
                <w:color w:val="auto"/>
              </w:rPr>
              <w:t>New store pre-opening costs</w:t>
            </w:r>
          </w:p>
        </w:tc>
        <w:tc>
          <w:tcPr>
            <w:tcW w:w="260" w:type="dxa"/>
            <w:vAlign w:val="bottom"/>
          </w:tcPr>
          <w:p>
            <w:pPr>
              <w:spacing w:after="0"/>
              <w:rPr>
                <w:sz w:val="18"/>
                <w:szCs w:val="18"/>
                <w:color w:val="auto"/>
              </w:rPr>
            </w:pPr>
          </w:p>
        </w:tc>
        <w:tc>
          <w:tcPr>
            <w:tcW w:w="1520" w:type="dxa"/>
            <w:vAlign w:val="bottom"/>
          </w:tcPr>
          <w:p>
            <w:pPr>
              <w:jc w:val="right"/>
              <w:ind w:right="690"/>
              <w:spacing w:after="0"/>
              <w:rPr>
                <w:sz w:val="20"/>
                <w:szCs w:val="20"/>
                <w:color w:val="auto"/>
              </w:rPr>
            </w:pPr>
            <w:r>
              <w:rPr>
                <w:rFonts w:ascii="Arial" w:cs="Arial" w:eastAsia="Arial" w:hAnsi="Arial"/>
                <w:sz w:val="18"/>
                <w:szCs w:val="18"/>
                <w:color w:val="auto"/>
              </w:rPr>
              <w:t>702</w:t>
            </w: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1.1%</w:t>
            </w:r>
          </w:p>
        </w:tc>
        <w:tc>
          <w:tcPr>
            <w:tcW w:w="420" w:type="dxa"/>
            <w:vAlign w:val="bottom"/>
          </w:tcPr>
          <w:p>
            <w:pPr>
              <w:spacing w:after="0"/>
              <w:rPr>
                <w:sz w:val="18"/>
                <w:szCs w:val="18"/>
                <w:color w:val="auto"/>
              </w:rPr>
            </w:pPr>
          </w:p>
        </w:tc>
        <w:tc>
          <w:tcPr>
            <w:tcW w:w="1360" w:type="dxa"/>
            <w:vAlign w:val="bottom"/>
          </w:tcPr>
          <w:p>
            <w:pPr>
              <w:jc w:val="right"/>
              <w:ind w:right="690"/>
              <w:spacing w:after="0"/>
              <w:rPr>
                <w:sz w:val="20"/>
                <w:szCs w:val="20"/>
                <w:color w:val="auto"/>
              </w:rPr>
            </w:pPr>
            <w:r>
              <w:rPr>
                <w:rFonts w:ascii="Arial" w:cs="Arial" w:eastAsia="Arial" w:hAnsi="Arial"/>
                <w:sz w:val="18"/>
                <w:szCs w:val="18"/>
                <w:color w:val="auto"/>
              </w:rPr>
              <w:t>806</w:t>
            </w: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1.3%</w:t>
            </w:r>
          </w:p>
        </w:tc>
        <w:tc>
          <w:tcPr>
            <w:tcW w:w="160" w:type="dxa"/>
            <w:vAlign w:val="bottom"/>
          </w:tcPr>
          <w:p>
            <w:pPr>
              <w:spacing w:after="0"/>
              <w:rPr>
                <w:sz w:val="18"/>
                <w:szCs w:val="18"/>
                <w:color w:val="auto"/>
              </w:rPr>
            </w:pPr>
          </w:p>
        </w:tc>
        <w:tc>
          <w:tcPr>
            <w:tcW w:w="1240" w:type="dxa"/>
            <w:vAlign w:val="bottom"/>
          </w:tcPr>
          <w:p>
            <w:pPr>
              <w:jc w:val="right"/>
              <w:ind w:right="250"/>
              <w:spacing w:after="0"/>
              <w:rPr>
                <w:sz w:val="20"/>
                <w:szCs w:val="20"/>
                <w:color w:val="auto"/>
              </w:rPr>
            </w:pPr>
            <w:r>
              <w:rPr>
                <w:rFonts w:ascii="Arial" w:cs="Arial" w:eastAsia="Arial" w:hAnsi="Arial"/>
                <w:sz w:val="18"/>
                <w:szCs w:val="18"/>
                <w:color w:val="auto"/>
              </w:rPr>
              <w:t>(104)</w:t>
            </w:r>
          </w:p>
        </w:tc>
        <w:tc>
          <w:tcPr>
            <w:tcW w:w="920" w:type="dxa"/>
            <w:vAlign w:val="bottom"/>
            <w:gridSpan w:val="2"/>
          </w:tcPr>
          <w:p>
            <w:pPr>
              <w:jc w:val="right"/>
              <w:spacing w:after="0"/>
              <w:rPr>
                <w:sz w:val="20"/>
                <w:szCs w:val="20"/>
                <w:color w:val="auto"/>
              </w:rPr>
            </w:pPr>
            <w:r>
              <w:rPr>
                <w:rFonts w:ascii="Arial" w:cs="Arial" w:eastAsia="Arial" w:hAnsi="Arial"/>
                <w:sz w:val="18"/>
                <w:szCs w:val="18"/>
                <w:color w:val="auto"/>
              </w:rPr>
              <w:t>-12.9%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96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52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24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9"/>
        </w:trPr>
        <w:tc>
          <w:tcPr>
            <w:tcW w:w="20" w:type="dxa"/>
            <w:vAlign w:val="bottom"/>
          </w:tcPr>
          <w:p>
            <w:pPr>
              <w:spacing w:after="0"/>
              <w:rPr>
                <w:sz w:val="19"/>
                <w:szCs w:val="19"/>
                <w:color w:val="auto"/>
              </w:rPr>
            </w:pPr>
          </w:p>
        </w:tc>
        <w:tc>
          <w:tcPr>
            <w:tcW w:w="2960" w:type="dxa"/>
            <w:vAlign w:val="bottom"/>
            <w:shd w:val="clear" w:color="auto" w:fill="CCEEFF"/>
          </w:tcPr>
          <w:p>
            <w:pPr>
              <w:spacing w:after="0"/>
              <w:rPr>
                <w:sz w:val="20"/>
                <w:szCs w:val="20"/>
                <w:color w:val="auto"/>
              </w:rPr>
            </w:pPr>
            <w:r>
              <w:rPr>
                <w:rFonts w:ascii="Arial" w:cs="Arial" w:eastAsia="Arial" w:hAnsi="Arial"/>
                <w:sz w:val="18"/>
                <w:szCs w:val="18"/>
                <w:color w:val="auto"/>
              </w:rPr>
              <w:t>Loss from operations</w:t>
            </w:r>
          </w:p>
        </w:tc>
        <w:tc>
          <w:tcPr>
            <w:tcW w:w="260" w:type="dxa"/>
            <w:vAlign w:val="bottom"/>
            <w:shd w:val="clear" w:color="auto" w:fill="CCEEFF"/>
          </w:tcPr>
          <w:p>
            <w:pPr>
              <w:jc w:val="right"/>
              <w:ind w:right="107"/>
              <w:spacing w:after="0"/>
              <w:rPr>
                <w:sz w:val="20"/>
                <w:szCs w:val="20"/>
                <w:color w:val="auto"/>
              </w:rPr>
            </w:pPr>
            <w:r>
              <w:rPr>
                <w:rFonts w:ascii="Arial" w:cs="Arial" w:eastAsia="Arial" w:hAnsi="Arial"/>
                <w:sz w:val="15"/>
                <w:szCs w:val="15"/>
                <w:color w:val="auto"/>
                <w:w w:val="71"/>
              </w:rPr>
              <w:t>$</w:t>
            </w:r>
          </w:p>
        </w:tc>
        <w:tc>
          <w:tcPr>
            <w:tcW w:w="1520" w:type="dxa"/>
            <w:vAlign w:val="bottom"/>
            <w:shd w:val="clear" w:color="auto" w:fill="CCEEFF"/>
          </w:tcPr>
          <w:p>
            <w:pPr>
              <w:jc w:val="right"/>
              <w:ind w:right="630"/>
              <w:spacing w:after="0"/>
              <w:rPr>
                <w:sz w:val="20"/>
                <w:szCs w:val="20"/>
                <w:color w:val="auto"/>
              </w:rPr>
            </w:pPr>
            <w:r>
              <w:rPr>
                <w:rFonts w:ascii="Arial" w:cs="Arial" w:eastAsia="Arial" w:hAnsi="Arial"/>
                <w:sz w:val="18"/>
                <w:szCs w:val="18"/>
                <w:color w:val="auto"/>
              </w:rPr>
              <w:t>(1,513)</w:t>
            </w:r>
          </w:p>
        </w:tc>
        <w:tc>
          <w:tcPr>
            <w:tcW w:w="68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-2.3%</w:t>
            </w:r>
          </w:p>
        </w:tc>
        <w:tc>
          <w:tcPr>
            <w:tcW w:w="420" w:type="dxa"/>
            <w:vAlign w:val="bottom"/>
            <w:shd w:val="clear" w:color="auto" w:fill="CCEEFF"/>
          </w:tcPr>
          <w:p>
            <w:pPr>
              <w:jc w:val="right"/>
              <w:ind w:right="267"/>
              <w:spacing w:after="0"/>
              <w:rPr>
                <w:sz w:val="20"/>
                <w:szCs w:val="20"/>
                <w:color w:val="auto"/>
              </w:rPr>
            </w:pPr>
            <w:r>
              <w:rPr>
                <w:rFonts w:ascii="Arial" w:cs="Arial" w:eastAsia="Arial" w:hAnsi="Arial"/>
                <w:sz w:val="15"/>
                <w:szCs w:val="15"/>
                <w:color w:val="auto"/>
                <w:w w:val="71"/>
              </w:rPr>
              <w:t>$</w:t>
            </w:r>
          </w:p>
        </w:tc>
        <w:tc>
          <w:tcPr>
            <w:tcW w:w="1360" w:type="dxa"/>
            <w:vAlign w:val="bottom"/>
            <w:shd w:val="clear" w:color="auto" w:fill="CCEEFF"/>
          </w:tcPr>
          <w:p>
            <w:pPr>
              <w:jc w:val="right"/>
              <w:ind w:right="630"/>
              <w:spacing w:after="0"/>
              <w:rPr>
                <w:sz w:val="20"/>
                <w:szCs w:val="20"/>
                <w:color w:val="auto"/>
              </w:rPr>
            </w:pPr>
            <w:r>
              <w:rPr>
                <w:rFonts w:ascii="Arial" w:cs="Arial" w:eastAsia="Arial" w:hAnsi="Arial"/>
                <w:sz w:val="18"/>
                <w:szCs w:val="18"/>
                <w:color w:val="auto"/>
              </w:rPr>
              <w:t>(1,343)</w:t>
            </w: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-2.2%</w:t>
            </w:r>
          </w:p>
        </w:tc>
        <w:tc>
          <w:tcPr>
            <w:tcW w:w="160" w:type="dxa"/>
            <w:vAlign w:val="bottom"/>
            <w:shd w:val="clear" w:color="auto" w:fill="CCEEFF"/>
          </w:tcPr>
          <w:p>
            <w:pPr>
              <w:jc w:val="right"/>
              <w:ind w:right="7"/>
              <w:spacing w:after="0"/>
              <w:rPr>
                <w:sz w:val="20"/>
                <w:szCs w:val="20"/>
                <w:color w:val="auto"/>
              </w:rPr>
            </w:pPr>
            <w:r>
              <w:rPr>
                <w:rFonts w:ascii="Arial" w:cs="Arial" w:eastAsia="Arial" w:hAnsi="Arial"/>
                <w:sz w:val="15"/>
                <w:szCs w:val="15"/>
                <w:color w:val="auto"/>
                <w:w w:val="71"/>
              </w:rPr>
              <w:t>$</w:t>
            </w:r>
          </w:p>
        </w:tc>
        <w:tc>
          <w:tcPr>
            <w:tcW w:w="1240" w:type="dxa"/>
            <w:vAlign w:val="bottom"/>
            <w:shd w:val="clear" w:color="auto" w:fill="CCEEFF"/>
          </w:tcPr>
          <w:p>
            <w:pPr>
              <w:jc w:val="right"/>
              <w:ind w:right="250"/>
              <w:spacing w:after="0"/>
              <w:rPr>
                <w:sz w:val="20"/>
                <w:szCs w:val="20"/>
                <w:color w:val="auto"/>
              </w:rPr>
            </w:pPr>
            <w:r>
              <w:rPr>
                <w:rFonts w:ascii="Arial" w:cs="Arial" w:eastAsia="Arial" w:hAnsi="Arial"/>
                <w:sz w:val="18"/>
                <w:szCs w:val="18"/>
                <w:color w:val="auto"/>
              </w:rPr>
              <w:t>(170)</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12.7%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960" w:type="dxa"/>
            <w:vAlign w:val="bottom"/>
            <w:tcBorders>
              <w:top w:val="single" w:sz="8" w:color="CCEEFF"/>
            </w:tcBorders>
            <w:shd w:val="clear" w:color="auto" w:fill="CCEEFF"/>
          </w:tcPr>
          <w:p>
            <w:pPr>
              <w:spacing w:after="0" w:line="20" w:lineRule="exact"/>
              <w:rPr>
                <w:sz w:val="1"/>
                <w:szCs w:val="1"/>
                <w:color w:val="auto"/>
              </w:rPr>
            </w:pPr>
          </w:p>
        </w:tc>
        <w:tc>
          <w:tcPr>
            <w:tcW w:w="260" w:type="dxa"/>
            <w:vAlign w:val="bottom"/>
            <w:tcBorders>
              <w:top w:val="single" w:sz="8" w:color="auto"/>
            </w:tcBorders>
            <w:shd w:val="clear" w:color="auto" w:fill="000000"/>
          </w:tcPr>
          <w:p>
            <w:pPr>
              <w:spacing w:after="0" w:line="20" w:lineRule="exact"/>
              <w:rPr>
                <w:sz w:val="1"/>
                <w:szCs w:val="1"/>
                <w:color w:val="auto"/>
              </w:rPr>
            </w:pPr>
          </w:p>
        </w:tc>
        <w:tc>
          <w:tcPr>
            <w:tcW w:w="1520" w:type="dxa"/>
            <w:vAlign w:val="bottom"/>
            <w:tcBorders>
              <w:top w:val="single" w:sz="8" w:color="auto"/>
            </w:tcBorders>
            <w:shd w:val="clear" w:color="auto" w:fill="000000"/>
          </w:tcPr>
          <w:p>
            <w:pPr>
              <w:spacing w:after="0" w:line="20" w:lineRule="exact"/>
              <w:rPr>
                <w:sz w:val="1"/>
                <w:szCs w:val="1"/>
                <w:color w:val="auto"/>
              </w:rPr>
            </w:pPr>
          </w:p>
        </w:tc>
        <w:tc>
          <w:tcPr>
            <w:tcW w:w="420" w:type="dxa"/>
            <w:vAlign w:val="bottom"/>
            <w:tcBorders>
              <w:top w:val="single" w:sz="8" w:color="auto"/>
            </w:tcBorders>
            <w:shd w:val="clear" w:color="auto" w:fill="000000"/>
          </w:tcPr>
          <w:p>
            <w:pPr>
              <w:spacing w:after="0" w:line="20" w:lineRule="exact"/>
              <w:rPr>
                <w:sz w:val="1"/>
                <w:szCs w:val="1"/>
                <w:color w:val="auto"/>
              </w:rPr>
            </w:pPr>
          </w:p>
        </w:tc>
        <w:tc>
          <w:tcPr>
            <w:tcW w:w="260" w:type="dxa"/>
            <w:vAlign w:val="bottom"/>
            <w:tcBorders>
              <w:top w:val="single" w:sz="8" w:color="CCEEFF"/>
              <w:right w:val="single" w:sz="8" w:color="CCEEFF"/>
            </w:tcBorders>
            <w:shd w:val="clear" w:color="auto" w:fill="CCEEFF"/>
          </w:tcPr>
          <w:p>
            <w:pPr>
              <w:spacing w:after="0" w:line="20" w:lineRule="exact"/>
              <w:rPr>
                <w:sz w:val="1"/>
                <w:szCs w:val="1"/>
                <w:color w:val="auto"/>
              </w:rPr>
            </w:pPr>
          </w:p>
        </w:tc>
        <w:tc>
          <w:tcPr>
            <w:tcW w:w="420" w:type="dxa"/>
            <w:vAlign w:val="bottom"/>
            <w:tcBorders>
              <w:top w:val="single" w:sz="8" w:color="auto"/>
            </w:tcBorders>
            <w:shd w:val="clear" w:color="auto" w:fill="000000"/>
          </w:tcPr>
          <w:p>
            <w:pPr>
              <w:spacing w:after="0" w:line="20" w:lineRule="exact"/>
              <w:rPr>
                <w:sz w:val="1"/>
                <w:szCs w:val="1"/>
                <w:color w:val="auto"/>
              </w:rPr>
            </w:pPr>
          </w:p>
        </w:tc>
        <w:tc>
          <w:tcPr>
            <w:tcW w:w="1360" w:type="dxa"/>
            <w:vAlign w:val="bottom"/>
            <w:tcBorders>
              <w:top w:val="single" w:sz="8" w:color="auto"/>
            </w:tcBorders>
            <w:shd w:val="clear" w:color="auto" w:fill="000000"/>
          </w:tcPr>
          <w:p>
            <w:pPr>
              <w:spacing w:after="0" w:line="20" w:lineRule="exact"/>
              <w:rPr>
                <w:sz w:val="1"/>
                <w:szCs w:val="1"/>
                <w:color w:val="auto"/>
              </w:rPr>
            </w:pPr>
          </w:p>
        </w:tc>
        <w:tc>
          <w:tcPr>
            <w:tcW w:w="420" w:type="dxa"/>
            <w:vAlign w:val="bottom"/>
            <w:tcBorders>
              <w:top w:val="single" w:sz="8" w:color="auto"/>
            </w:tcBorders>
            <w:shd w:val="clear" w:color="auto" w:fill="000000"/>
          </w:tcPr>
          <w:p>
            <w:pPr>
              <w:spacing w:after="0" w:line="20" w:lineRule="exact"/>
              <w:rPr>
                <w:sz w:val="1"/>
                <w:szCs w:val="1"/>
                <w:color w:val="auto"/>
              </w:rPr>
            </w:pPr>
          </w:p>
        </w:tc>
        <w:tc>
          <w:tcPr>
            <w:tcW w:w="260" w:type="dxa"/>
            <w:vAlign w:val="bottom"/>
            <w:tcBorders>
              <w:top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auto"/>
            </w:tcBorders>
            <w:shd w:val="clear" w:color="auto" w:fill="000000"/>
          </w:tcPr>
          <w:p>
            <w:pPr>
              <w:spacing w:after="0" w:line="20" w:lineRule="exact"/>
              <w:rPr>
                <w:sz w:val="1"/>
                <w:szCs w:val="1"/>
                <w:color w:val="auto"/>
              </w:rPr>
            </w:pPr>
          </w:p>
        </w:tc>
        <w:tc>
          <w:tcPr>
            <w:tcW w:w="1240" w:type="dxa"/>
            <w:vAlign w:val="bottom"/>
            <w:tcBorders>
              <w:top w:val="single" w:sz="8" w:color="auto"/>
            </w:tcBorders>
            <w:shd w:val="clear" w:color="auto" w:fill="000000"/>
          </w:tcPr>
          <w:p>
            <w:pPr>
              <w:spacing w:after="0" w:line="20" w:lineRule="exact"/>
              <w:rPr>
                <w:sz w:val="1"/>
                <w:szCs w:val="1"/>
                <w:color w:val="auto"/>
              </w:rPr>
            </w:pPr>
          </w:p>
        </w:tc>
        <w:tc>
          <w:tcPr>
            <w:tcW w:w="800" w:type="dxa"/>
            <w:vAlign w:val="bottom"/>
            <w:tcBorders>
              <w:top w:val="single" w:sz="8" w:color="auto"/>
            </w:tcBorders>
            <w:shd w:val="clear" w:color="auto" w:fill="000000"/>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5" w:lineRule="exact"/>
        <w:rPr>
          <w:sz w:val="20"/>
          <w:szCs w:val="20"/>
          <w:color w:val="auto"/>
        </w:rPr>
      </w:pPr>
    </w:p>
    <w:p>
      <w:pPr>
        <w:spacing w:after="0"/>
        <w:rPr>
          <w:sz w:val="20"/>
          <w:szCs w:val="20"/>
          <w:color w:val="auto"/>
        </w:rPr>
      </w:pPr>
      <w:r>
        <w:rPr>
          <w:rFonts w:ascii="Arial" w:cs="Arial" w:eastAsia="Arial" w:hAnsi="Arial"/>
          <w:sz w:val="18"/>
          <w:szCs w:val="18"/>
          <w:color w:val="auto"/>
        </w:rPr>
        <w:t>Results for comparable stores</w:t>
      </w:r>
      <w:r>
        <w:rPr>
          <w:rFonts w:ascii="Arial" w:cs="Arial" w:eastAsia="Arial" w:hAnsi="Arial"/>
          <w:sz w:val="29"/>
          <w:szCs w:val="29"/>
          <w:color w:val="auto"/>
          <w:vertAlign w:val="superscript"/>
        </w:rPr>
        <w:t>†</w:t>
      </w:r>
      <w:r>
        <w:rPr>
          <w:rFonts w:ascii="Arial" w:cs="Arial" w:eastAsia="Arial" w:hAnsi="Arial"/>
          <w:sz w:val="18"/>
          <w:szCs w:val="18"/>
          <w:color w:val="auto"/>
        </w:rPr>
        <w:t xml:space="preserve"> (53 stores for the quarter) are as follows:</w:t>
      </w:r>
    </w:p>
    <w:p>
      <w:pPr>
        <w:spacing w:after="0" w:line="134" w:lineRule="exact"/>
        <w:rPr>
          <w:sz w:val="20"/>
          <w:szCs w:val="20"/>
          <w:color w:val="auto"/>
        </w:rPr>
      </w:pPr>
    </w:p>
    <w:tbl>
      <w:tblPr>
        <w:tblLayout w:type="fixed"/>
        <w:tblInd w:w="1300" w:type="dxa"/>
        <w:tblCellMar>
          <w:top w:w="0" w:type="dxa"/>
          <w:left w:w="0" w:type="dxa"/>
          <w:bottom w:w="0" w:type="dxa"/>
          <w:right w:w="0" w:type="dxa"/>
        </w:tblCellMar>
      </w:tblPr>
      <w:tr>
        <w:trPr>
          <w:trHeight w:val="230"/>
        </w:trPr>
        <w:tc>
          <w:tcPr>
            <w:tcW w:w="20" w:type="dxa"/>
            <w:vAlign w:val="bottom"/>
          </w:tcPr>
          <w:p>
            <w:pPr>
              <w:spacing w:after="0"/>
              <w:rPr>
                <w:sz w:val="19"/>
                <w:szCs w:val="19"/>
                <w:color w:val="auto"/>
              </w:rPr>
            </w:pPr>
          </w:p>
        </w:tc>
        <w:tc>
          <w:tcPr>
            <w:tcW w:w="2960" w:type="dxa"/>
            <w:vAlign w:val="bottom"/>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52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gridSpan w:val="4"/>
          </w:tcPr>
          <w:p>
            <w:pPr>
              <w:jc w:val="right"/>
              <w:ind w:right="20"/>
              <w:spacing w:after="0"/>
              <w:rPr>
                <w:sz w:val="20"/>
                <w:szCs w:val="20"/>
                <w:color w:val="auto"/>
              </w:rPr>
            </w:pPr>
            <w:r>
              <w:rPr>
                <w:rFonts w:ascii="Arial" w:cs="Arial" w:eastAsia="Arial" w:hAnsi="Arial"/>
                <w:sz w:val="18"/>
                <w:szCs w:val="18"/>
                <w:color w:val="auto"/>
                <w:w w:val="89"/>
              </w:rPr>
              <w:t>Quarter Ended</w:t>
            </w:r>
          </w:p>
        </w:tc>
        <w:tc>
          <w:tcPr>
            <w:tcW w:w="136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26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Change</w:t>
            </w:r>
          </w:p>
        </w:tc>
        <w:tc>
          <w:tcPr>
            <w:tcW w:w="800" w:type="dxa"/>
            <w:vAlign w:val="bottom"/>
            <w:tcBorders>
              <w:bottom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2960" w:type="dxa"/>
            <w:vAlign w:val="bottom"/>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15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February 24, 2018</w:t>
            </w:r>
          </w:p>
        </w:tc>
        <w:tc>
          <w:tcPr>
            <w:tcW w:w="420" w:type="dxa"/>
            <w:vAlign w:val="bottom"/>
            <w:tcBorders>
              <w:bottom w:val="single" w:sz="8" w:color="auto"/>
            </w:tcBorders>
          </w:tcPr>
          <w:p>
            <w:pPr>
              <w:spacing w:after="0"/>
              <w:rPr>
                <w:sz w:val="18"/>
                <w:szCs w:val="18"/>
                <w:color w:val="auto"/>
              </w:rPr>
            </w:pPr>
          </w:p>
        </w:tc>
        <w:tc>
          <w:tcPr>
            <w:tcW w:w="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20" w:type="dxa"/>
            <w:vAlign w:val="bottom"/>
            <w:tcBorders>
              <w:bottom w:val="single" w:sz="8" w:color="auto"/>
            </w:tcBorders>
          </w:tcPr>
          <w:p>
            <w:pPr>
              <w:spacing w:after="0"/>
              <w:rPr>
                <w:sz w:val="18"/>
                <w:szCs w:val="18"/>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9"/>
              </w:rPr>
              <w:t>February 25, 2017</w:t>
            </w:r>
          </w:p>
        </w:tc>
        <w:tc>
          <w:tcPr>
            <w:tcW w:w="420" w:type="dxa"/>
            <w:vAlign w:val="bottom"/>
            <w:tcBorders>
              <w:bottom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240" w:type="dxa"/>
            <w:vAlign w:val="bottom"/>
            <w:tcBorders>
              <w:bottom w:val="single" w:sz="8" w:color="auto"/>
            </w:tcBorders>
          </w:tcPr>
          <w:p>
            <w:pPr>
              <w:jc w:val="right"/>
              <w:ind w:right="550"/>
              <w:spacing w:after="0"/>
              <w:rPr>
                <w:sz w:val="20"/>
                <w:szCs w:val="20"/>
                <w:color w:val="auto"/>
              </w:rPr>
            </w:pPr>
            <w:r>
              <w:rPr>
                <w:rFonts w:ascii="Arial" w:cs="Arial" w:eastAsia="Arial" w:hAnsi="Arial"/>
                <w:sz w:val="18"/>
                <w:szCs w:val="18"/>
                <w:color w:val="auto"/>
              </w:rPr>
              <w:t>Dollars</w:t>
            </w:r>
          </w:p>
        </w:tc>
        <w:tc>
          <w:tcPr>
            <w:tcW w:w="800" w:type="dxa"/>
            <w:vAlign w:val="bottom"/>
            <w:tcBorders>
              <w:bottom w:val="single" w:sz="8" w:color="auto"/>
            </w:tcBorders>
          </w:tcPr>
          <w:p>
            <w:pPr>
              <w:ind w:left="40"/>
              <w:spacing w:after="0"/>
              <w:rPr>
                <w:sz w:val="20"/>
                <w:szCs w:val="20"/>
                <w:color w:val="auto"/>
              </w:rPr>
            </w:pPr>
            <w:r>
              <w:rPr>
                <w:rFonts w:ascii="Arial" w:cs="Arial" w:eastAsia="Arial" w:hAnsi="Arial"/>
                <w:sz w:val="18"/>
                <w:szCs w:val="18"/>
                <w:color w:val="auto"/>
              </w:rPr>
              <w:t>Percent</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vMerge w:val="restart"/>
          </w:tcPr>
          <w:p>
            <w:pPr>
              <w:spacing w:after="0"/>
              <w:rPr>
                <w:sz w:val="18"/>
                <w:szCs w:val="18"/>
                <w:color w:val="auto"/>
              </w:rPr>
            </w:pPr>
          </w:p>
        </w:tc>
        <w:tc>
          <w:tcPr>
            <w:tcW w:w="29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vMerge w:val="continue"/>
          </w:tcPr>
          <w:p>
            <w:pPr>
              <w:spacing w:after="0"/>
              <w:rPr>
                <w:sz w:val="18"/>
                <w:szCs w:val="18"/>
                <w:color w:val="auto"/>
              </w:rPr>
            </w:pPr>
          </w:p>
        </w:tc>
        <w:tc>
          <w:tcPr>
            <w:tcW w:w="2960" w:type="dxa"/>
            <w:vAlign w:val="bottom"/>
            <w:shd w:val="clear" w:color="auto" w:fill="CCEEFF"/>
          </w:tcPr>
          <w:p>
            <w:pPr>
              <w:spacing w:after="0"/>
              <w:rPr>
                <w:sz w:val="20"/>
                <w:szCs w:val="20"/>
                <w:color w:val="auto"/>
              </w:rPr>
            </w:pPr>
            <w:r>
              <w:rPr>
                <w:rFonts w:ascii="Arial" w:cs="Arial" w:eastAsia="Arial" w:hAnsi="Arial"/>
                <w:sz w:val="18"/>
                <w:szCs w:val="18"/>
                <w:color w:val="auto"/>
              </w:rPr>
              <w:t>Net sales</w:t>
            </w:r>
          </w:p>
        </w:tc>
        <w:tc>
          <w:tcPr>
            <w:tcW w:w="260" w:type="dxa"/>
            <w:vAlign w:val="bottom"/>
            <w:shd w:val="clear" w:color="auto" w:fill="CCEEFF"/>
          </w:tcPr>
          <w:p>
            <w:pPr>
              <w:jc w:val="right"/>
              <w:ind w:right="107"/>
              <w:spacing w:after="0"/>
              <w:rPr>
                <w:sz w:val="20"/>
                <w:szCs w:val="20"/>
                <w:color w:val="auto"/>
              </w:rPr>
            </w:pPr>
            <w:r>
              <w:rPr>
                <w:rFonts w:ascii="Arial" w:cs="Arial" w:eastAsia="Arial" w:hAnsi="Arial"/>
                <w:sz w:val="15"/>
                <w:szCs w:val="15"/>
                <w:color w:val="auto"/>
                <w:w w:val="71"/>
              </w:rPr>
              <w:t>$</w:t>
            </w:r>
          </w:p>
        </w:tc>
        <w:tc>
          <w:tcPr>
            <w:tcW w:w="1520" w:type="dxa"/>
            <w:vAlign w:val="bottom"/>
            <w:shd w:val="clear" w:color="auto" w:fill="CCEEFF"/>
          </w:tcPr>
          <w:p>
            <w:pPr>
              <w:jc w:val="right"/>
              <w:ind w:right="690"/>
              <w:spacing w:after="0"/>
              <w:rPr>
                <w:sz w:val="20"/>
                <w:szCs w:val="20"/>
                <w:color w:val="auto"/>
              </w:rPr>
            </w:pPr>
            <w:r>
              <w:rPr>
                <w:rFonts w:ascii="Arial" w:cs="Arial" w:eastAsia="Arial" w:hAnsi="Arial"/>
                <w:sz w:val="18"/>
                <w:szCs w:val="18"/>
                <w:color w:val="auto"/>
              </w:rPr>
              <w:t>58,852</w:t>
            </w:r>
          </w:p>
        </w:tc>
        <w:tc>
          <w:tcPr>
            <w:tcW w:w="6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91"/>
              </w:rPr>
              <w:t>100.0%</w:t>
            </w:r>
          </w:p>
        </w:tc>
        <w:tc>
          <w:tcPr>
            <w:tcW w:w="48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1360" w:type="dxa"/>
            <w:vAlign w:val="bottom"/>
            <w:shd w:val="clear" w:color="auto" w:fill="CCEEFF"/>
          </w:tcPr>
          <w:p>
            <w:pPr>
              <w:jc w:val="right"/>
              <w:ind w:right="690"/>
              <w:spacing w:after="0"/>
              <w:rPr>
                <w:sz w:val="20"/>
                <w:szCs w:val="20"/>
                <w:color w:val="auto"/>
              </w:rPr>
            </w:pPr>
            <w:r>
              <w:rPr>
                <w:rFonts w:ascii="Arial" w:cs="Arial" w:eastAsia="Arial" w:hAnsi="Arial"/>
                <w:sz w:val="18"/>
                <w:szCs w:val="18"/>
                <w:color w:val="auto"/>
              </w:rPr>
              <w:t>56,974</w:t>
            </w: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1"/>
              </w:rPr>
              <w:t>100.0%</w:t>
            </w:r>
          </w:p>
        </w:tc>
        <w:tc>
          <w:tcPr>
            <w:tcW w:w="160" w:type="dxa"/>
            <w:vAlign w:val="bottom"/>
            <w:shd w:val="clear" w:color="auto" w:fill="CCEEFF"/>
          </w:tcPr>
          <w:p>
            <w:pPr>
              <w:jc w:val="right"/>
              <w:ind w:right="7"/>
              <w:spacing w:after="0"/>
              <w:rPr>
                <w:sz w:val="20"/>
                <w:szCs w:val="20"/>
                <w:color w:val="auto"/>
              </w:rPr>
            </w:pPr>
            <w:r>
              <w:rPr>
                <w:rFonts w:ascii="Arial" w:cs="Arial" w:eastAsia="Arial" w:hAnsi="Arial"/>
                <w:sz w:val="15"/>
                <w:szCs w:val="15"/>
                <w:color w:val="auto"/>
                <w:w w:val="71"/>
              </w:rPr>
              <w:t>$</w:t>
            </w:r>
          </w:p>
        </w:tc>
        <w:tc>
          <w:tcPr>
            <w:tcW w:w="1240" w:type="dxa"/>
            <w:vAlign w:val="bottom"/>
            <w:shd w:val="clear" w:color="auto" w:fill="CCEEFF"/>
          </w:tcPr>
          <w:p>
            <w:pPr>
              <w:jc w:val="right"/>
              <w:ind w:right="310"/>
              <w:spacing w:after="0"/>
              <w:rPr>
                <w:sz w:val="20"/>
                <w:szCs w:val="20"/>
                <w:color w:val="auto"/>
              </w:rPr>
            </w:pPr>
            <w:r>
              <w:rPr>
                <w:rFonts w:ascii="Arial" w:cs="Arial" w:eastAsia="Arial" w:hAnsi="Arial"/>
                <w:sz w:val="18"/>
                <w:szCs w:val="18"/>
                <w:color w:val="auto"/>
              </w:rPr>
              <w:t>1,878</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3.3%</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2960" w:type="dxa"/>
            <w:vAlign w:val="bottom"/>
            <w:shd w:val="clear" w:color="auto" w:fill="CCEEFF"/>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52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24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20" w:type="dxa"/>
            <w:vAlign w:val="bottom"/>
            <w:vMerge w:val="continue"/>
          </w:tcPr>
          <w:p>
            <w:pPr>
              <w:spacing w:after="0"/>
              <w:rPr>
                <w:sz w:val="18"/>
                <w:szCs w:val="18"/>
                <w:color w:val="auto"/>
              </w:rPr>
            </w:pPr>
          </w:p>
        </w:tc>
        <w:tc>
          <w:tcPr>
            <w:tcW w:w="2960" w:type="dxa"/>
            <w:vAlign w:val="bottom"/>
          </w:tcPr>
          <w:p>
            <w:pPr>
              <w:spacing w:after="0"/>
              <w:rPr>
                <w:sz w:val="20"/>
                <w:szCs w:val="20"/>
                <w:color w:val="auto"/>
              </w:rPr>
            </w:pPr>
            <w:r>
              <w:rPr>
                <w:rFonts w:ascii="Arial" w:cs="Arial" w:eastAsia="Arial" w:hAnsi="Arial"/>
                <w:sz w:val="18"/>
                <w:szCs w:val="18"/>
                <w:color w:val="auto"/>
              </w:rPr>
              <w:t>Gross profit</w:t>
            </w:r>
          </w:p>
        </w:tc>
        <w:tc>
          <w:tcPr>
            <w:tcW w:w="260" w:type="dxa"/>
            <w:vAlign w:val="bottom"/>
          </w:tcPr>
          <w:p>
            <w:pPr>
              <w:spacing w:after="0"/>
              <w:rPr>
                <w:sz w:val="18"/>
                <w:szCs w:val="18"/>
                <w:color w:val="auto"/>
              </w:rPr>
            </w:pPr>
          </w:p>
        </w:tc>
        <w:tc>
          <w:tcPr>
            <w:tcW w:w="1520" w:type="dxa"/>
            <w:vAlign w:val="bottom"/>
          </w:tcPr>
          <w:p>
            <w:pPr>
              <w:jc w:val="right"/>
              <w:ind w:right="690"/>
              <w:spacing w:after="0"/>
              <w:rPr>
                <w:sz w:val="20"/>
                <w:szCs w:val="20"/>
                <w:color w:val="auto"/>
              </w:rPr>
            </w:pPr>
            <w:r>
              <w:rPr>
                <w:rFonts w:ascii="Arial" w:cs="Arial" w:eastAsia="Arial" w:hAnsi="Arial"/>
                <w:sz w:val="18"/>
                <w:szCs w:val="18"/>
                <w:color w:val="auto"/>
              </w:rPr>
              <w:t>29,802</w:t>
            </w:r>
          </w:p>
        </w:tc>
        <w:tc>
          <w:tcPr>
            <w:tcW w:w="620" w:type="dxa"/>
            <w:vAlign w:val="bottom"/>
            <w:gridSpan w:val="2"/>
          </w:tcPr>
          <w:p>
            <w:pPr>
              <w:jc w:val="right"/>
              <w:ind w:right="40"/>
              <w:spacing w:after="0"/>
              <w:rPr>
                <w:sz w:val="20"/>
                <w:szCs w:val="20"/>
                <w:color w:val="auto"/>
              </w:rPr>
            </w:pPr>
            <w:r>
              <w:rPr>
                <w:rFonts w:ascii="Arial" w:cs="Arial" w:eastAsia="Arial" w:hAnsi="Arial"/>
                <w:sz w:val="18"/>
                <w:szCs w:val="18"/>
                <w:color w:val="auto"/>
              </w:rPr>
              <w:t>50.6%</w:t>
            </w:r>
          </w:p>
        </w:tc>
        <w:tc>
          <w:tcPr>
            <w:tcW w:w="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360" w:type="dxa"/>
            <w:vAlign w:val="bottom"/>
          </w:tcPr>
          <w:p>
            <w:pPr>
              <w:jc w:val="right"/>
              <w:ind w:right="690"/>
              <w:spacing w:after="0"/>
              <w:rPr>
                <w:sz w:val="20"/>
                <w:szCs w:val="20"/>
                <w:color w:val="auto"/>
              </w:rPr>
            </w:pPr>
            <w:r>
              <w:rPr>
                <w:rFonts w:ascii="Arial" w:cs="Arial" w:eastAsia="Arial" w:hAnsi="Arial"/>
                <w:sz w:val="18"/>
                <w:szCs w:val="18"/>
                <w:color w:val="auto"/>
              </w:rPr>
              <w:t>28,169</w:t>
            </w: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49.4%</w:t>
            </w:r>
          </w:p>
        </w:tc>
        <w:tc>
          <w:tcPr>
            <w:tcW w:w="160" w:type="dxa"/>
            <w:vAlign w:val="bottom"/>
          </w:tcPr>
          <w:p>
            <w:pPr>
              <w:spacing w:after="0"/>
              <w:rPr>
                <w:sz w:val="18"/>
                <w:szCs w:val="18"/>
                <w:color w:val="auto"/>
              </w:rPr>
            </w:pPr>
          </w:p>
        </w:tc>
        <w:tc>
          <w:tcPr>
            <w:tcW w:w="1240" w:type="dxa"/>
            <w:vAlign w:val="bottom"/>
          </w:tcPr>
          <w:p>
            <w:pPr>
              <w:jc w:val="right"/>
              <w:ind w:right="310"/>
              <w:spacing w:after="0"/>
              <w:rPr>
                <w:sz w:val="20"/>
                <w:szCs w:val="20"/>
                <w:color w:val="auto"/>
              </w:rPr>
            </w:pPr>
            <w:r>
              <w:rPr>
                <w:rFonts w:ascii="Arial" w:cs="Arial" w:eastAsia="Arial" w:hAnsi="Arial"/>
                <w:sz w:val="18"/>
                <w:szCs w:val="18"/>
                <w:color w:val="auto"/>
              </w:rPr>
              <w:t>1,633</w:t>
            </w:r>
          </w:p>
        </w:tc>
        <w:tc>
          <w:tcPr>
            <w:tcW w:w="920" w:type="dxa"/>
            <w:vAlign w:val="bottom"/>
            <w:gridSpan w:val="2"/>
          </w:tcPr>
          <w:p>
            <w:pPr>
              <w:jc w:val="right"/>
              <w:spacing w:after="0"/>
              <w:rPr>
                <w:sz w:val="20"/>
                <w:szCs w:val="20"/>
                <w:color w:val="auto"/>
              </w:rPr>
            </w:pPr>
            <w:r>
              <w:rPr>
                <w:rFonts w:ascii="Arial" w:cs="Arial" w:eastAsia="Arial" w:hAnsi="Arial"/>
                <w:sz w:val="18"/>
                <w:szCs w:val="18"/>
                <w:color w:val="auto"/>
              </w:rPr>
              <w:t>5.8%</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2960" w:type="dxa"/>
            <w:vAlign w:val="bottom"/>
            <w:shd w:val="clear" w:color="auto" w:fill="CCEEFF"/>
          </w:tcPr>
          <w:p>
            <w:pPr>
              <w:spacing w:after="0"/>
              <w:rPr>
                <w:sz w:val="20"/>
                <w:szCs w:val="20"/>
                <w:color w:val="auto"/>
              </w:rPr>
            </w:pPr>
            <w:r>
              <w:rPr>
                <w:rFonts w:ascii="Arial" w:cs="Arial" w:eastAsia="Arial" w:hAnsi="Arial"/>
                <w:sz w:val="18"/>
                <w:szCs w:val="18"/>
                <w:color w:val="auto"/>
              </w:rPr>
              <w:t>SG&amp;A expenses</w:t>
            </w:r>
          </w:p>
        </w:tc>
        <w:tc>
          <w:tcPr>
            <w:tcW w:w="260" w:type="dxa"/>
            <w:vAlign w:val="bottom"/>
            <w:shd w:val="clear" w:color="auto" w:fill="CCEEFF"/>
          </w:tcPr>
          <w:p>
            <w:pPr>
              <w:spacing w:after="0"/>
              <w:rPr>
                <w:sz w:val="18"/>
                <w:szCs w:val="18"/>
                <w:color w:val="auto"/>
              </w:rPr>
            </w:pPr>
          </w:p>
        </w:tc>
        <w:tc>
          <w:tcPr>
            <w:tcW w:w="1520" w:type="dxa"/>
            <w:vAlign w:val="bottom"/>
            <w:shd w:val="clear" w:color="auto" w:fill="CCEEFF"/>
          </w:tcPr>
          <w:p>
            <w:pPr>
              <w:jc w:val="right"/>
              <w:ind w:right="690"/>
              <w:spacing w:after="0"/>
              <w:rPr>
                <w:sz w:val="20"/>
                <w:szCs w:val="20"/>
                <w:color w:val="auto"/>
              </w:rPr>
            </w:pPr>
            <w:r>
              <w:rPr>
                <w:rFonts w:ascii="Arial" w:cs="Arial" w:eastAsia="Arial" w:hAnsi="Arial"/>
                <w:sz w:val="18"/>
                <w:szCs w:val="18"/>
                <w:color w:val="auto"/>
              </w:rPr>
              <w:t>29,027</w:t>
            </w:r>
          </w:p>
        </w:tc>
        <w:tc>
          <w:tcPr>
            <w:tcW w:w="6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49.3%</w:t>
            </w:r>
          </w:p>
        </w:tc>
        <w:tc>
          <w:tcPr>
            <w:tcW w:w="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360" w:type="dxa"/>
            <w:vAlign w:val="bottom"/>
            <w:shd w:val="clear" w:color="auto" w:fill="CCEEFF"/>
          </w:tcPr>
          <w:p>
            <w:pPr>
              <w:jc w:val="right"/>
              <w:ind w:right="690"/>
              <w:spacing w:after="0"/>
              <w:rPr>
                <w:sz w:val="20"/>
                <w:szCs w:val="20"/>
                <w:color w:val="auto"/>
              </w:rPr>
            </w:pPr>
            <w:r>
              <w:rPr>
                <w:rFonts w:ascii="Arial" w:cs="Arial" w:eastAsia="Arial" w:hAnsi="Arial"/>
                <w:sz w:val="18"/>
                <w:szCs w:val="18"/>
                <w:color w:val="auto"/>
              </w:rPr>
              <w:t>28,255</w:t>
            </w: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49.6%</w:t>
            </w:r>
          </w:p>
        </w:tc>
        <w:tc>
          <w:tcPr>
            <w:tcW w:w="160" w:type="dxa"/>
            <w:vAlign w:val="bottom"/>
            <w:shd w:val="clear" w:color="auto" w:fill="CCEEFF"/>
          </w:tcPr>
          <w:p>
            <w:pPr>
              <w:spacing w:after="0"/>
              <w:rPr>
                <w:sz w:val="18"/>
                <w:szCs w:val="18"/>
                <w:color w:val="auto"/>
              </w:rPr>
            </w:pPr>
          </w:p>
        </w:tc>
        <w:tc>
          <w:tcPr>
            <w:tcW w:w="1240" w:type="dxa"/>
            <w:vAlign w:val="bottom"/>
            <w:shd w:val="clear" w:color="auto" w:fill="CCEEFF"/>
          </w:tcPr>
          <w:p>
            <w:pPr>
              <w:jc w:val="right"/>
              <w:ind w:right="310"/>
              <w:spacing w:after="0"/>
              <w:rPr>
                <w:sz w:val="20"/>
                <w:szCs w:val="20"/>
                <w:color w:val="auto"/>
              </w:rPr>
            </w:pPr>
            <w:r>
              <w:rPr>
                <w:rFonts w:ascii="Arial" w:cs="Arial" w:eastAsia="Arial" w:hAnsi="Arial"/>
                <w:sz w:val="18"/>
                <w:szCs w:val="18"/>
                <w:color w:val="auto"/>
              </w:rPr>
              <w:t>772</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960" w:type="dxa"/>
            <w:vAlign w:val="bottom"/>
            <w:shd w:val="clear" w:color="auto" w:fill="CCEEFF"/>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52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24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2980" w:type="dxa"/>
            <w:vAlign w:val="bottom"/>
            <w:gridSpan w:val="2"/>
          </w:tcPr>
          <w:p>
            <w:pPr>
              <w:spacing w:after="0"/>
              <w:rPr>
                <w:sz w:val="20"/>
                <w:szCs w:val="20"/>
                <w:color w:val="auto"/>
              </w:rPr>
            </w:pPr>
            <w:r>
              <w:rPr>
                <w:rFonts w:ascii="Arial" w:cs="Arial" w:eastAsia="Arial" w:hAnsi="Arial"/>
                <w:sz w:val="18"/>
                <w:szCs w:val="18"/>
                <w:color w:val="auto"/>
              </w:rPr>
              <w:t>Income (loss) from operations</w:t>
            </w:r>
          </w:p>
        </w:tc>
        <w:tc>
          <w:tcPr>
            <w:tcW w:w="260" w:type="dxa"/>
            <w:vAlign w:val="bottom"/>
          </w:tcPr>
          <w:p>
            <w:pPr>
              <w:jc w:val="right"/>
              <w:ind w:right="107"/>
              <w:spacing w:after="0"/>
              <w:rPr>
                <w:sz w:val="20"/>
                <w:szCs w:val="20"/>
                <w:color w:val="auto"/>
              </w:rPr>
            </w:pPr>
            <w:r>
              <w:rPr>
                <w:rFonts w:ascii="Arial" w:cs="Arial" w:eastAsia="Arial" w:hAnsi="Arial"/>
                <w:sz w:val="15"/>
                <w:szCs w:val="15"/>
                <w:color w:val="auto"/>
                <w:w w:val="71"/>
              </w:rPr>
              <w:t>$</w:t>
            </w:r>
          </w:p>
        </w:tc>
        <w:tc>
          <w:tcPr>
            <w:tcW w:w="1520" w:type="dxa"/>
            <w:vAlign w:val="bottom"/>
          </w:tcPr>
          <w:p>
            <w:pPr>
              <w:jc w:val="right"/>
              <w:ind w:right="690"/>
              <w:spacing w:after="0"/>
              <w:rPr>
                <w:sz w:val="20"/>
                <w:szCs w:val="20"/>
                <w:color w:val="auto"/>
              </w:rPr>
            </w:pPr>
            <w:r>
              <w:rPr>
                <w:rFonts w:ascii="Arial" w:cs="Arial" w:eastAsia="Arial" w:hAnsi="Arial"/>
                <w:sz w:val="18"/>
                <w:szCs w:val="18"/>
                <w:color w:val="auto"/>
              </w:rPr>
              <w:t>775</w:t>
            </w:r>
          </w:p>
        </w:tc>
        <w:tc>
          <w:tcPr>
            <w:tcW w:w="620" w:type="dxa"/>
            <w:vAlign w:val="bottom"/>
            <w:gridSpan w:val="2"/>
          </w:tcPr>
          <w:p>
            <w:pPr>
              <w:jc w:val="right"/>
              <w:ind w:right="40"/>
              <w:spacing w:after="0"/>
              <w:rPr>
                <w:sz w:val="20"/>
                <w:szCs w:val="20"/>
                <w:color w:val="auto"/>
              </w:rPr>
            </w:pPr>
            <w:r>
              <w:rPr>
                <w:rFonts w:ascii="Arial" w:cs="Arial" w:eastAsia="Arial" w:hAnsi="Arial"/>
                <w:sz w:val="18"/>
                <w:szCs w:val="18"/>
                <w:color w:val="auto"/>
              </w:rPr>
              <w:t>1.3%</w:t>
            </w:r>
          </w:p>
        </w:tc>
        <w:tc>
          <w:tcPr>
            <w:tcW w:w="48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1360" w:type="dxa"/>
            <w:vAlign w:val="bottom"/>
          </w:tcPr>
          <w:p>
            <w:pPr>
              <w:jc w:val="right"/>
              <w:ind w:right="630"/>
              <w:spacing w:after="0"/>
              <w:rPr>
                <w:sz w:val="20"/>
                <w:szCs w:val="20"/>
                <w:color w:val="auto"/>
              </w:rPr>
            </w:pPr>
            <w:r>
              <w:rPr>
                <w:rFonts w:ascii="Arial" w:cs="Arial" w:eastAsia="Arial" w:hAnsi="Arial"/>
                <w:sz w:val="18"/>
                <w:szCs w:val="18"/>
                <w:color w:val="auto"/>
              </w:rPr>
              <w:t>(86)</w:t>
            </w: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-0.2%</w:t>
            </w:r>
          </w:p>
        </w:tc>
        <w:tc>
          <w:tcPr>
            <w:tcW w:w="160" w:type="dxa"/>
            <w:vAlign w:val="bottom"/>
          </w:tcPr>
          <w:p>
            <w:pPr>
              <w:jc w:val="right"/>
              <w:ind w:right="7"/>
              <w:spacing w:after="0"/>
              <w:rPr>
                <w:sz w:val="20"/>
                <w:szCs w:val="20"/>
                <w:color w:val="auto"/>
              </w:rPr>
            </w:pPr>
            <w:r>
              <w:rPr>
                <w:rFonts w:ascii="Arial" w:cs="Arial" w:eastAsia="Arial" w:hAnsi="Arial"/>
                <w:sz w:val="15"/>
                <w:szCs w:val="15"/>
                <w:color w:val="auto"/>
                <w:w w:val="71"/>
              </w:rPr>
              <w:t>$</w:t>
            </w:r>
          </w:p>
        </w:tc>
        <w:tc>
          <w:tcPr>
            <w:tcW w:w="1240" w:type="dxa"/>
            <w:vAlign w:val="bottom"/>
          </w:tcPr>
          <w:p>
            <w:pPr>
              <w:jc w:val="right"/>
              <w:ind w:right="310"/>
              <w:spacing w:after="0"/>
              <w:rPr>
                <w:sz w:val="20"/>
                <w:szCs w:val="20"/>
                <w:color w:val="auto"/>
              </w:rPr>
            </w:pPr>
            <w:r>
              <w:rPr>
                <w:rFonts w:ascii="Arial" w:cs="Arial" w:eastAsia="Arial" w:hAnsi="Arial"/>
                <w:sz w:val="18"/>
                <w:szCs w:val="18"/>
                <w:color w:val="auto"/>
              </w:rPr>
              <w:t>861</w:t>
            </w:r>
          </w:p>
        </w:tc>
        <w:tc>
          <w:tcPr>
            <w:tcW w:w="920" w:type="dxa"/>
            <w:vAlign w:val="bottom"/>
            <w:gridSpan w:val="2"/>
          </w:tcPr>
          <w:p>
            <w:pPr>
              <w:jc w:val="right"/>
              <w:ind w:right="120"/>
              <w:spacing w:after="0"/>
              <w:rPr>
                <w:sz w:val="20"/>
                <w:szCs w:val="20"/>
                <w:color w:val="auto"/>
              </w:rPr>
            </w:pPr>
            <w:r>
              <w:rPr>
                <w:rFonts w:ascii="Arial" w:cs="Arial" w:eastAsia="Arial" w:hAnsi="Arial"/>
                <w:sz w:val="18"/>
                <w:szCs w:val="18"/>
                <w:color w:val="auto"/>
              </w:rPr>
              <w:t>N/M</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96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52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41" w:lineRule="exact"/>
        <w:rPr>
          <w:sz w:val="20"/>
          <w:szCs w:val="20"/>
          <w:color w:val="auto"/>
        </w:rPr>
      </w:pPr>
    </w:p>
    <w:p>
      <w:pPr>
        <w:ind w:right="1280" w:firstLine="8"/>
        <w:spacing w:after="0" w:line="365" w:lineRule="auto"/>
        <w:tabs>
          <w:tab w:leader="none" w:pos="120" w:val="left"/>
        </w:tabs>
        <w:numPr>
          <w:ilvl w:val="0"/>
          <w:numId w:val="7"/>
        </w:numPr>
        <w:rPr>
          <w:rFonts w:ascii="Arial" w:cs="Arial" w:eastAsia="Arial" w:hAnsi="Arial"/>
          <w:sz w:val="30"/>
          <w:szCs w:val="30"/>
          <w:color w:val="auto"/>
          <w:vertAlign w:val="superscript"/>
        </w:rPr>
      </w:pPr>
      <w:r>
        <w:rPr>
          <w:rFonts w:ascii="Arial" w:cs="Arial" w:eastAsia="Arial" w:hAnsi="Arial"/>
          <w:sz w:val="18"/>
          <w:szCs w:val="18"/>
          <w:color w:val="auto"/>
        </w:rPr>
        <w:t>“Comparable” stores include those locations that have been open and operated by the Company for all of each respective comparable period. Results for all other stores are as follows:</w:t>
      </w:r>
    </w:p>
    <w:p>
      <w:pPr>
        <w:spacing w:after="0" w:line="22" w:lineRule="exact"/>
        <w:rPr>
          <w:sz w:val="20"/>
          <w:szCs w:val="20"/>
          <w:color w:val="auto"/>
        </w:rPr>
      </w:pPr>
    </w:p>
    <w:tbl>
      <w:tblPr>
        <w:tblLayout w:type="fixed"/>
        <w:tblInd w:w="1300" w:type="dxa"/>
        <w:tblCellMar>
          <w:top w:w="0" w:type="dxa"/>
          <w:left w:w="0" w:type="dxa"/>
          <w:bottom w:w="0" w:type="dxa"/>
          <w:right w:w="0" w:type="dxa"/>
        </w:tblCellMar>
      </w:tblPr>
      <w:tr>
        <w:trPr>
          <w:trHeight w:val="230"/>
        </w:trPr>
        <w:tc>
          <w:tcPr>
            <w:tcW w:w="20" w:type="dxa"/>
            <w:vAlign w:val="bottom"/>
          </w:tcPr>
          <w:p>
            <w:pPr>
              <w:spacing w:after="0"/>
              <w:rPr>
                <w:sz w:val="19"/>
                <w:szCs w:val="19"/>
                <w:color w:val="auto"/>
              </w:rPr>
            </w:pPr>
          </w:p>
        </w:tc>
        <w:tc>
          <w:tcPr>
            <w:tcW w:w="2960" w:type="dxa"/>
            <w:vAlign w:val="bottom"/>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52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color w:val="auto"/>
                <w:w w:val="89"/>
              </w:rPr>
              <w:t>Quarter Ended</w:t>
            </w:r>
          </w:p>
        </w:tc>
        <w:tc>
          <w:tcPr>
            <w:tcW w:w="136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26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Change</w:t>
            </w:r>
          </w:p>
        </w:tc>
        <w:tc>
          <w:tcPr>
            <w:tcW w:w="800" w:type="dxa"/>
            <w:vAlign w:val="bottom"/>
            <w:tcBorders>
              <w:bottom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2960" w:type="dxa"/>
            <w:vAlign w:val="bottom"/>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15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February 24, 2018</w:t>
            </w:r>
          </w:p>
        </w:tc>
        <w:tc>
          <w:tcPr>
            <w:tcW w:w="420" w:type="dxa"/>
            <w:vAlign w:val="bottom"/>
            <w:tcBorders>
              <w:bottom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420" w:type="dxa"/>
            <w:vAlign w:val="bottom"/>
            <w:tcBorders>
              <w:bottom w:val="single" w:sz="8" w:color="auto"/>
            </w:tcBorders>
          </w:tcPr>
          <w:p>
            <w:pPr>
              <w:spacing w:after="0"/>
              <w:rPr>
                <w:sz w:val="18"/>
                <w:szCs w:val="18"/>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9"/>
              </w:rPr>
              <w:t>February 25, 2017</w:t>
            </w:r>
          </w:p>
        </w:tc>
        <w:tc>
          <w:tcPr>
            <w:tcW w:w="420" w:type="dxa"/>
            <w:vAlign w:val="bottom"/>
            <w:tcBorders>
              <w:bottom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240" w:type="dxa"/>
            <w:vAlign w:val="bottom"/>
            <w:tcBorders>
              <w:bottom w:val="single" w:sz="8" w:color="auto"/>
            </w:tcBorders>
          </w:tcPr>
          <w:p>
            <w:pPr>
              <w:jc w:val="right"/>
              <w:ind w:right="550"/>
              <w:spacing w:after="0"/>
              <w:rPr>
                <w:sz w:val="20"/>
                <w:szCs w:val="20"/>
                <w:color w:val="auto"/>
              </w:rPr>
            </w:pPr>
            <w:r>
              <w:rPr>
                <w:rFonts w:ascii="Arial" w:cs="Arial" w:eastAsia="Arial" w:hAnsi="Arial"/>
                <w:sz w:val="18"/>
                <w:szCs w:val="18"/>
                <w:color w:val="auto"/>
              </w:rPr>
              <w:t>Dollars</w:t>
            </w:r>
          </w:p>
        </w:tc>
        <w:tc>
          <w:tcPr>
            <w:tcW w:w="800" w:type="dxa"/>
            <w:vAlign w:val="bottom"/>
            <w:tcBorders>
              <w:bottom w:val="single" w:sz="8" w:color="auto"/>
            </w:tcBorders>
          </w:tcPr>
          <w:p>
            <w:pPr>
              <w:ind w:left="40"/>
              <w:spacing w:after="0"/>
              <w:rPr>
                <w:sz w:val="20"/>
                <w:szCs w:val="20"/>
                <w:color w:val="auto"/>
              </w:rPr>
            </w:pPr>
            <w:r>
              <w:rPr>
                <w:rFonts w:ascii="Arial" w:cs="Arial" w:eastAsia="Arial" w:hAnsi="Arial"/>
                <w:sz w:val="18"/>
                <w:szCs w:val="18"/>
                <w:color w:val="auto"/>
              </w:rPr>
              <w:t>Percent</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vMerge w:val="restart"/>
          </w:tcPr>
          <w:p>
            <w:pPr>
              <w:spacing w:after="0"/>
              <w:rPr>
                <w:sz w:val="18"/>
                <w:szCs w:val="18"/>
                <w:color w:val="auto"/>
              </w:rPr>
            </w:pPr>
          </w:p>
        </w:tc>
        <w:tc>
          <w:tcPr>
            <w:tcW w:w="29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vMerge w:val="continue"/>
          </w:tcPr>
          <w:p>
            <w:pPr>
              <w:spacing w:after="0"/>
              <w:rPr>
                <w:sz w:val="18"/>
                <w:szCs w:val="18"/>
                <w:color w:val="auto"/>
              </w:rPr>
            </w:pPr>
          </w:p>
        </w:tc>
        <w:tc>
          <w:tcPr>
            <w:tcW w:w="2960" w:type="dxa"/>
            <w:vAlign w:val="bottom"/>
            <w:shd w:val="clear" w:color="auto" w:fill="CCEEFF"/>
          </w:tcPr>
          <w:p>
            <w:pPr>
              <w:spacing w:after="0"/>
              <w:rPr>
                <w:sz w:val="20"/>
                <w:szCs w:val="20"/>
                <w:color w:val="auto"/>
              </w:rPr>
            </w:pPr>
            <w:r>
              <w:rPr>
                <w:rFonts w:ascii="Arial" w:cs="Arial" w:eastAsia="Arial" w:hAnsi="Arial"/>
                <w:sz w:val="18"/>
                <w:szCs w:val="18"/>
                <w:color w:val="auto"/>
              </w:rPr>
              <w:t>Net sales</w:t>
            </w:r>
          </w:p>
        </w:tc>
        <w:tc>
          <w:tcPr>
            <w:tcW w:w="260" w:type="dxa"/>
            <w:vAlign w:val="bottom"/>
            <w:shd w:val="clear" w:color="auto" w:fill="CCEEFF"/>
          </w:tcPr>
          <w:p>
            <w:pPr>
              <w:jc w:val="right"/>
              <w:ind w:right="107"/>
              <w:spacing w:after="0"/>
              <w:rPr>
                <w:sz w:val="20"/>
                <w:szCs w:val="20"/>
                <w:color w:val="auto"/>
              </w:rPr>
            </w:pPr>
            <w:r>
              <w:rPr>
                <w:rFonts w:ascii="Arial" w:cs="Arial" w:eastAsia="Arial" w:hAnsi="Arial"/>
                <w:sz w:val="15"/>
                <w:szCs w:val="15"/>
                <w:color w:val="auto"/>
                <w:w w:val="71"/>
              </w:rPr>
              <w:t>$</w:t>
            </w:r>
          </w:p>
        </w:tc>
        <w:tc>
          <w:tcPr>
            <w:tcW w:w="1520" w:type="dxa"/>
            <w:vAlign w:val="bottom"/>
            <w:shd w:val="clear" w:color="auto" w:fill="CCEEFF"/>
          </w:tcPr>
          <w:p>
            <w:pPr>
              <w:jc w:val="right"/>
              <w:ind w:right="690"/>
              <w:spacing w:after="0"/>
              <w:rPr>
                <w:sz w:val="20"/>
                <w:szCs w:val="20"/>
                <w:color w:val="auto"/>
              </w:rPr>
            </w:pPr>
            <w:r>
              <w:rPr>
                <w:rFonts w:ascii="Arial" w:cs="Arial" w:eastAsia="Arial" w:hAnsi="Arial"/>
                <w:sz w:val="18"/>
                <w:szCs w:val="18"/>
                <w:color w:val="auto"/>
              </w:rPr>
              <w:t>5,809</w:t>
            </w:r>
          </w:p>
        </w:tc>
        <w:tc>
          <w:tcPr>
            <w:tcW w:w="68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1"/>
              </w:rPr>
              <w:t>100.0%</w:t>
            </w:r>
          </w:p>
        </w:tc>
        <w:tc>
          <w:tcPr>
            <w:tcW w:w="420" w:type="dxa"/>
            <w:vAlign w:val="bottom"/>
            <w:shd w:val="clear" w:color="auto" w:fill="CCEEFF"/>
          </w:tcPr>
          <w:p>
            <w:pPr>
              <w:jc w:val="right"/>
              <w:ind w:right="267"/>
              <w:spacing w:after="0"/>
              <w:rPr>
                <w:sz w:val="20"/>
                <w:szCs w:val="20"/>
                <w:color w:val="auto"/>
              </w:rPr>
            </w:pPr>
            <w:r>
              <w:rPr>
                <w:rFonts w:ascii="Arial" w:cs="Arial" w:eastAsia="Arial" w:hAnsi="Arial"/>
                <w:sz w:val="15"/>
                <w:szCs w:val="15"/>
                <w:color w:val="auto"/>
                <w:w w:val="71"/>
              </w:rPr>
              <w:t>$</w:t>
            </w:r>
          </w:p>
        </w:tc>
        <w:tc>
          <w:tcPr>
            <w:tcW w:w="1360" w:type="dxa"/>
            <w:vAlign w:val="bottom"/>
            <w:shd w:val="clear" w:color="auto" w:fill="CCEEFF"/>
          </w:tcPr>
          <w:p>
            <w:pPr>
              <w:jc w:val="right"/>
              <w:ind w:right="690"/>
              <w:spacing w:after="0"/>
              <w:rPr>
                <w:sz w:val="20"/>
                <w:szCs w:val="20"/>
                <w:color w:val="auto"/>
              </w:rPr>
            </w:pPr>
            <w:r>
              <w:rPr>
                <w:rFonts w:ascii="Arial" w:cs="Arial" w:eastAsia="Arial" w:hAnsi="Arial"/>
                <w:sz w:val="18"/>
                <w:szCs w:val="18"/>
                <w:color w:val="auto"/>
              </w:rPr>
              <w:t>4,619</w:t>
            </w: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1"/>
              </w:rPr>
              <w:t>100.0%</w:t>
            </w:r>
          </w:p>
        </w:tc>
        <w:tc>
          <w:tcPr>
            <w:tcW w:w="160" w:type="dxa"/>
            <w:vAlign w:val="bottom"/>
            <w:shd w:val="clear" w:color="auto" w:fill="CCEEFF"/>
          </w:tcPr>
          <w:p>
            <w:pPr>
              <w:jc w:val="right"/>
              <w:ind w:right="7"/>
              <w:spacing w:after="0"/>
              <w:rPr>
                <w:sz w:val="20"/>
                <w:szCs w:val="20"/>
                <w:color w:val="auto"/>
              </w:rPr>
            </w:pPr>
            <w:r>
              <w:rPr>
                <w:rFonts w:ascii="Arial" w:cs="Arial" w:eastAsia="Arial" w:hAnsi="Arial"/>
                <w:sz w:val="15"/>
                <w:szCs w:val="15"/>
                <w:color w:val="auto"/>
                <w:w w:val="71"/>
              </w:rPr>
              <w:t>$</w:t>
            </w:r>
          </w:p>
        </w:tc>
        <w:tc>
          <w:tcPr>
            <w:tcW w:w="1240" w:type="dxa"/>
            <w:vAlign w:val="bottom"/>
            <w:shd w:val="clear" w:color="auto" w:fill="CCEEFF"/>
          </w:tcPr>
          <w:p>
            <w:pPr>
              <w:jc w:val="right"/>
              <w:ind w:right="310"/>
              <w:spacing w:after="0"/>
              <w:rPr>
                <w:sz w:val="20"/>
                <w:szCs w:val="20"/>
                <w:color w:val="auto"/>
              </w:rPr>
            </w:pPr>
            <w:r>
              <w:rPr>
                <w:rFonts w:ascii="Arial" w:cs="Arial" w:eastAsia="Arial" w:hAnsi="Arial"/>
                <w:sz w:val="18"/>
                <w:szCs w:val="18"/>
                <w:color w:val="auto"/>
              </w:rPr>
              <w:t>1,190</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25.8%</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2960" w:type="dxa"/>
            <w:vAlign w:val="bottom"/>
            <w:shd w:val="clear" w:color="auto" w:fill="CCEEFF"/>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52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60" w:type="dxa"/>
            <w:vAlign w:val="bottom"/>
            <w:tcBorders>
              <w:right w:val="single" w:sz="8" w:color="CCEEFF"/>
            </w:tcBorders>
            <w:shd w:val="clear" w:color="auto" w:fill="CCEEFF"/>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24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20" w:type="dxa"/>
            <w:vAlign w:val="bottom"/>
            <w:vMerge w:val="continue"/>
          </w:tcPr>
          <w:p>
            <w:pPr>
              <w:spacing w:after="0"/>
              <w:rPr>
                <w:sz w:val="18"/>
                <w:szCs w:val="18"/>
                <w:color w:val="auto"/>
              </w:rPr>
            </w:pPr>
          </w:p>
        </w:tc>
        <w:tc>
          <w:tcPr>
            <w:tcW w:w="2960" w:type="dxa"/>
            <w:vAlign w:val="bottom"/>
          </w:tcPr>
          <w:p>
            <w:pPr>
              <w:spacing w:after="0"/>
              <w:rPr>
                <w:sz w:val="20"/>
                <w:szCs w:val="20"/>
                <w:color w:val="auto"/>
              </w:rPr>
            </w:pPr>
            <w:r>
              <w:rPr>
                <w:rFonts w:ascii="Arial" w:cs="Arial" w:eastAsia="Arial" w:hAnsi="Arial"/>
                <w:sz w:val="18"/>
                <w:szCs w:val="18"/>
                <w:color w:val="auto"/>
              </w:rPr>
              <w:t>Gross profit</w:t>
            </w:r>
          </w:p>
        </w:tc>
        <w:tc>
          <w:tcPr>
            <w:tcW w:w="260" w:type="dxa"/>
            <w:vAlign w:val="bottom"/>
          </w:tcPr>
          <w:p>
            <w:pPr>
              <w:spacing w:after="0"/>
              <w:rPr>
                <w:sz w:val="18"/>
                <w:szCs w:val="18"/>
                <w:color w:val="auto"/>
              </w:rPr>
            </w:pPr>
          </w:p>
        </w:tc>
        <w:tc>
          <w:tcPr>
            <w:tcW w:w="1520" w:type="dxa"/>
            <w:vAlign w:val="bottom"/>
          </w:tcPr>
          <w:p>
            <w:pPr>
              <w:jc w:val="right"/>
              <w:ind w:right="690"/>
              <w:spacing w:after="0"/>
              <w:rPr>
                <w:sz w:val="20"/>
                <w:szCs w:val="20"/>
                <w:color w:val="auto"/>
              </w:rPr>
            </w:pPr>
            <w:r>
              <w:rPr>
                <w:rFonts w:ascii="Arial" w:cs="Arial" w:eastAsia="Arial" w:hAnsi="Arial"/>
                <w:sz w:val="18"/>
                <w:szCs w:val="18"/>
                <w:color w:val="auto"/>
              </w:rPr>
              <w:t>2,865</w:t>
            </w: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49.3%</w:t>
            </w:r>
          </w:p>
        </w:tc>
        <w:tc>
          <w:tcPr>
            <w:tcW w:w="420" w:type="dxa"/>
            <w:vAlign w:val="bottom"/>
          </w:tcPr>
          <w:p>
            <w:pPr>
              <w:spacing w:after="0"/>
              <w:rPr>
                <w:sz w:val="18"/>
                <w:szCs w:val="18"/>
                <w:color w:val="auto"/>
              </w:rPr>
            </w:pPr>
          </w:p>
        </w:tc>
        <w:tc>
          <w:tcPr>
            <w:tcW w:w="1360" w:type="dxa"/>
            <w:vAlign w:val="bottom"/>
          </w:tcPr>
          <w:p>
            <w:pPr>
              <w:jc w:val="right"/>
              <w:ind w:right="690"/>
              <w:spacing w:after="0"/>
              <w:rPr>
                <w:sz w:val="20"/>
                <w:szCs w:val="20"/>
                <w:color w:val="auto"/>
              </w:rPr>
            </w:pPr>
            <w:r>
              <w:rPr>
                <w:rFonts w:ascii="Arial" w:cs="Arial" w:eastAsia="Arial" w:hAnsi="Arial"/>
                <w:sz w:val="18"/>
                <w:szCs w:val="18"/>
                <w:color w:val="auto"/>
              </w:rPr>
              <w:t>1,965</w:t>
            </w: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42.5%</w:t>
            </w:r>
          </w:p>
        </w:tc>
        <w:tc>
          <w:tcPr>
            <w:tcW w:w="160" w:type="dxa"/>
            <w:vAlign w:val="bottom"/>
          </w:tcPr>
          <w:p>
            <w:pPr>
              <w:spacing w:after="0"/>
              <w:rPr>
                <w:sz w:val="18"/>
                <w:szCs w:val="18"/>
                <w:color w:val="auto"/>
              </w:rPr>
            </w:pPr>
          </w:p>
        </w:tc>
        <w:tc>
          <w:tcPr>
            <w:tcW w:w="1240" w:type="dxa"/>
            <w:vAlign w:val="bottom"/>
          </w:tcPr>
          <w:p>
            <w:pPr>
              <w:jc w:val="right"/>
              <w:ind w:right="310"/>
              <w:spacing w:after="0"/>
              <w:rPr>
                <w:sz w:val="20"/>
                <w:szCs w:val="20"/>
                <w:color w:val="auto"/>
              </w:rPr>
            </w:pPr>
            <w:r>
              <w:rPr>
                <w:rFonts w:ascii="Arial" w:cs="Arial" w:eastAsia="Arial" w:hAnsi="Arial"/>
                <w:sz w:val="18"/>
                <w:szCs w:val="18"/>
                <w:color w:val="auto"/>
              </w:rPr>
              <w:t>900</w:t>
            </w:r>
          </w:p>
        </w:tc>
        <w:tc>
          <w:tcPr>
            <w:tcW w:w="920" w:type="dxa"/>
            <w:vAlign w:val="bottom"/>
            <w:gridSpan w:val="2"/>
          </w:tcPr>
          <w:p>
            <w:pPr>
              <w:jc w:val="right"/>
              <w:spacing w:after="0"/>
              <w:rPr>
                <w:sz w:val="20"/>
                <w:szCs w:val="20"/>
                <w:color w:val="auto"/>
              </w:rPr>
            </w:pPr>
            <w:r>
              <w:rPr>
                <w:rFonts w:ascii="Arial" w:cs="Arial" w:eastAsia="Arial" w:hAnsi="Arial"/>
                <w:sz w:val="18"/>
                <w:szCs w:val="18"/>
                <w:color w:val="auto"/>
              </w:rPr>
              <w:t>45.8%</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2960" w:type="dxa"/>
            <w:vAlign w:val="bottom"/>
            <w:shd w:val="clear" w:color="auto" w:fill="CCEEFF"/>
          </w:tcPr>
          <w:p>
            <w:pPr>
              <w:spacing w:after="0"/>
              <w:rPr>
                <w:sz w:val="20"/>
                <w:szCs w:val="20"/>
                <w:color w:val="auto"/>
              </w:rPr>
            </w:pPr>
            <w:r>
              <w:rPr>
                <w:rFonts w:ascii="Arial" w:cs="Arial" w:eastAsia="Arial" w:hAnsi="Arial"/>
                <w:sz w:val="18"/>
                <w:szCs w:val="18"/>
                <w:color w:val="auto"/>
              </w:rPr>
              <w:t>SG&amp;A expenses</w:t>
            </w:r>
          </w:p>
        </w:tc>
        <w:tc>
          <w:tcPr>
            <w:tcW w:w="260" w:type="dxa"/>
            <w:vAlign w:val="bottom"/>
            <w:shd w:val="clear" w:color="auto" w:fill="CCEEFF"/>
          </w:tcPr>
          <w:p>
            <w:pPr>
              <w:spacing w:after="0"/>
              <w:rPr>
                <w:sz w:val="18"/>
                <w:szCs w:val="18"/>
                <w:color w:val="auto"/>
              </w:rPr>
            </w:pPr>
          </w:p>
        </w:tc>
        <w:tc>
          <w:tcPr>
            <w:tcW w:w="1520" w:type="dxa"/>
            <w:vAlign w:val="bottom"/>
            <w:shd w:val="clear" w:color="auto" w:fill="CCEEFF"/>
          </w:tcPr>
          <w:p>
            <w:pPr>
              <w:jc w:val="right"/>
              <w:ind w:right="690"/>
              <w:spacing w:after="0"/>
              <w:rPr>
                <w:sz w:val="20"/>
                <w:szCs w:val="20"/>
                <w:color w:val="auto"/>
              </w:rPr>
            </w:pPr>
            <w:r>
              <w:rPr>
                <w:rFonts w:ascii="Arial" w:cs="Arial" w:eastAsia="Arial" w:hAnsi="Arial"/>
                <w:sz w:val="18"/>
                <w:szCs w:val="18"/>
                <w:color w:val="auto"/>
              </w:rPr>
              <w:t>4,451</w:t>
            </w:r>
          </w:p>
        </w:tc>
        <w:tc>
          <w:tcPr>
            <w:tcW w:w="68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76.6%</w:t>
            </w:r>
          </w:p>
        </w:tc>
        <w:tc>
          <w:tcPr>
            <w:tcW w:w="420" w:type="dxa"/>
            <w:vAlign w:val="bottom"/>
            <w:shd w:val="clear" w:color="auto" w:fill="CCEEFF"/>
          </w:tcPr>
          <w:p>
            <w:pPr>
              <w:spacing w:after="0"/>
              <w:rPr>
                <w:sz w:val="18"/>
                <w:szCs w:val="18"/>
                <w:color w:val="auto"/>
              </w:rPr>
            </w:pPr>
          </w:p>
        </w:tc>
        <w:tc>
          <w:tcPr>
            <w:tcW w:w="1360" w:type="dxa"/>
            <w:vAlign w:val="bottom"/>
            <w:shd w:val="clear" w:color="auto" w:fill="CCEEFF"/>
          </w:tcPr>
          <w:p>
            <w:pPr>
              <w:jc w:val="right"/>
              <w:ind w:right="690"/>
              <w:spacing w:after="0"/>
              <w:rPr>
                <w:sz w:val="20"/>
                <w:szCs w:val="20"/>
                <w:color w:val="auto"/>
              </w:rPr>
            </w:pPr>
            <w:r>
              <w:rPr>
                <w:rFonts w:ascii="Arial" w:cs="Arial" w:eastAsia="Arial" w:hAnsi="Arial"/>
                <w:sz w:val="18"/>
                <w:szCs w:val="18"/>
                <w:color w:val="auto"/>
              </w:rPr>
              <w:t>2,416</w:t>
            </w: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52.3%</w:t>
            </w:r>
          </w:p>
        </w:tc>
        <w:tc>
          <w:tcPr>
            <w:tcW w:w="160" w:type="dxa"/>
            <w:vAlign w:val="bottom"/>
            <w:shd w:val="clear" w:color="auto" w:fill="CCEEFF"/>
          </w:tcPr>
          <w:p>
            <w:pPr>
              <w:spacing w:after="0"/>
              <w:rPr>
                <w:sz w:val="18"/>
                <w:szCs w:val="18"/>
                <w:color w:val="auto"/>
              </w:rPr>
            </w:pPr>
          </w:p>
        </w:tc>
        <w:tc>
          <w:tcPr>
            <w:tcW w:w="1240" w:type="dxa"/>
            <w:vAlign w:val="bottom"/>
            <w:shd w:val="clear" w:color="auto" w:fill="CCEEFF"/>
          </w:tcPr>
          <w:p>
            <w:pPr>
              <w:jc w:val="right"/>
              <w:ind w:right="310"/>
              <w:spacing w:after="0"/>
              <w:rPr>
                <w:sz w:val="20"/>
                <w:szCs w:val="20"/>
                <w:color w:val="auto"/>
              </w:rPr>
            </w:pPr>
            <w:r>
              <w:rPr>
                <w:rFonts w:ascii="Arial" w:cs="Arial" w:eastAsia="Arial" w:hAnsi="Arial"/>
                <w:sz w:val="18"/>
                <w:szCs w:val="18"/>
                <w:color w:val="auto"/>
              </w:rPr>
              <w:t>2,035</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84.2%</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2960" w:type="dxa"/>
            <w:vAlign w:val="bottom"/>
          </w:tcPr>
          <w:p>
            <w:pPr>
              <w:spacing w:after="0"/>
              <w:rPr>
                <w:sz w:val="20"/>
                <w:szCs w:val="20"/>
                <w:color w:val="auto"/>
              </w:rPr>
            </w:pPr>
            <w:r>
              <w:rPr>
                <w:rFonts w:ascii="Arial" w:cs="Arial" w:eastAsia="Arial" w:hAnsi="Arial"/>
                <w:sz w:val="18"/>
                <w:szCs w:val="18"/>
                <w:color w:val="auto"/>
              </w:rPr>
              <w:t>New store pre-opening costs</w:t>
            </w:r>
          </w:p>
        </w:tc>
        <w:tc>
          <w:tcPr>
            <w:tcW w:w="260" w:type="dxa"/>
            <w:vAlign w:val="bottom"/>
          </w:tcPr>
          <w:p>
            <w:pPr>
              <w:spacing w:after="0"/>
              <w:rPr>
                <w:sz w:val="18"/>
                <w:szCs w:val="18"/>
                <w:color w:val="auto"/>
              </w:rPr>
            </w:pPr>
          </w:p>
        </w:tc>
        <w:tc>
          <w:tcPr>
            <w:tcW w:w="1520" w:type="dxa"/>
            <w:vAlign w:val="bottom"/>
          </w:tcPr>
          <w:p>
            <w:pPr>
              <w:jc w:val="right"/>
              <w:ind w:right="690"/>
              <w:spacing w:after="0"/>
              <w:rPr>
                <w:sz w:val="20"/>
                <w:szCs w:val="20"/>
                <w:color w:val="auto"/>
              </w:rPr>
            </w:pPr>
            <w:r>
              <w:rPr>
                <w:rFonts w:ascii="Arial" w:cs="Arial" w:eastAsia="Arial" w:hAnsi="Arial"/>
                <w:sz w:val="18"/>
                <w:szCs w:val="18"/>
                <w:color w:val="auto"/>
              </w:rPr>
              <w:t>702</w:t>
            </w: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12.1%</w:t>
            </w:r>
          </w:p>
        </w:tc>
        <w:tc>
          <w:tcPr>
            <w:tcW w:w="420" w:type="dxa"/>
            <w:vAlign w:val="bottom"/>
          </w:tcPr>
          <w:p>
            <w:pPr>
              <w:spacing w:after="0"/>
              <w:rPr>
                <w:sz w:val="18"/>
                <w:szCs w:val="18"/>
                <w:color w:val="auto"/>
              </w:rPr>
            </w:pPr>
          </w:p>
        </w:tc>
        <w:tc>
          <w:tcPr>
            <w:tcW w:w="1360" w:type="dxa"/>
            <w:vAlign w:val="bottom"/>
          </w:tcPr>
          <w:p>
            <w:pPr>
              <w:jc w:val="right"/>
              <w:ind w:right="690"/>
              <w:spacing w:after="0"/>
              <w:rPr>
                <w:sz w:val="20"/>
                <w:szCs w:val="20"/>
                <w:color w:val="auto"/>
              </w:rPr>
            </w:pPr>
            <w:r>
              <w:rPr>
                <w:rFonts w:ascii="Arial" w:cs="Arial" w:eastAsia="Arial" w:hAnsi="Arial"/>
                <w:sz w:val="18"/>
                <w:szCs w:val="18"/>
                <w:color w:val="auto"/>
              </w:rPr>
              <w:t>806</w:t>
            </w: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17.4%</w:t>
            </w:r>
          </w:p>
        </w:tc>
        <w:tc>
          <w:tcPr>
            <w:tcW w:w="160" w:type="dxa"/>
            <w:vAlign w:val="bottom"/>
          </w:tcPr>
          <w:p>
            <w:pPr>
              <w:spacing w:after="0"/>
              <w:rPr>
                <w:sz w:val="18"/>
                <w:szCs w:val="18"/>
                <w:color w:val="auto"/>
              </w:rPr>
            </w:pPr>
          </w:p>
        </w:tc>
        <w:tc>
          <w:tcPr>
            <w:tcW w:w="1240" w:type="dxa"/>
            <w:vAlign w:val="bottom"/>
          </w:tcPr>
          <w:p>
            <w:pPr>
              <w:jc w:val="right"/>
              <w:ind w:right="250"/>
              <w:spacing w:after="0"/>
              <w:rPr>
                <w:sz w:val="20"/>
                <w:szCs w:val="20"/>
                <w:color w:val="auto"/>
              </w:rPr>
            </w:pPr>
            <w:r>
              <w:rPr>
                <w:rFonts w:ascii="Arial" w:cs="Arial" w:eastAsia="Arial" w:hAnsi="Arial"/>
                <w:sz w:val="18"/>
                <w:szCs w:val="18"/>
                <w:color w:val="auto"/>
              </w:rPr>
              <w:t>(104)</w:t>
            </w:r>
          </w:p>
        </w:tc>
        <w:tc>
          <w:tcPr>
            <w:tcW w:w="920" w:type="dxa"/>
            <w:vAlign w:val="bottom"/>
            <w:gridSpan w:val="2"/>
          </w:tcPr>
          <w:p>
            <w:pPr>
              <w:jc w:val="right"/>
              <w:spacing w:after="0"/>
              <w:rPr>
                <w:sz w:val="20"/>
                <w:szCs w:val="20"/>
                <w:color w:val="auto"/>
              </w:rPr>
            </w:pPr>
            <w:r>
              <w:rPr>
                <w:rFonts w:ascii="Arial" w:cs="Arial" w:eastAsia="Arial" w:hAnsi="Arial"/>
                <w:sz w:val="18"/>
                <w:szCs w:val="18"/>
                <w:color w:val="auto"/>
              </w:rPr>
              <w:t>-12.9%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96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52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24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9"/>
        </w:trPr>
        <w:tc>
          <w:tcPr>
            <w:tcW w:w="20" w:type="dxa"/>
            <w:vAlign w:val="bottom"/>
          </w:tcPr>
          <w:p>
            <w:pPr>
              <w:spacing w:after="0"/>
              <w:rPr>
                <w:sz w:val="19"/>
                <w:szCs w:val="19"/>
                <w:color w:val="auto"/>
              </w:rPr>
            </w:pPr>
          </w:p>
        </w:tc>
        <w:tc>
          <w:tcPr>
            <w:tcW w:w="2960" w:type="dxa"/>
            <w:vAlign w:val="bottom"/>
            <w:shd w:val="clear" w:color="auto" w:fill="CCEEFF"/>
          </w:tcPr>
          <w:p>
            <w:pPr>
              <w:spacing w:after="0"/>
              <w:rPr>
                <w:sz w:val="20"/>
                <w:szCs w:val="20"/>
                <w:color w:val="auto"/>
              </w:rPr>
            </w:pPr>
            <w:r>
              <w:rPr>
                <w:rFonts w:ascii="Arial" w:cs="Arial" w:eastAsia="Arial" w:hAnsi="Arial"/>
                <w:sz w:val="18"/>
                <w:szCs w:val="18"/>
                <w:color w:val="auto"/>
              </w:rPr>
              <w:t>Loss from operations</w:t>
            </w:r>
          </w:p>
        </w:tc>
        <w:tc>
          <w:tcPr>
            <w:tcW w:w="260" w:type="dxa"/>
            <w:vAlign w:val="bottom"/>
            <w:shd w:val="clear" w:color="auto" w:fill="CCEEFF"/>
          </w:tcPr>
          <w:p>
            <w:pPr>
              <w:jc w:val="right"/>
              <w:ind w:right="107"/>
              <w:spacing w:after="0"/>
              <w:rPr>
                <w:sz w:val="20"/>
                <w:szCs w:val="20"/>
                <w:color w:val="auto"/>
              </w:rPr>
            </w:pPr>
            <w:r>
              <w:rPr>
                <w:rFonts w:ascii="Arial" w:cs="Arial" w:eastAsia="Arial" w:hAnsi="Arial"/>
                <w:sz w:val="15"/>
                <w:szCs w:val="15"/>
                <w:color w:val="auto"/>
                <w:w w:val="71"/>
              </w:rPr>
              <w:t>$</w:t>
            </w:r>
          </w:p>
        </w:tc>
        <w:tc>
          <w:tcPr>
            <w:tcW w:w="1520" w:type="dxa"/>
            <w:vAlign w:val="bottom"/>
            <w:shd w:val="clear" w:color="auto" w:fill="CCEEFF"/>
          </w:tcPr>
          <w:p>
            <w:pPr>
              <w:jc w:val="right"/>
              <w:ind w:right="630"/>
              <w:spacing w:after="0"/>
              <w:rPr>
                <w:sz w:val="20"/>
                <w:szCs w:val="20"/>
                <w:color w:val="auto"/>
              </w:rPr>
            </w:pPr>
            <w:r>
              <w:rPr>
                <w:rFonts w:ascii="Arial" w:cs="Arial" w:eastAsia="Arial" w:hAnsi="Arial"/>
                <w:sz w:val="18"/>
                <w:szCs w:val="18"/>
                <w:color w:val="auto"/>
              </w:rPr>
              <w:t>(2,288)</w:t>
            </w:r>
          </w:p>
        </w:tc>
        <w:tc>
          <w:tcPr>
            <w:tcW w:w="68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8"/>
              </w:rPr>
              <w:t>-39.4%</w:t>
            </w:r>
          </w:p>
        </w:tc>
        <w:tc>
          <w:tcPr>
            <w:tcW w:w="420" w:type="dxa"/>
            <w:vAlign w:val="bottom"/>
            <w:shd w:val="clear" w:color="auto" w:fill="CCEEFF"/>
          </w:tcPr>
          <w:p>
            <w:pPr>
              <w:jc w:val="right"/>
              <w:ind w:right="267"/>
              <w:spacing w:after="0"/>
              <w:rPr>
                <w:sz w:val="20"/>
                <w:szCs w:val="20"/>
                <w:color w:val="auto"/>
              </w:rPr>
            </w:pPr>
            <w:r>
              <w:rPr>
                <w:rFonts w:ascii="Arial" w:cs="Arial" w:eastAsia="Arial" w:hAnsi="Arial"/>
                <w:sz w:val="15"/>
                <w:szCs w:val="15"/>
                <w:color w:val="auto"/>
                <w:w w:val="71"/>
              </w:rPr>
              <w:t>$</w:t>
            </w:r>
          </w:p>
        </w:tc>
        <w:tc>
          <w:tcPr>
            <w:tcW w:w="1360" w:type="dxa"/>
            <w:vAlign w:val="bottom"/>
            <w:shd w:val="clear" w:color="auto" w:fill="CCEEFF"/>
          </w:tcPr>
          <w:p>
            <w:pPr>
              <w:jc w:val="right"/>
              <w:ind w:right="630"/>
              <w:spacing w:after="0"/>
              <w:rPr>
                <w:sz w:val="20"/>
                <w:szCs w:val="20"/>
                <w:color w:val="auto"/>
              </w:rPr>
            </w:pPr>
            <w:r>
              <w:rPr>
                <w:rFonts w:ascii="Arial" w:cs="Arial" w:eastAsia="Arial" w:hAnsi="Arial"/>
                <w:sz w:val="18"/>
                <w:szCs w:val="18"/>
                <w:color w:val="auto"/>
              </w:rPr>
              <w:t>(1,257)</w:t>
            </w: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8"/>
              </w:rPr>
              <w:t>-27.2%</w:t>
            </w:r>
          </w:p>
        </w:tc>
        <w:tc>
          <w:tcPr>
            <w:tcW w:w="160" w:type="dxa"/>
            <w:vAlign w:val="bottom"/>
            <w:shd w:val="clear" w:color="auto" w:fill="CCEEFF"/>
          </w:tcPr>
          <w:p>
            <w:pPr>
              <w:jc w:val="right"/>
              <w:ind w:right="7"/>
              <w:spacing w:after="0"/>
              <w:rPr>
                <w:sz w:val="20"/>
                <w:szCs w:val="20"/>
                <w:color w:val="auto"/>
              </w:rPr>
            </w:pPr>
            <w:r>
              <w:rPr>
                <w:rFonts w:ascii="Arial" w:cs="Arial" w:eastAsia="Arial" w:hAnsi="Arial"/>
                <w:sz w:val="15"/>
                <w:szCs w:val="15"/>
                <w:color w:val="auto"/>
                <w:w w:val="71"/>
              </w:rPr>
              <w:t>$</w:t>
            </w:r>
          </w:p>
        </w:tc>
        <w:tc>
          <w:tcPr>
            <w:tcW w:w="1240" w:type="dxa"/>
            <w:vAlign w:val="bottom"/>
            <w:shd w:val="clear" w:color="auto" w:fill="CCEEFF"/>
          </w:tcPr>
          <w:p>
            <w:pPr>
              <w:jc w:val="right"/>
              <w:ind w:right="250"/>
              <w:spacing w:after="0"/>
              <w:rPr>
                <w:sz w:val="20"/>
                <w:szCs w:val="20"/>
                <w:color w:val="auto"/>
              </w:rPr>
            </w:pPr>
            <w:r>
              <w:rPr>
                <w:rFonts w:ascii="Arial" w:cs="Arial" w:eastAsia="Arial" w:hAnsi="Arial"/>
                <w:sz w:val="18"/>
                <w:szCs w:val="18"/>
                <w:color w:val="auto"/>
              </w:rPr>
              <w:t>(1,031)</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82.0%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960" w:type="dxa"/>
            <w:vAlign w:val="bottom"/>
            <w:tcBorders>
              <w:top w:val="single" w:sz="8" w:color="CCEEFF"/>
            </w:tcBorders>
            <w:shd w:val="clear" w:color="auto" w:fill="CCEEFF"/>
          </w:tcPr>
          <w:p>
            <w:pPr>
              <w:spacing w:after="0" w:line="20" w:lineRule="exact"/>
              <w:rPr>
                <w:sz w:val="1"/>
                <w:szCs w:val="1"/>
                <w:color w:val="auto"/>
              </w:rPr>
            </w:pPr>
          </w:p>
        </w:tc>
        <w:tc>
          <w:tcPr>
            <w:tcW w:w="260" w:type="dxa"/>
            <w:vAlign w:val="bottom"/>
            <w:tcBorders>
              <w:top w:val="single" w:sz="8" w:color="auto"/>
            </w:tcBorders>
            <w:shd w:val="clear" w:color="auto" w:fill="000000"/>
          </w:tcPr>
          <w:p>
            <w:pPr>
              <w:spacing w:after="0" w:line="20" w:lineRule="exact"/>
              <w:rPr>
                <w:sz w:val="1"/>
                <w:szCs w:val="1"/>
                <w:color w:val="auto"/>
              </w:rPr>
            </w:pPr>
          </w:p>
        </w:tc>
        <w:tc>
          <w:tcPr>
            <w:tcW w:w="1520" w:type="dxa"/>
            <w:vAlign w:val="bottom"/>
            <w:tcBorders>
              <w:top w:val="single" w:sz="8" w:color="auto"/>
            </w:tcBorders>
            <w:shd w:val="clear" w:color="auto" w:fill="000000"/>
          </w:tcPr>
          <w:p>
            <w:pPr>
              <w:spacing w:after="0" w:line="20" w:lineRule="exact"/>
              <w:rPr>
                <w:sz w:val="1"/>
                <w:szCs w:val="1"/>
                <w:color w:val="auto"/>
              </w:rPr>
            </w:pPr>
          </w:p>
        </w:tc>
        <w:tc>
          <w:tcPr>
            <w:tcW w:w="420" w:type="dxa"/>
            <w:vAlign w:val="bottom"/>
            <w:tcBorders>
              <w:top w:val="single" w:sz="8" w:color="auto"/>
            </w:tcBorders>
            <w:shd w:val="clear" w:color="auto" w:fill="000000"/>
          </w:tcPr>
          <w:p>
            <w:pPr>
              <w:spacing w:after="0" w:line="20" w:lineRule="exact"/>
              <w:rPr>
                <w:sz w:val="1"/>
                <w:szCs w:val="1"/>
                <w:color w:val="auto"/>
              </w:rPr>
            </w:pPr>
          </w:p>
        </w:tc>
        <w:tc>
          <w:tcPr>
            <w:tcW w:w="260" w:type="dxa"/>
            <w:vAlign w:val="bottom"/>
            <w:tcBorders>
              <w:top w:val="single" w:sz="8" w:color="CCEEFF"/>
              <w:right w:val="single" w:sz="8" w:color="CCEEFF"/>
            </w:tcBorders>
            <w:shd w:val="clear" w:color="auto" w:fill="CCEEFF"/>
          </w:tcPr>
          <w:p>
            <w:pPr>
              <w:spacing w:after="0" w:line="20" w:lineRule="exact"/>
              <w:rPr>
                <w:sz w:val="1"/>
                <w:szCs w:val="1"/>
                <w:color w:val="auto"/>
              </w:rPr>
            </w:pPr>
          </w:p>
        </w:tc>
        <w:tc>
          <w:tcPr>
            <w:tcW w:w="420" w:type="dxa"/>
            <w:vAlign w:val="bottom"/>
            <w:tcBorders>
              <w:top w:val="single" w:sz="8" w:color="auto"/>
            </w:tcBorders>
            <w:shd w:val="clear" w:color="auto" w:fill="000000"/>
          </w:tcPr>
          <w:p>
            <w:pPr>
              <w:spacing w:after="0" w:line="20" w:lineRule="exact"/>
              <w:rPr>
                <w:sz w:val="1"/>
                <w:szCs w:val="1"/>
                <w:color w:val="auto"/>
              </w:rPr>
            </w:pPr>
          </w:p>
        </w:tc>
        <w:tc>
          <w:tcPr>
            <w:tcW w:w="1360" w:type="dxa"/>
            <w:vAlign w:val="bottom"/>
            <w:tcBorders>
              <w:top w:val="single" w:sz="8" w:color="auto"/>
            </w:tcBorders>
            <w:shd w:val="clear" w:color="auto" w:fill="000000"/>
          </w:tcPr>
          <w:p>
            <w:pPr>
              <w:spacing w:after="0" w:line="20" w:lineRule="exact"/>
              <w:rPr>
                <w:sz w:val="1"/>
                <w:szCs w:val="1"/>
                <w:color w:val="auto"/>
              </w:rPr>
            </w:pPr>
          </w:p>
        </w:tc>
        <w:tc>
          <w:tcPr>
            <w:tcW w:w="420" w:type="dxa"/>
            <w:vAlign w:val="bottom"/>
            <w:tcBorders>
              <w:top w:val="single" w:sz="8" w:color="auto"/>
            </w:tcBorders>
            <w:shd w:val="clear" w:color="auto" w:fill="000000"/>
          </w:tcPr>
          <w:p>
            <w:pPr>
              <w:spacing w:after="0" w:line="20" w:lineRule="exact"/>
              <w:rPr>
                <w:sz w:val="1"/>
                <w:szCs w:val="1"/>
                <w:color w:val="auto"/>
              </w:rPr>
            </w:pPr>
          </w:p>
        </w:tc>
        <w:tc>
          <w:tcPr>
            <w:tcW w:w="260" w:type="dxa"/>
            <w:vAlign w:val="bottom"/>
            <w:tcBorders>
              <w:top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auto"/>
            </w:tcBorders>
            <w:shd w:val="clear" w:color="auto" w:fill="000000"/>
          </w:tcPr>
          <w:p>
            <w:pPr>
              <w:spacing w:after="0" w:line="20" w:lineRule="exact"/>
              <w:rPr>
                <w:sz w:val="1"/>
                <w:szCs w:val="1"/>
                <w:color w:val="auto"/>
              </w:rPr>
            </w:pPr>
          </w:p>
        </w:tc>
        <w:tc>
          <w:tcPr>
            <w:tcW w:w="1240" w:type="dxa"/>
            <w:vAlign w:val="bottom"/>
            <w:tcBorders>
              <w:top w:val="single" w:sz="8" w:color="auto"/>
            </w:tcBorders>
            <w:shd w:val="clear" w:color="auto" w:fill="000000"/>
          </w:tcPr>
          <w:p>
            <w:pPr>
              <w:spacing w:after="0" w:line="20" w:lineRule="exact"/>
              <w:rPr>
                <w:sz w:val="1"/>
                <w:szCs w:val="1"/>
                <w:color w:val="auto"/>
              </w:rPr>
            </w:pPr>
          </w:p>
        </w:tc>
        <w:tc>
          <w:tcPr>
            <w:tcW w:w="800" w:type="dxa"/>
            <w:vAlign w:val="bottom"/>
            <w:tcBorders>
              <w:top w:val="single" w:sz="8" w:color="auto"/>
            </w:tcBorders>
            <w:shd w:val="clear" w:color="auto" w:fill="000000"/>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Quarterly Analysis of Results - Retail</w:t>
      </w:r>
    </w:p>
    <w:p>
      <w:pPr>
        <w:spacing w:after="0" w:line="224" w:lineRule="exact"/>
        <w:rPr>
          <w:sz w:val="20"/>
          <w:szCs w:val="20"/>
          <w:color w:val="auto"/>
        </w:rPr>
      </w:pPr>
    </w:p>
    <w:p>
      <w:pPr>
        <w:jc w:val="both"/>
        <w:ind w:right="100"/>
        <w:spacing w:after="0" w:line="276" w:lineRule="auto"/>
        <w:rPr>
          <w:sz w:val="20"/>
          <w:szCs w:val="20"/>
          <w:color w:val="auto"/>
        </w:rPr>
      </w:pPr>
      <w:r>
        <w:rPr>
          <w:rFonts w:ascii="Arial" w:cs="Arial" w:eastAsia="Arial" w:hAnsi="Arial"/>
          <w:sz w:val="18"/>
          <w:szCs w:val="18"/>
          <w:color w:val="auto"/>
        </w:rPr>
        <w:t>The first quarter 2018 increase in net sales for the 63 Company-owned stores over the prior year was comprised of a 3.3% increase in comparable store sales along with a $1,190 increase in non-comparable store sales.</w:t>
      </w:r>
    </w:p>
    <w:p>
      <w:pPr>
        <w:spacing w:after="0" w:line="170" w:lineRule="exact"/>
        <w:rPr>
          <w:sz w:val="20"/>
          <w:szCs w:val="20"/>
          <w:color w:val="auto"/>
        </w:rPr>
      </w:pPr>
    </w:p>
    <w:p>
      <w:pPr>
        <w:jc w:val="both"/>
        <w:ind w:right="100"/>
        <w:spacing w:after="0" w:line="262" w:lineRule="auto"/>
        <w:rPr>
          <w:sz w:val="20"/>
          <w:szCs w:val="20"/>
          <w:color w:val="auto"/>
        </w:rPr>
      </w:pPr>
      <w:r>
        <w:rPr>
          <w:rFonts w:ascii="Arial" w:cs="Arial" w:eastAsia="Arial" w:hAnsi="Arial"/>
          <w:sz w:val="18"/>
          <w:szCs w:val="18"/>
          <w:color w:val="auto"/>
        </w:rPr>
        <w:t>While we do not recognize sales until goods are delivered to the consumer, management tracks written sales (the retail dollar value of sales orders taken, rather than delivered) as a key store performance indicator. Written sales for comparable stores decreased by 2.5% for the first quarter of 2018 as compared to the first quarter of 2017.</w:t>
      </w:r>
    </w:p>
    <w:p>
      <w:pPr>
        <w:spacing w:after="0" w:line="183" w:lineRule="exact"/>
        <w:rPr>
          <w:sz w:val="20"/>
          <w:szCs w:val="20"/>
          <w:color w:val="auto"/>
        </w:rPr>
      </w:pPr>
    </w:p>
    <w:p>
      <w:pPr>
        <w:jc w:val="both"/>
        <w:ind w:right="100"/>
        <w:spacing w:after="0" w:line="300" w:lineRule="auto"/>
        <w:rPr>
          <w:sz w:val="20"/>
          <w:szCs w:val="20"/>
          <w:color w:val="auto"/>
        </w:rPr>
      </w:pPr>
      <w:r>
        <w:rPr>
          <w:rFonts w:ascii="Arial" w:cs="Arial" w:eastAsia="Arial" w:hAnsi="Arial"/>
          <w:sz w:val="16"/>
          <w:szCs w:val="16"/>
          <w:color w:val="auto"/>
        </w:rPr>
        <w:t>The operating loss of $1,513 for the first quarter of 2018 was primarily due to non-comparable store results while comparable store performance improved. The 53 comparable stores generated operating income for the first quarter of 2018 compared with a slight loss in the prior year quarter. The increase in comparable store gross margins to 50.6% in the first quarter of 2018 from 49.4% in the prior year period is primarily due to improved pricing strategies and product mix. SG&amp;A expenses as a percentage of sales for comparable stores showed marginal improvement over 2017 due to better leveraging of fixed costs.</w:t>
      </w:r>
    </w:p>
    <w:p>
      <w:pPr>
        <w:spacing w:after="0" w:line="157" w:lineRule="exact"/>
        <w:rPr>
          <w:sz w:val="20"/>
          <w:szCs w:val="20"/>
          <w:color w:val="auto"/>
        </w:rPr>
      </w:pPr>
    </w:p>
    <w:p>
      <w:pPr>
        <w:jc w:val="center"/>
        <w:ind w:right="100"/>
        <w:spacing w:after="0"/>
        <w:rPr>
          <w:sz w:val="20"/>
          <w:szCs w:val="20"/>
          <w:color w:val="auto"/>
        </w:rPr>
      </w:pPr>
      <w:r>
        <w:rPr>
          <w:rFonts w:ascii="Arial" w:cs="Arial" w:eastAsia="Arial" w:hAnsi="Arial"/>
          <w:sz w:val="18"/>
          <w:szCs w:val="18"/>
          <w:color w:val="auto"/>
        </w:rPr>
        <w:t>30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82550</wp:posOffset>
            </wp:positionV>
            <wp:extent cx="7247255" cy="171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47255" cy="17145"/>
                    </a:xfrm>
                    <a:prstGeom prst="rect">
                      <a:avLst/>
                    </a:prstGeom>
                    <a:noFill/>
                  </pic:spPr>
                </pic:pic>
              </a:graphicData>
            </a:graphic>
          </wp:anchor>
        </w:drawing>
      </w:r>
    </w:p>
    <w:p>
      <w:pPr>
        <w:sectPr>
          <w:pgSz w:w="11900" w:h="16838" w:orient="portrait"/>
          <w:cols w:equalWidth="0" w:num="1">
            <w:col w:w="11520"/>
          </w:cols>
          <w:pgMar w:left="240" w:top="583" w:right="139" w:bottom="1440" w:gutter="0" w:footer="0" w:header="0"/>
        </w:sectPr>
      </w:pPr>
    </w:p>
    <w:bookmarkStart w:id="30" w:name="page31"/>
    <w:bookmarkEnd w:id="30"/>
    <w:p>
      <w:pPr>
        <w:jc w:val="center"/>
        <w:ind w:right="100"/>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ind w:right="100"/>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8" w:lineRule="exact"/>
        <w:rPr>
          <w:sz w:val="20"/>
          <w:szCs w:val="20"/>
          <w:color w:val="auto"/>
        </w:rPr>
      </w:pPr>
    </w:p>
    <w:p>
      <w:pPr>
        <w:jc w:val="center"/>
        <w:ind w:right="100"/>
        <w:spacing w:after="0"/>
        <w:rPr>
          <w:sz w:val="20"/>
          <w:szCs w:val="20"/>
          <w:color w:val="auto"/>
        </w:rPr>
      </w:pPr>
      <w:r>
        <w:rPr>
          <w:rFonts w:ascii="Arial" w:cs="Arial" w:eastAsia="Arial" w:hAnsi="Arial"/>
          <w:sz w:val="18"/>
          <w:szCs w:val="18"/>
          <w:u w:val="single" w:color="auto"/>
          <w:color w:val="auto"/>
        </w:rPr>
        <w:t>FEBRUARY 24, 2018</w:t>
      </w:r>
    </w:p>
    <w:p>
      <w:pPr>
        <w:spacing w:after="0" w:line="8" w:lineRule="exact"/>
        <w:rPr>
          <w:sz w:val="20"/>
          <w:szCs w:val="20"/>
          <w:color w:val="auto"/>
        </w:rPr>
      </w:pPr>
    </w:p>
    <w:p>
      <w:pPr>
        <w:jc w:val="center"/>
        <w:ind w:right="100"/>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09" w:lineRule="exact"/>
        <w:rPr>
          <w:sz w:val="20"/>
          <w:szCs w:val="20"/>
          <w:color w:val="auto"/>
        </w:rPr>
      </w:pPr>
    </w:p>
    <w:p>
      <w:pPr>
        <w:jc w:val="both"/>
        <w:ind w:right="100"/>
        <w:spacing w:after="0" w:line="272" w:lineRule="auto"/>
        <w:rPr>
          <w:sz w:val="20"/>
          <w:szCs w:val="20"/>
          <w:color w:val="auto"/>
        </w:rPr>
      </w:pPr>
      <w:r>
        <w:rPr>
          <w:rFonts w:ascii="Arial" w:cs="Arial" w:eastAsia="Arial" w:hAnsi="Arial"/>
          <w:sz w:val="17"/>
          <w:szCs w:val="17"/>
          <w:color w:val="auto"/>
        </w:rPr>
        <w:t>We incur losses in the first two to three months of operation following a store opening as sales are not recognized in the income statement until the furniture is delivered to its customers resulting in operating expenses without the normal sales volume. Because we do not maintain a stock of retail inventory that would result in quick delivery, and because of the custom nature of the furniture offerings, such deliveries are generally not made until after 30 days from when the furniture is ordered by the customer. Coupled with the pre-opening costs, total start-up losses typically amount to $400 to $600 per store. During the first quarter of 2018 we incurred $740 of post-opening losses associated with the three new stores opened during the quarter as well as the Wichita, Kansas store which opened late in the fourth quarter of 2017. There were no post-opening losses during the first quarter of 2017.</w:t>
      </w:r>
    </w:p>
    <w:p>
      <w:pPr>
        <w:spacing w:after="0" w:line="178" w:lineRule="exact"/>
        <w:rPr>
          <w:sz w:val="20"/>
          <w:szCs w:val="20"/>
          <w:color w:val="auto"/>
        </w:rPr>
      </w:pPr>
    </w:p>
    <w:p>
      <w:pPr>
        <w:jc w:val="both"/>
        <w:ind w:right="100"/>
        <w:spacing w:after="0" w:line="276" w:lineRule="auto"/>
        <w:rPr>
          <w:sz w:val="20"/>
          <w:szCs w:val="20"/>
          <w:color w:val="auto"/>
        </w:rPr>
      </w:pPr>
      <w:r>
        <w:rPr>
          <w:rFonts w:ascii="Arial" w:cs="Arial" w:eastAsia="Arial" w:hAnsi="Arial"/>
          <w:sz w:val="18"/>
          <w:szCs w:val="18"/>
          <w:color w:val="auto"/>
        </w:rPr>
        <w:t>Each addition to our Company-owned store network results in incremental fixed overhead costs, primarily associated with local store personnel, occupancy costs and warehousing expenses. The incremental SG&amp;A expenses associated with each new store will be ongoing.</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Retail Backlog</w:t>
      </w:r>
    </w:p>
    <w:p>
      <w:pPr>
        <w:spacing w:after="0" w:line="224" w:lineRule="exact"/>
        <w:rPr>
          <w:sz w:val="20"/>
          <w:szCs w:val="20"/>
          <w:color w:val="auto"/>
        </w:rPr>
      </w:pPr>
    </w:p>
    <w:p>
      <w:pPr>
        <w:jc w:val="both"/>
        <w:ind w:right="100"/>
        <w:spacing w:after="0" w:line="276" w:lineRule="auto"/>
        <w:rPr>
          <w:sz w:val="20"/>
          <w:szCs w:val="20"/>
          <w:color w:val="auto"/>
        </w:rPr>
      </w:pPr>
      <w:r>
        <w:rPr>
          <w:rFonts w:ascii="Arial" w:cs="Arial" w:eastAsia="Arial" w:hAnsi="Arial"/>
          <w:sz w:val="18"/>
          <w:szCs w:val="18"/>
          <w:color w:val="auto"/>
        </w:rPr>
        <w:t>The dollar value of our retail backlog, representing orders received but not yet delivered to customers, was $34,353, or an average of $545 per open store at February 24, 2018 as compared with a retail backlog of $34,048, or an average of $567 per open store at February 25, 2017.</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Logistical Services Segment</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color w:val="auto"/>
        </w:rPr>
        <w:t>Results for our logistical services segment for the quarters ended February 24, 2018 and February 25, 2017 are as follows:</w:t>
      </w:r>
    </w:p>
    <w:p>
      <w:pPr>
        <w:spacing w:after="0" w:line="224" w:lineRule="exact"/>
        <w:rPr>
          <w:sz w:val="20"/>
          <w:szCs w:val="20"/>
          <w:color w:val="auto"/>
        </w:rPr>
      </w:pPr>
    </w:p>
    <w:tbl>
      <w:tblPr>
        <w:tblLayout w:type="fixed"/>
        <w:tblInd w:w="1300" w:type="dxa"/>
        <w:tblCellMar>
          <w:top w:w="0" w:type="dxa"/>
          <w:left w:w="0" w:type="dxa"/>
          <w:bottom w:w="0" w:type="dxa"/>
          <w:right w:w="0" w:type="dxa"/>
        </w:tblCellMar>
      </w:tblPr>
      <w:tr>
        <w:trPr>
          <w:trHeight w:val="230"/>
        </w:trPr>
        <w:tc>
          <w:tcPr>
            <w:tcW w:w="20" w:type="dxa"/>
            <w:vAlign w:val="bottom"/>
          </w:tcPr>
          <w:p>
            <w:pPr>
              <w:spacing w:after="0"/>
              <w:rPr>
                <w:sz w:val="19"/>
                <w:szCs w:val="19"/>
                <w:color w:val="auto"/>
              </w:rPr>
            </w:pPr>
          </w:p>
        </w:tc>
        <w:tc>
          <w:tcPr>
            <w:tcW w:w="2960" w:type="dxa"/>
            <w:vAlign w:val="bottom"/>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52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gridSpan w:val="4"/>
          </w:tcPr>
          <w:p>
            <w:pPr>
              <w:jc w:val="right"/>
              <w:ind w:right="20"/>
              <w:spacing w:after="0"/>
              <w:rPr>
                <w:sz w:val="20"/>
                <w:szCs w:val="20"/>
                <w:color w:val="auto"/>
              </w:rPr>
            </w:pPr>
            <w:r>
              <w:rPr>
                <w:rFonts w:ascii="Arial" w:cs="Arial" w:eastAsia="Arial" w:hAnsi="Arial"/>
                <w:sz w:val="18"/>
                <w:szCs w:val="18"/>
                <w:color w:val="auto"/>
                <w:w w:val="89"/>
              </w:rPr>
              <w:t>Quarter Ended</w:t>
            </w:r>
          </w:p>
        </w:tc>
        <w:tc>
          <w:tcPr>
            <w:tcW w:w="136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26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Change</w:t>
            </w:r>
          </w:p>
        </w:tc>
        <w:tc>
          <w:tcPr>
            <w:tcW w:w="800" w:type="dxa"/>
            <w:vAlign w:val="bottom"/>
            <w:tcBorders>
              <w:bottom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2960" w:type="dxa"/>
            <w:vAlign w:val="bottom"/>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15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February 24, 2018</w:t>
            </w:r>
          </w:p>
        </w:tc>
        <w:tc>
          <w:tcPr>
            <w:tcW w:w="420" w:type="dxa"/>
            <w:vAlign w:val="bottom"/>
            <w:tcBorders>
              <w:bottom w:val="single" w:sz="8" w:color="auto"/>
            </w:tcBorders>
          </w:tcPr>
          <w:p>
            <w:pPr>
              <w:spacing w:after="0"/>
              <w:rPr>
                <w:sz w:val="18"/>
                <w:szCs w:val="18"/>
                <w:color w:val="auto"/>
              </w:rPr>
            </w:pPr>
          </w:p>
        </w:tc>
        <w:tc>
          <w:tcPr>
            <w:tcW w:w="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20" w:type="dxa"/>
            <w:vAlign w:val="bottom"/>
            <w:tcBorders>
              <w:bottom w:val="single" w:sz="8" w:color="auto"/>
            </w:tcBorders>
          </w:tcPr>
          <w:p>
            <w:pPr>
              <w:spacing w:after="0"/>
              <w:rPr>
                <w:sz w:val="18"/>
                <w:szCs w:val="18"/>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9"/>
              </w:rPr>
              <w:t>February 25, 2017</w:t>
            </w:r>
          </w:p>
        </w:tc>
        <w:tc>
          <w:tcPr>
            <w:tcW w:w="420" w:type="dxa"/>
            <w:vAlign w:val="bottom"/>
            <w:tcBorders>
              <w:bottom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240" w:type="dxa"/>
            <w:vAlign w:val="bottom"/>
            <w:tcBorders>
              <w:bottom w:val="single" w:sz="8" w:color="auto"/>
            </w:tcBorders>
          </w:tcPr>
          <w:p>
            <w:pPr>
              <w:jc w:val="right"/>
              <w:ind w:right="550"/>
              <w:spacing w:after="0"/>
              <w:rPr>
                <w:sz w:val="20"/>
                <w:szCs w:val="20"/>
                <w:color w:val="auto"/>
              </w:rPr>
            </w:pPr>
            <w:r>
              <w:rPr>
                <w:rFonts w:ascii="Arial" w:cs="Arial" w:eastAsia="Arial" w:hAnsi="Arial"/>
                <w:sz w:val="18"/>
                <w:szCs w:val="18"/>
                <w:color w:val="auto"/>
              </w:rPr>
              <w:t>Dollars</w:t>
            </w:r>
          </w:p>
        </w:tc>
        <w:tc>
          <w:tcPr>
            <w:tcW w:w="800" w:type="dxa"/>
            <w:vAlign w:val="bottom"/>
            <w:tcBorders>
              <w:bottom w:val="single" w:sz="8" w:color="auto"/>
            </w:tcBorders>
          </w:tcPr>
          <w:p>
            <w:pPr>
              <w:ind w:left="40"/>
              <w:spacing w:after="0"/>
              <w:rPr>
                <w:sz w:val="20"/>
                <w:szCs w:val="20"/>
                <w:color w:val="auto"/>
              </w:rPr>
            </w:pPr>
            <w:r>
              <w:rPr>
                <w:rFonts w:ascii="Arial" w:cs="Arial" w:eastAsia="Arial" w:hAnsi="Arial"/>
                <w:sz w:val="18"/>
                <w:szCs w:val="18"/>
                <w:color w:val="auto"/>
              </w:rPr>
              <w:t>Percent</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vMerge w:val="restart"/>
          </w:tcPr>
          <w:p>
            <w:pPr>
              <w:spacing w:after="0"/>
              <w:rPr>
                <w:sz w:val="18"/>
                <w:szCs w:val="18"/>
                <w:color w:val="auto"/>
              </w:rPr>
            </w:pPr>
          </w:p>
        </w:tc>
        <w:tc>
          <w:tcPr>
            <w:tcW w:w="29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vMerge w:val="continue"/>
          </w:tcPr>
          <w:p>
            <w:pPr>
              <w:spacing w:after="0"/>
              <w:rPr>
                <w:sz w:val="18"/>
                <w:szCs w:val="18"/>
                <w:color w:val="auto"/>
              </w:rPr>
            </w:pPr>
          </w:p>
        </w:tc>
        <w:tc>
          <w:tcPr>
            <w:tcW w:w="2960" w:type="dxa"/>
            <w:vAlign w:val="bottom"/>
            <w:shd w:val="clear" w:color="auto" w:fill="CCEEFF"/>
          </w:tcPr>
          <w:p>
            <w:pPr>
              <w:spacing w:after="0"/>
              <w:rPr>
                <w:sz w:val="20"/>
                <w:szCs w:val="20"/>
                <w:color w:val="auto"/>
              </w:rPr>
            </w:pPr>
            <w:r>
              <w:rPr>
                <w:rFonts w:ascii="Arial" w:cs="Arial" w:eastAsia="Arial" w:hAnsi="Arial"/>
                <w:sz w:val="18"/>
                <w:szCs w:val="18"/>
                <w:color w:val="auto"/>
              </w:rPr>
              <w:t>Logistical services revenue</w:t>
            </w:r>
          </w:p>
        </w:tc>
        <w:tc>
          <w:tcPr>
            <w:tcW w:w="260" w:type="dxa"/>
            <w:vAlign w:val="bottom"/>
            <w:shd w:val="clear" w:color="auto" w:fill="CCEEFF"/>
          </w:tcPr>
          <w:p>
            <w:pPr>
              <w:jc w:val="right"/>
              <w:ind w:right="107"/>
              <w:spacing w:after="0"/>
              <w:rPr>
                <w:sz w:val="20"/>
                <w:szCs w:val="20"/>
                <w:color w:val="auto"/>
              </w:rPr>
            </w:pPr>
            <w:r>
              <w:rPr>
                <w:rFonts w:ascii="Arial" w:cs="Arial" w:eastAsia="Arial" w:hAnsi="Arial"/>
                <w:sz w:val="15"/>
                <w:szCs w:val="15"/>
                <w:color w:val="auto"/>
                <w:w w:val="71"/>
              </w:rPr>
              <w:t>$</w:t>
            </w:r>
          </w:p>
        </w:tc>
        <w:tc>
          <w:tcPr>
            <w:tcW w:w="1520" w:type="dxa"/>
            <w:vAlign w:val="bottom"/>
            <w:shd w:val="clear" w:color="auto" w:fill="CCEEFF"/>
          </w:tcPr>
          <w:p>
            <w:pPr>
              <w:jc w:val="right"/>
              <w:ind w:right="690"/>
              <w:spacing w:after="0"/>
              <w:rPr>
                <w:sz w:val="20"/>
                <w:szCs w:val="20"/>
                <w:color w:val="auto"/>
              </w:rPr>
            </w:pPr>
            <w:r>
              <w:rPr>
                <w:rFonts w:ascii="Arial" w:cs="Arial" w:eastAsia="Arial" w:hAnsi="Arial"/>
                <w:sz w:val="18"/>
                <w:szCs w:val="18"/>
                <w:color w:val="auto"/>
              </w:rPr>
              <w:t>25,249</w:t>
            </w:r>
          </w:p>
        </w:tc>
        <w:tc>
          <w:tcPr>
            <w:tcW w:w="6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91"/>
              </w:rPr>
              <w:t>100.0%</w:t>
            </w:r>
          </w:p>
        </w:tc>
        <w:tc>
          <w:tcPr>
            <w:tcW w:w="48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1360" w:type="dxa"/>
            <w:vAlign w:val="bottom"/>
            <w:shd w:val="clear" w:color="auto" w:fill="CCEEFF"/>
          </w:tcPr>
          <w:p>
            <w:pPr>
              <w:jc w:val="right"/>
              <w:ind w:right="690"/>
              <w:spacing w:after="0"/>
              <w:rPr>
                <w:sz w:val="20"/>
                <w:szCs w:val="20"/>
                <w:color w:val="auto"/>
              </w:rPr>
            </w:pPr>
            <w:r>
              <w:rPr>
                <w:rFonts w:ascii="Arial" w:cs="Arial" w:eastAsia="Arial" w:hAnsi="Arial"/>
                <w:sz w:val="18"/>
                <w:szCs w:val="18"/>
                <w:color w:val="auto"/>
              </w:rPr>
              <w:t>22,334</w:t>
            </w: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1"/>
              </w:rPr>
              <w:t>100.0%</w:t>
            </w:r>
          </w:p>
        </w:tc>
        <w:tc>
          <w:tcPr>
            <w:tcW w:w="160" w:type="dxa"/>
            <w:vAlign w:val="bottom"/>
            <w:shd w:val="clear" w:color="auto" w:fill="CCEEFF"/>
          </w:tcPr>
          <w:p>
            <w:pPr>
              <w:jc w:val="right"/>
              <w:ind w:right="7"/>
              <w:spacing w:after="0"/>
              <w:rPr>
                <w:sz w:val="20"/>
                <w:szCs w:val="20"/>
                <w:color w:val="auto"/>
              </w:rPr>
            </w:pPr>
            <w:r>
              <w:rPr>
                <w:rFonts w:ascii="Arial" w:cs="Arial" w:eastAsia="Arial" w:hAnsi="Arial"/>
                <w:sz w:val="15"/>
                <w:szCs w:val="15"/>
                <w:color w:val="auto"/>
                <w:w w:val="71"/>
              </w:rPr>
              <w:t>$</w:t>
            </w:r>
          </w:p>
        </w:tc>
        <w:tc>
          <w:tcPr>
            <w:tcW w:w="1240" w:type="dxa"/>
            <w:vAlign w:val="bottom"/>
            <w:shd w:val="clear" w:color="auto" w:fill="CCEEFF"/>
          </w:tcPr>
          <w:p>
            <w:pPr>
              <w:jc w:val="right"/>
              <w:ind w:right="310"/>
              <w:spacing w:after="0"/>
              <w:rPr>
                <w:sz w:val="20"/>
                <w:szCs w:val="20"/>
                <w:color w:val="auto"/>
              </w:rPr>
            </w:pPr>
            <w:r>
              <w:rPr>
                <w:rFonts w:ascii="Arial" w:cs="Arial" w:eastAsia="Arial" w:hAnsi="Arial"/>
                <w:sz w:val="18"/>
                <w:szCs w:val="18"/>
                <w:color w:val="auto"/>
              </w:rPr>
              <w:t>2,915</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13.1%</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2960" w:type="dxa"/>
            <w:vAlign w:val="bottom"/>
          </w:tcPr>
          <w:p>
            <w:pPr>
              <w:spacing w:after="0"/>
              <w:rPr>
                <w:sz w:val="20"/>
                <w:szCs w:val="20"/>
                <w:color w:val="auto"/>
              </w:rPr>
            </w:pPr>
            <w:r>
              <w:rPr>
                <w:rFonts w:ascii="Arial" w:cs="Arial" w:eastAsia="Arial" w:hAnsi="Arial"/>
                <w:sz w:val="18"/>
                <w:szCs w:val="18"/>
                <w:color w:val="auto"/>
              </w:rPr>
              <w:t>Operating expenses</w:t>
            </w:r>
          </w:p>
        </w:tc>
        <w:tc>
          <w:tcPr>
            <w:tcW w:w="260" w:type="dxa"/>
            <w:vAlign w:val="bottom"/>
          </w:tcPr>
          <w:p>
            <w:pPr>
              <w:spacing w:after="0"/>
              <w:rPr>
                <w:sz w:val="18"/>
                <w:szCs w:val="18"/>
                <w:color w:val="auto"/>
              </w:rPr>
            </w:pPr>
          </w:p>
        </w:tc>
        <w:tc>
          <w:tcPr>
            <w:tcW w:w="1520" w:type="dxa"/>
            <w:vAlign w:val="bottom"/>
          </w:tcPr>
          <w:p>
            <w:pPr>
              <w:jc w:val="right"/>
              <w:ind w:right="690"/>
              <w:spacing w:after="0"/>
              <w:rPr>
                <w:sz w:val="20"/>
                <w:szCs w:val="20"/>
                <w:color w:val="auto"/>
              </w:rPr>
            </w:pPr>
            <w:r>
              <w:rPr>
                <w:rFonts w:ascii="Arial" w:cs="Arial" w:eastAsia="Arial" w:hAnsi="Arial"/>
                <w:sz w:val="18"/>
                <w:szCs w:val="18"/>
                <w:color w:val="auto"/>
              </w:rPr>
              <w:t>24,919</w:t>
            </w:r>
          </w:p>
        </w:tc>
        <w:tc>
          <w:tcPr>
            <w:tcW w:w="620" w:type="dxa"/>
            <w:vAlign w:val="bottom"/>
            <w:gridSpan w:val="2"/>
          </w:tcPr>
          <w:p>
            <w:pPr>
              <w:jc w:val="right"/>
              <w:ind w:right="40"/>
              <w:spacing w:after="0"/>
              <w:rPr>
                <w:sz w:val="20"/>
                <w:szCs w:val="20"/>
                <w:color w:val="auto"/>
              </w:rPr>
            </w:pPr>
            <w:r>
              <w:rPr>
                <w:rFonts w:ascii="Arial" w:cs="Arial" w:eastAsia="Arial" w:hAnsi="Arial"/>
                <w:sz w:val="18"/>
                <w:szCs w:val="18"/>
                <w:color w:val="auto"/>
              </w:rPr>
              <w:t>98.7%</w:t>
            </w:r>
          </w:p>
        </w:tc>
        <w:tc>
          <w:tcPr>
            <w:tcW w:w="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360" w:type="dxa"/>
            <w:vAlign w:val="bottom"/>
          </w:tcPr>
          <w:p>
            <w:pPr>
              <w:jc w:val="right"/>
              <w:ind w:right="690"/>
              <w:spacing w:after="0"/>
              <w:rPr>
                <w:sz w:val="20"/>
                <w:szCs w:val="20"/>
                <w:color w:val="auto"/>
              </w:rPr>
            </w:pPr>
            <w:r>
              <w:rPr>
                <w:rFonts w:ascii="Arial" w:cs="Arial" w:eastAsia="Arial" w:hAnsi="Arial"/>
                <w:sz w:val="18"/>
                <w:szCs w:val="18"/>
                <w:color w:val="auto"/>
              </w:rPr>
              <w:t>22,560</w:t>
            </w: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w w:val="91"/>
              </w:rPr>
              <w:t>101.0%</w:t>
            </w:r>
          </w:p>
        </w:tc>
        <w:tc>
          <w:tcPr>
            <w:tcW w:w="160" w:type="dxa"/>
            <w:vAlign w:val="bottom"/>
          </w:tcPr>
          <w:p>
            <w:pPr>
              <w:spacing w:after="0"/>
              <w:rPr>
                <w:sz w:val="18"/>
                <w:szCs w:val="18"/>
                <w:color w:val="auto"/>
              </w:rPr>
            </w:pPr>
          </w:p>
        </w:tc>
        <w:tc>
          <w:tcPr>
            <w:tcW w:w="1240" w:type="dxa"/>
            <w:vAlign w:val="bottom"/>
          </w:tcPr>
          <w:p>
            <w:pPr>
              <w:jc w:val="right"/>
              <w:ind w:right="310"/>
              <w:spacing w:after="0"/>
              <w:rPr>
                <w:sz w:val="20"/>
                <w:szCs w:val="20"/>
                <w:color w:val="auto"/>
              </w:rPr>
            </w:pPr>
            <w:r>
              <w:rPr>
                <w:rFonts w:ascii="Arial" w:cs="Arial" w:eastAsia="Arial" w:hAnsi="Arial"/>
                <w:sz w:val="18"/>
                <w:szCs w:val="18"/>
                <w:color w:val="auto"/>
              </w:rPr>
              <w:t>2,359</w:t>
            </w:r>
          </w:p>
        </w:tc>
        <w:tc>
          <w:tcPr>
            <w:tcW w:w="920" w:type="dxa"/>
            <w:vAlign w:val="bottom"/>
            <w:gridSpan w:val="2"/>
          </w:tcPr>
          <w:p>
            <w:pPr>
              <w:jc w:val="right"/>
              <w:spacing w:after="0"/>
              <w:rPr>
                <w:sz w:val="20"/>
                <w:szCs w:val="20"/>
                <w:color w:val="auto"/>
              </w:rPr>
            </w:pPr>
            <w:r>
              <w:rPr>
                <w:rFonts w:ascii="Arial" w:cs="Arial" w:eastAsia="Arial" w:hAnsi="Arial"/>
                <w:sz w:val="18"/>
                <w:szCs w:val="18"/>
                <w:color w:val="auto"/>
              </w:rPr>
              <w:t>10.5%</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2960" w:type="dxa"/>
            <w:vAlign w:val="bottom"/>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spacing w:after="0"/>
              <w:rPr>
                <w:sz w:val="18"/>
                <w:szCs w:val="18"/>
                <w:color w:val="auto"/>
              </w:rPr>
            </w:pPr>
          </w:p>
        </w:tc>
        <w:tc>
          <w:tcPr>
            <w:tcW w:w="1520" w:type="dxa"/>
            <w:vAlign w:val="bottom"/>
            <w:tcBorders>
              <w:top w:val="single" w:sz="8" w:color="auto"/>
            </w:tcBorders>
            <w:shd w:val="clear" w:color="auto" w:fill="CCEEFF"/>
          </w:tcPr>
          <w:p>
            <w:pPr>
              <w:spacing w:after="0"/>
              <w:rPr>
                <w:sz w:val="18"/>
                <w:szCs w:val="18"/>
                <w:color w:val="auto"/>
              </w:rPr>
            </w:pPr>
          </w:p>
        </w:tc>
        <w:tc>
          <w:tcPr>
            <w:tcW w:w="420" w:type="dxa"/>
            <w:vAlign w:val="bottom"/>
            <w:tcBorders>
              <w:top w:val="single" w:sz="8" w:color="auto"/>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420" w:type="dxa"/>
            <w:vAlign w:val="bottom"/>
            <w:tcBorders>
              <w:top w:val="single" w:sz="8" w:color="auto"/>
            </w:tcBorders>
            <w:shd w:val="clear" w:color="auto" w:fill="CCEEFF"/>
          </w:tcPr>
          <w:p>
            <w:pPr>
              <w:spacing w:after="0"/>
              <w:rPr>
                <w:sz w:val="18"/>
                <w:szCs w:val="18"/>
                <w:color w:val="auto"/>
              </w:rPr>
            </w:pPr>
          </w:p>
        </w:tc>
        <w:tc>
          <w:tcPr>
            <w:tcW w:w="1360" w:type="dxa"/>
            <w:vAlign w:val="bottom"/>
            <w:tcBorders>
              <w:top w:val="single" w:sz="8" w:color="auto"/>
            </w:tcBorders>
            <w:shd w:val="clear" w:color="auto" w:fill="CCEEFF"/>
          </w:tcPr>
          <w:p>
            <w:pPr>
              <w:spacing w:after="0"/>
              <w:rPr>
                <w:sz w:val="18"/>
                <w:szCs w:val="18"/>
                <w:color w:val="auto"/>
              </w:rPr>
            </w:pPr>
          </w:p>
        </w:tc>
        <w:tc>
          <w:tcPr>
            <w:tcW w:w="420" w:type="dxa"/>
            <w:vAlign w:val="bottom"/>
            <w:tcBorders>
              <w:top w:val="single" w:sz="8" w:color="auto"/>
            </w:tcBorders>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1240" w:type="dxa"/>
            <w:vAlign w:val="bottom"/>
            <w:tcBorders>
              <w:top w:val="single" w:sz="8" w:color="auto"/>
            </w:tcBorders>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980" w:type="dxa"/>
            <w:vAlign w:val="bottom"/>
            <w:gridSpan w:val="2"/>
          </w:tcPr>
          <w:p>
            <w:pPr>
              <w:spacing w:after="0"/>
              <w:rPr>
                <w:sz w:val="20"/>
                <w:szCs w:val="20"/>
                <w:color w:val="auto"/>
              </w:rPr>
            </w:pPr>
            <w:r>
              <w:rPr>
                <w:rFonts w:ascii="Arial" w:cs="Arial" w:eastAsia="Arial" w:hAnsi="Arial"/>
                <w:sz w:val="18"/>
                <w:szCs w:val="18"/>
                <w:color w:val="auto"/>
              </w:rPr>
              <w:t>Income from operations</w:t>
            </w:r>
          </w:p>
        </w:tc>
        <w:tc>
          <w:tcPr>
            <w:tcW w:w="260" w:type="dxa"/>
            <w:vAlign w:val="bottom"/>
          </w:tcPr>
          <w:p>
            <w:pPr>
              <w:jc w:val="right"/>
              <w:ind w:right="107"/>
              <w:spacing w:after="0"/>
              <w:rPr>
                <w:sz w:val="20"/>
                <w:szCs w:val="20"/>
                <w:color w:val="auto"/>
              </w:rPr>
            </w:pPr>
            <w:r>
              <w:rPr>
                <w:rFonts w:ascii="Arial" w:cs="Arial" w:eastAsia="Arial" w:hAnsi="Arial"/>
                <w:sz w:val="15"/>
                <w:szCs w:val="15"/>
                <w:color w:val="auto"/>
                <w:w w:val="71"/>
              </w:rPr>
              <w:t>$</w:t>
            </w:r>
          </w:p>
        </w:tc>
        <w:tc>
          <w:tcPr>
            <w:tcW w:w="1520" w:type="dxa"/>
            <w:vAlign w:val="bottom"/>
          </w:tcPr>
          <w:p>
            <w:pPr>
              <w:jc w:val="right"/>
              <w:ind w:right="690"/>
              <w:spacing w:after="0"/>
              <w:rPr>
                <w:sz w:val="20"/>
                <w:szCs w:val="20"/>
                <w:color w:val="auto"/>
              </w:rPr>
            </w:pPr>
            <w:r>
              <w:rPr>
                <w:rFonts w:ascii="Arial" w:cs="Arial" w:eastAsia="Arial" w:hAnsi="Arial"/>
                <w:sz w:val="18"/>
                <w:szCs w:val="18"/>
                <w:color w:val="auto"/>
              </w:rPr>
              <w:t>330</w:t>
            </w:r>
          </w:p>
        </w:tc>
        <w:tc>
          <w:tcPr>
            <w:tcW w:w="620" w:type="dxa"/>
            <w:vAlign w:val="bottom"/>
            <w:gridSpan w:val="2"/>
          </w:tcPr>
          <w:p>
            <w:pPr>
              <w:jc w:val="right"/>
              <w:ind w:right="40"/>
              <w:spacing w:after="0"/>
              <w:rPr>
                <w:sz w:val="20"/>
                <w:szCs w:val="20"/>
                <w:color w:val="auto"/>
              </w:rPr>
            </w:pPr>
            <w:r>
              <w:rPr>
                <w:rFonts w:ascii="Arial" w:cs="Arial" w:eastAsia="Arial" w:hAnsi="Arial"/>
                <w:sz w:val="18"/>
                <w:szCs w:val="18"/>
                <w:color w:val="auto"/>
              </w:rPr>
              <w:t>1.3%</w:t>
            </w:r>
          </w:p>
        </w:tc>
        <w:tc>
          <w:tcPr>
            <w:tcW w:w="48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1360" w:type="dxa"/>
            <w:vAlign w:val="bottom"/>
          </w:tcPr>
          <w:p>
            <w:pPr>
              <w:jc w:val="right"/>
              <w:ind w:right="630"/>
              <w:spacing w:after="0"/>
              <w:rPr>
                <w:sz w:val="20"/>
                <w:szCs w:val="20"/>
                <w:color w:val="auto"/>
              </w:rPr>
            </w:pPr>
            <w:r>
              <w:rPr>
                <w:rFonts w:ascii="Arial" w:cs="Arial" w:eastAsia="Arial" w:hAnsi="Arial"/>
                <w:sz w:val="18"/>
                <w:szCs w:val="18"/>
                <w:color w:val="auto"/>
              </w:rPr>
              <w:t>(226)</w:t>
            </w: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-1.0%</w:t>
            </w:r>
          </w:p>
        </w:tc>
        <w:tc>
          <w:tcPr>
            <w:tcW w:w="160" w:type="dxa"/>
            <w:vAlign w:val="bottom"/>
          </w:tcPr>
          <w:p>
            <w:pPr>
              <w:jc w:val="right"/>
              <w:ind w:right="7"/>
              <w:spacing w:after="0"/>
              <w:rPr>
                <w:sz w:val="20"/>
                <w:szCs w:val="20"/>
                <w:color w:val="auto"/>
              </w:rPr>
            </w:pPr>
            <w:r>
              <w:rPr>
                <w:rFonts w:ascii="Arial" w:cs="Arial" w:eastAsia="Arial" w:hAnsi="Arial"/>
                <w:sz w:val="15"/>
                <w:szCs w:val="15"/>
                <w:color w:val="auto"/>
                <w:w w:val="71"/>
              </w:rPr>
              <w:t>$</w:t>
            </w:r>
          </w:p>
        </w:tc>
        <w:tc>
          <w:tcPr>
            <w:tcW w:w="1240" w:type="dxa"/>
            <w:vAlign w:val="bottom"/>
          </w:tcPr>
          <w:p>
            <w:pPr>
              <w:jc w:val="right"/>
              <w:ind w:right="310"/>
              <w:spacing w:after="0"/>
              <w:rPr>
                <w:sz w:val="20"/>
                <w:szCs w:val="20"/>
                <w:color w:val="auto"/>
              </w:rPr>
            </w:pPr>
            <w:r>
              <w:rPr>
                <w:rFonts w:ascii="Arial" w:cs="Arial" w:eastAsia="Arial" w:hAnsi="Arial"/>
                <w:sz w:val="18"/>
                <w:szCs w:val="18"/>
                <w:color w:val="auto"/>
              </w:rPr>
              <w:t>556</w:t>
            </w:r>
          </w:p>
        </w:tc>
        <w:tc>
          <w:tcPr>
            <w:tcW w:w="920" w:type="dxa"/>
            <w:vAlign w:val="bottom"/>
            <w:gridSpan w:val="2"/>
          </w:tcPr>
          <w:p>
            <w:pPr>
              <w:jc w:val="right"/>
              <w:ind w:right="120"/>
              <w:spacing w:after="0"/>
              <w:rPr>
                <w:sz w:val="20"/>
                <w:szCs w:val="20"/>
                <w:color w:val="auto"/>
              </w:rPr>
            </w:pPr>
            <w:r>
              <w:rPr>
                <w:rFonts w:ascii="Arial" w:cs="Arial" w:eastAsia="Arial" w:hAnsi="Arial"/>
                <w:sz w:val="18"/>
                <w:szCs w:val="18"/>
                <w:color w:val="auto"/>
              </w:rPr>
              <w:t>N/M</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96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52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Quarterly Analysis of Operations – Logistical Services</w:t>
      </w:r>
    </w:p>
    <w:p>
      <w:pPr>
        <w:spacing w:after="0" w:line="224" w:lineRule="exact"/>
        <w:rPr>
          <w:sz w:val="20"/>
          <w:szCs w:val="20"/>
          <w:color w:val="auto"/>
        </w:rPr>
      </w:pPr>
    </w:p>
    <w:p>
      <w:pPr>
        <w:jc w:val="both"/>
        <w:ind w:right="100"/>
        <w:spacing w:after="0" w:line="258" w:lineRule="auto"/>
        <w:rPr>
          <w:sz w:val="20"/>
          <w:szCs w:val="20"/>
          <w:color w:val="auto"/>
        </w:rPr>
      </w:pPr>
      <w:r>
        <w:rPr>
          <w:rFonts w:ascii="Arial" w:cs="Arial" w:eastAsia="Arial" w:hAnsi="Arial"/>
          <w:sz w:val="18"/>
          <w:szCs w:val="18"/>
          <w:color w:val="auto"/>
        </w:rPr>
        <w:t>Zenith’s 2018 increase in revenue over the first quarter of 2017 resulted from increases in both Bassett and non-Bassett customers. Zenith’s operating profit increased due primarily to improved load efficiency in the middle mile operation resulting in higher revenue per mile partially offset by increased fuel costs. Operating costs for the quarters ended February 24, 2018 and February 25, 2017 include non-cash depreciation and amortization charges of $1,073 and $1,235, respectively.</w:t>
      </w:r>
    </w:p>
    <w:p>
      <w:pPr>
        <w:spacing w:after="0" w:line="187" w:lineRule="exact"/>
        <w:rPr>
          <w:sz w:val="20"/>
          <w:szCs w:val="20"/>
          <w:color w:val="auto"/>
        </w:rPr>
      </w:pPr>
    </w:p>
    <w:p>
      <w:pPr>
        <w:jc w:val="center"/>
        <w:ind w:right="100"/>
        <w:spacing w:after="0"/>
        <w:rPr>
          <w:sz w:val="20"/>
          <w:szCs w:val="20"/>
          <w:color w:val="auto"/>
        </w:rPr>
      </w:pPr>
      <w:r>
        <w:rPr>
          <w:rFonts w:ascii="Arial" w:cs="Arial" w:eastAsia="Arial" w:hAnsi="Arial"/>
          <w:sz w:val="18"/>
          <w:szCs w:val="18"/>
          <w:color w:val="auto"/>
        </w:rPr>
        <w:t>31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82550</wp:posOffset>
            </wp:positionV>
            <wp:extent cx="7247255" cy="171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47255" cy="17145"/>
                    </a:xfrm>
                    <a:prstGeom prst="rect">
                      <a:avLst/>
                    </a:prstGeom>
                    <a:noFill/>
                  </pic:spPr>
                </pic:pic>
              </a:graphicData>
            </a:graphic>
          </wp:anchor>
        </w:drawing>
      </w:r>
    </w:p>
    <w:p>
      <w:pPr>
        <w:sectPr>
          <w:pgSz w:w="11900" w:h="16838" w:orient="portrait"/>
          <w:cols w:equalWidth="0" w:num="1">
            <w:col w:w="11520"/>
          </w:cols>
          <w:pgMar w:left="240" w:top="583" w:right="139" w:bottom="1440" w:gutter="0" w:footer="0" w:header="0"/>
        </w:sectPr>
      </w:pPr>
    </w:p>
    <w:bookmarkStart w:id="31" w:name="page32"/>
    <w:bookmarkEnd w:id="31"/>
    <w:p>
      <w:pPr>
        <w:jc w:val="center"/>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FEBRUARY 24, 2018</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0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Other Items Affecting Net Income (Loss)</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Other Loss, Net</w:t>
      </w:r>
    </w:p>
    <w:p>
      <w:pPr>
        <w:spacing w:after="0" w:line="224" w:lineRule="exact"/>
        <w:rPr>
          <w:sz w:val="20"/>
          <w:szCs w:val="20"/>
          <w:color w:val="auto"/>
        </w:rPr>
      </w:pPr>
    </w:p>
    <w:p>
      <w:pPr>
        <w:jc w:val="both"/>
        <w:spacing w:after="0" w:line="262" w:lineRule="auto"/>
        <w:rPr>
          <w:sz w:val="20"/>
          <w:szCs w:val="20"/>
          <w:color w:val="auto"/>
        </w:rPr>
      </w:pPr>
      <w:r>
        <w:rPr>
          <w:rFonts w:ascii="Arial" w:cs="Arial" w:eastAsia="Arial" w:hAnsi="Arial"/>
          <w:sz w:val="18"/>
          <w:szCs w:val="18"/>
          <w:color w:val="auto"/>
        </w:rPr>
        <w:t>Other loss, net, for the quarter ended February 24, 2018 was $627 as compared to $733 for the quarter ended February 25, 2017. This decrease is primarily attributable to lower interest expense due to overall lower levels of debt and increased interest income due to rising yields on our short-term investments compared to the prior year period.</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Income Taxes and Impact of Tax Cuts and Jobs Act</w:t>
      </w:r>
    </w:p>
    <w:p>
      <w:pPr>
        <w:spacing w:after="0" w:line="224" w:lineRule="exact"/>
        <w:rPr>
          <w:sz w:val="20"/>
          <w:szCs w:val="20"/>
          <w:color w:val="auto"/>
        </w:rPr>
      </w:pPr>
    </w:p>
    <w:p>
      <w:pPr>
        <w:jc w:val="both"/>
        <w:spacing w:after="0" w:line="262" w:lineRule="auto"/>
        <w:rPr>
          <w:sz w:val="20"/>
          <w:szCs w:val="20"/>
          <w:color w:val="auto"/>
        </w:rPr>
      </w:pPr>
      <w:r>
        <w:rPr>
          <w:rFonts w:ascii="Arial" w:cs="Arial" w:eastAsia="Arial" w:hAnsi="Arial"/>
          <w:sz w:val="18"/>
          <w:szCs w:val="18"/>
          <w:color w:val="auto"/>
        </w:rPr>
        <w:t>We calculate an anticipated effective tax rate for the year based on our annual estimates of pretax income and use that effective tax rate to record our year-to-date income tax provision. Any change in annual projections of pretax income could have a significant impact on our effective tax rate for the respective quarter.</w:t>
      </w:r>
    </w:p>
    <w:p>
      <w:pPr>
        <w:spacing w:after="0" w:line="183" w:lineRule="exact"/>
        <w:rPr>
          <w:sz w:val="20"/>
          <w:szCs w:val="20"/>
          <w:color w:val="auto"/>
        </w:rPr>
      </w:pPr>
    </w:p>
    <w:p>
      <w:pPr>
        <w:jc w:val="both"/>
        <w:spacing w:after="0" w:line="256" w:lineRule="auto"/>
        <w:rPr>
          <w:sz w:val="20"/>
          <w:szCs w:val="20"/>
          <w:color w:val="auto"/>
        </w:rPr>
      </w:pPr>
      <w:r>
        <w:rPr>
          <w:rFonts w:ascii="Arial" w:cs="Arial" w:eastAsia="Arial" w:hAnsi="Arial"/>
          <w:sz w:val="18"/>
          <w:szCs w:val="18"/>
          <w:color w:val="auto"/>
        </w:rPr>
        <w:t>On December 22, 2017 the Tax Cuts and Jobs Act (the “Act”) was signed into law. The Act reduced the Federal statutory corporate income tax rate from 35% to 21% effective January 1, 2018 for all corporate taxpayers, while most other provisions of the Act take effect for fiscal years beginning on or after January 1, 2018. Therefore, we will compute our income tax expense for fiscal 2018 using a blended Federal statutory rate of 22.2%. The 21% Federal statutory rate, as well as certain other provisions of the Act including the elimination of the domestic manufacturing deduction and new limitations on certain business deductions, will apply to our 2019 fiscal year and thereafter.</w:t>
      </w:r>
    </w:p>
    <w:p>
      <w:pPr>
        <w:spacing w:after="0" w:line="188" w:lineRule="exact"/>
        <w:rPr>
          <w:sz w:val="20"/>
          <w:szCs w:val="20"/>
          <w:color w:val="auto"/>
        </w:rPr>
      </w:pPr>
    </w:p>
    <w:p>
      <w:pPr>
        <w:jc w:val="both"/>
        <w:spacing w:after="0" w:line="256" w:lineRule="auto"/>
        <w:rPr>
          <w:sz w:val="20"/>
          <w:szCs w:val="20"/>
          <w:color w:val="auto"/>
        </w:rPr>
      </w:pPr>
      <w:r>
        <w:rPr>
          <w:rFonts w:ascii="Arial" w:cs="Arial" w:eastAsia="Arial" w:hAnsi="Arial"/>
          <w:sz w:val="18"/>
          <w:szCs w:val="18"/>
          <w:color w:val="auto"/>
        </w:rPr>
        <w:t>The Federal rate reduction has had a significant impact on our provision for income taxes for the quarter ended February 24, 2018. Our effective tax rate for the quarter ended February 24, 2018 of 164.2% differs from the fiscal 2018 blended Federal statutory rate of 22.2% primarily due to a $2,157 discrete charge arising from the re-measurement of our deferred tax assets. Other items impacting our effective tax rate for the quarter include the effects of state income taxes and various permanent differences including the favorable impacts of excess tax benefits on stock-based compensation of $181 and the Section 199: Domestic Production Activities Deduction.</w:t>
      </w:r>
    </w:p>
    <w:p>
      <w:pPr>
        <w:spacing w:after="0" w:line="188" w:lineRule="exact"/>
        <w:rPr>
          <w:sz w:val="20"/>
          <w:szCs w:val="20"/>
          <w:color w:val="auto"/>
        </w:rPr>
      </w:pPr>
    </w:p>
    <w:p>
      <w:pPr>
        <w:jc w:val="both"/>
        <w:spacing w:after="0" w:line="278" w:lineRule="auto"/>
        <w:rPr>
          <w:sz w:val="20"/>
          <w:szCs w:val="20"/>
          <w:color w:val="auto"/>
        </w:rPr>
      </w:pPr>
      <w:r>
        <w:rPr>
          <w:rFonts w:ascii="Arial" w:cs="Arial" w:eastAsia="Arial" w:hAnsi="Arial"/>
          <w:sz w:val="17"/>
          <w:szCs w:val="17"/>
          <w:color w:val="auto"/>
        </w:rPr>
        <w:t>The charge for the re-measurement of our deferred tax assets was based on reasonable estimates and therefore has been recorded as a provisional amount. We may alter our estimates during the remainder of fiscal 2018 as we continue to process data to finalize the underlying calculations and also analyze other provisions of the Act to determine if they will impact our effective tax rate in fiscal 2018 or in the future. We will continue to refine our adjustments through the permissible measurement period, which is not to extend beyond one year from the enactment date.</w:t>
      </w:r>
    </w:p>
    <w:p>
      <w:pPr>
        <w:spacing w:after="0" w:line="171" w:lineRule="exact"/>
        <w:rPr>
          <w:sz w:val="20"/>
          <w:szCs w:val="20"/>
          <w:color w:val="auto"/>
        </w:rPr>
      </w:pPr>
    </w:p>
    <w:p>
      <w:pPr>
        <w:jc w:val="both"/>
        <w:spacing w:after="0" w:line="262" w:lineRule="auto"/>
        <w:rPr>
          <w:sz w:val="20"/>
          <w:szCs w:val="20"/>
          <w:color w:val="auto"/>
        </w:rPr>
      </w:pPr>
      <w:r>
        <w:rPr>
          <w:rFonts w:ascii="Arial" w:cs="Arial" w:eastAsia="Arial" w:hAnsi="Arial"/>
          <w:sz w:val="18"/>
          <w:szCs w:val="18"/>
          <w:color w:val="auto"/>
        </w:rPr>
        <w:t>Our effective tax rate for the quarter ended February 25, 2017 of 27.2% differed from the federal statutory rate of 35% primarily due to the effects of state income taxes and various permanent differences including the favorable impacts of excess tax benefits on stock-based compensation of $327 and the Section 199: Domestic Production Activities Deduction.</w:t>
      </w:r>
    </w:p>
    <w:p>
      <w:pPr>
        <w:spacing w:after="0" w:line="18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32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82550</wp:posOffset>
            </wp:positionV>
            <wp:extent cx="7247255" cy="171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47255" cy="17145"/>
                    </a:xfrm>
                    <a:prstGeom prst="rect">
                      <a:avLst/>
                    </a:prstGeom>
                    <a:noFill/>
                  </pic:spPr>
                </pic:pic>
              </a:graphicData>
            </a:graphic>
          </wp:anchor>
        </w:drawing>
      </w:r>
    </w:p>
    <w:p>
      <w:pPr>
        <w:sectPr>
          <w:pgSz w:w="11900" w:h="16838" w:orient="portrait"/>
          <w:cols w:equalWidth="0" w:num="1">
            <w:col w:w="11420"/>
          </w:cols>
          <w:pgMar w:left="240" w:top="583" w:right="239" w:bottom="1440" w:gutter="0" w:footer="0" w:header="0"/>
        </w:sectPr>
      </w:pPr>
    </w:p>
    <w:bookmarkStart w:id="32" w:name="page33"/>
    <w:bookmarkEnd w:id="32"/>
    <w:p>
      <w:pPr>
        <w:jc w:val="center"/>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FEBRUARY 24, 2018</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0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228" w:lineRule="exact"/>
        <w:rPr>
          <w:sz w:val="20"/>
          <w:szCs w:val="20"/>
          <w:color w:val="auto"/>
        </w:rPr>
      </w:pPr>
    </w:p>
    <w:p>
      <w:pPr>
        <w:jc w:val="both"/>
        <w:spacing w:after="0" w:line="276" w:lineRule="auto"/>
        <w:rPr>
          <w:sz w:val="20"/>
          <w:szCs w:val="20"/>
          <w:color w:val="auto"/>
        </w:rPr>
      </w:pPr>
      <w:r>
        <w:rPr>
          <w:rFonts w:ascii="Arial" w:cs="Arial" w:eastAsia="Arial" w:hAnsi="Arial"/>
          <w:sz w:val="18"/>
          <w:szCs w:val="18"/>
          <w:color w:val="auto"/>
        </w:rPr>
        <w:t>We are committed to maintaining a strong balance sheet in order to weather difficult industry conditions, to allow us to take advantage of opportunities as market conditions improve, and to execute our long-term retail strategies.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Cash Flows</w:t>
      </w:r>
    </w:p>
    <w:p>
      <w:pPr>
        <w:spacing w:after="0" w:line="224" w:lineRule="exact"/>
        <w:rPr>
          <w:sz w:val="20"/>
          <w:szCs w:val="20"/>
          <w:color w:val="auto"/>
        </w:rPr>
      </w:pPr>
    </w:p>
    <w:p>
      <w:pPr>
        <w:jc w:val="both"/>
        <w:spacing w:after="0" w:line="262" w:lineRule="auto"/>
        <w:rPr>
          <w:sz w:val="20"/>
          <w:szCs w:val="20"/>
          <w:color w:val="auto"/>
        </w:rPr>
      </w:pPr>
      <w:r>
        <w:rPr>
          <w:rFonts w:ascii="Arial" w:cs="Arial" w:eastAsia="Arial" w:hAnsi="Arial"/>
          <w:sz w:val="18"/>
          <w:szCs w:val="18"/>
          <w:color w:val="auto"/>
        </w:rPr>
        <w:t>Cash flow from operations for the first quarter of 2018 was a net use of $1,399 compared to cash provided by operations of $2,077 for the first quarter of 2017, representing a decrease of $3,476 in cash flows from operations. This decrease is primarily due to changes in working capital from increases in inventory.</w:t>
      </w:r>
    </w:p>
    <w:p>
      <w:pPr>
        <w:spacing w:after="0" w:line="183" w:lineRule="exact"/>
        <w:rPr>
          <w:sz w:val="20"/>
          <w:szCs w:val="20"/>
          <w:color w:val="auto"/>
        </w:rPr>
      </w:pPr>
    </w:p>
    <w:p>
      <w:pPr>
        <w:jc w:val="both"/>
        <w:spacing w:after="0" w:line="295" w:lineRule="auto"/>
        <w:rPr>
          <w:sz w:val="20"/>
          <w:szCs w:val="20"/>
          <w:color w:val="auto"/>
        </w:rPr>
      </w:pPr>
      <w:r>
        <w:rPr>
          <w:rFonts w:ascii="Arial" w:cs="Arial" w:eastAsia="Arial" w:hAnsi="Arial"/>
          <w:sz w:val="16"/>
          <w:szCs w:val="16"/>
          <w:color w:val="auto"/>
        </w:rPr>
        <w:t>Our overall cash position decreased by $29,639 during the first quarter of 2018. In addition to cash used in operations, we used $19,514 of cash in investing activities, primarily consisting of our $15,556 investment in Lane Venture and capital expenditures which included retail store relocations, retail store remodels, in-process spending on new stores, and expanding and upgrading our manufacturing capabilities. Net cash used in financing activities was $8,726, including dividend payments of $4,942 and the final $3,000 installment payment on our Zenith acquisition note payable. With cash and cash equivalents and short-term investments totaling $47,435 on hand at February 24, 2018, we believe we have sufficient liquidity to fund operations for the foreseeable future.</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Debt and Other Obligations</w:t>
      </w:r>
    </w:p>
    <w:p>
      <w:pPr>
        <w:spacing w:after="0" w:line="224" w:lineRule="exact"/>
        <w:rPr>
          <w:sz w:val="20"/>
          <w:szCs w:val="20"/>
          <w:color w:val="auto"/>
        </w:rPr>
      </w:pPr>
    </w:p>
    <w:p>
      <w:pPr>
        <w:jc w:val="both"/>
        <w:spacing w:after="0" w:line="278" w:lineRule="auto"/>
        <w:rPr>
          <w:sz w:val="20"/>
          <w:szCs w:val="20"/>
          <w:color w:val="auto"/>
        </w:rPr>
      </w:pPr>
      <w:r>
        <w:rPr>
          <w:rFonts w:ascii="Arial" w:cs="Arial" w:eastAsia="Arial" w:hAnsi="Arial"/>
          <w:sz w:val="17"/>
          <w:szCs w:val="17"/>
          <w:color w:val="auto"/>
        </w:rPr>
        <w:t>Our credit facility with our bank provides for a line of credit of up to $15,000. This credit facility, which matures in December of 2018, is unsecured and contains covenants requiring us to maintain certain key financial ratios. We are in compliance with all covenants under the agreement and expect to remain in compliance for the foreseeable future. At February 24, 2018, we had $2,249 outstanding under standby letters of credit against our line, leaving availability under our credit line of $12,751. In addition, we have outstanding standby letters of credit with another bank totaling $511.</w:t>
      </w:r>
    </w:p>
    <w:p>
      <w:pPr>
        <w:spacing w:after="0" w:line="171" w:lineRule="exact"/>
        <w:rPr>
          <w:sz w:val="20"/>
          <w:szCs w:val="20"/>
          <w:color w:val="auto"/>
        </w:rPr>
      </w:pPr>
    </w:p>
    <w:p>
      <w:pPr>
        <w:jc w:val="both"/>
        <w:spacing w:after="0" w:line="262" w:lineRule="auto"/>
        <w:rPr>
          <w:sz w:val="20"/>
          <w:szCs w:val="20"/>
          <w:color w:val="auto"/>
        </w:rPr>
      </w:pPr>
      <w:r>
        <w:rPr>
          <w:rFonts w:ascii="Arial" w:cs="Arial" w:eastAsia="Arial" w:hAnsi="Arial"/>
          <w:sz w:val="18"/>
          <w:szCs w:val="18"/>
          <w:color w:val="auto"/>
        </w:rPr>
        <w:t>At February 24, 2018 we have outstanding principal totaling $645 under notes payable of which $425 matures within one year of the balance sheet date. See Note 8 to our condensed consolidated financial statements for additional details regarding these notes, including collateral and future maturities. We expect to satisfy these obligations as they mature using cash flow from operations or our available cash on hand.</w:t>
      </w:r>
    </w:p>
    <w:p>
      <w:pPr>
        <w:spacing w:after="0" w:line="183" w:lineRule="exact"/>
        <w:rPr>
          <w:sz w:val="20"/>
          <w:szCs w:val="20"/>
          <w:color w:val="auto"/>
        </w:rPr>
      </w:pPr>
    </w:p>
    <w:p>
      <w:pPr>
        <w:jc w:val="both"/>
        <w:spacing w:after="0" w:line="271" w:lineRule="auto"/>
        <w:rPr>
          <w:sz w:val="20"/>
          <w:szCs w:val="20"/>
          <w:color w:val="auto"/>
        </w:rPr>
      </w:pPr>
      <w:r>
        <w:rPr>
          <w:rFonts w:ascii="Arial" w:cs="Arial" w:eastAsia="Arial" w:hAnsi="Arial"/>
          <w:sz w:val="17"/>
          <w:szCs w:val="17"/>
          <w:color w:val="auto"/>
        </w:rPr>
        <w:t>We lease land and buildings that are used in the operation of our Company-owned retail stores as well as in the operation of certain of our licensee-owned stores, and we lease land and buildings at various locations throughout the continental United States for warehousing and distribution hubs used in our logistical services segment. We also lease tractors, trailers and local delivery trucks used in our logistical services segment. We had obligations of $181,880 at February 24, 2018 for future minimum lease payments under non-cancelable operating leases having remaining terms in excess of one year. We also have guaranteed certain lease obligations of licensee operators. Remaining terms under these lease guarantees range from approximately one to five years. We were contingently liable under licensee lease obligation guarantees in the amount of $2,552 at February 24, 2018. See Note 10 to our condensed consolidated financial statements for additional details regarding our leases and lease guarantees.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Investment in Retail Real Estate</w:t>
      </w:r>
    </w:p>
    <w:p>
      <w:pPr>
        <w:spacing w:after="0" w:line="224" w:lineRule="exact"/>
        <w:rPr>
          <w:sz w:val="20"/>
          <w:szCs w:val="20"/>
          <w:color w:val="auto"/>
        </w:rPr>
      </w:pPr>
    </w:p>
    <w:p>
      <w:pPr>
        <w:jc w:val="both"/>
        <w:spacing w:after="0" w:line="295" w:lineRule="auto"/>
        <w:rPr>
          <w:sz w:val="20"/>
          <w:szCs w:val="20"/>
          <w:color w:val="auto"/>
        </w:rPr>
      </w:pPr>
      <w:r>
        <w:rPr>
          <w:rFonts w:ascii="Arial" w:cs="Arial" w:eastAsia="Arial" w:hAnsi="Arial"/>
          <w:sz w:val="16"/>
          <w:szCs w:val="16"/>
          <w:color w:val="auto"/>
        </w:rPr>
        <w:t>We have a substantial investment in real estate acquired for use as retail locations. To the extent such real estate is occupied by Company-owned retail stores, it is included in property and equipment, net, in the accompanying condensed consolidated balance sheets and is considered part of our retail segment. The net book value of such retail real estate occupied by Company-owned stores was $22,652 at February 24, 2018. All other retail real estate that we own, consisting of locations formerly leased to our licensees and now leased to others, is included in other assets in the accompanying condensed consolidated balance sheets. The net book value of such real estate, which is considered part of our wholesale segment, was $1,732 at February 24, 2018.</w:t>
      </w:r>
    </w:p>
    <w:p>
      <w:pPr>
        <w:spacing w:after="0" w:line="16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82550</wp:posOffset>
            </wp:positionV>
            <wp:extent cx="7247255" cy="171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47255" cy="17145"/>
                    </a:xfrm>
                    <a:prstGeom prst="rect">
                      <a:avLst/>
                    </a:prstGeom>
                    <a:noFill/>
                  </pic:spPr>
                </pic:pic>
              </a:graphicData>
            </a:graphic>
          </wp:anchor>
        </w:drawing>
      </w:r>
    </w:p>
    <w:p>
      <w:pPr>
        <w:sectPr>
          <w:pgSz w:w="11900" w:h="16838" w:orient="portrait"/>
          <w:cols w:equalWidth="0" w:num="1">
            <w:col w:w="11420"/>
          </w:cols>
          <w:pgMar w:left="240" w:top="583" w:right="239" w:bottom="1440" w:gutter="0" w:footer="0" w:header="0"/>
        </w:sectPr>
      </w:pPr>
    </w:p>
    <w:bookmarkStart w:id="33" w:name="page34"/>
    <w:bookmarkEnd w:id="33"/>
    <w:p>
      <w:pPr>
        <w:jc w:val="center"/>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FEBRUARY 24, 2018</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0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600" w:type="dxa"/>
            <w:vAlign w:val="bottom"/>
            <w:gridSpan w:val="3"/>
          </w:tcPr>
          <w:p>
            <w:pPr>
              <w:jc w:val="right"/>
              <w:ind w:right="230"/>
              <w:spacing w:after="0"/>
              <w:rPr>
                <w:sz w:val="20"/>
                <w:szCs w:val="20"/>
                <w:color w:val="auto"/>
              </w:rPr>
            </w:pPr>
            <w:r>
              <w:rPr>
                <w:rFonts w:ascii="Arial" w:cs="Arial" w:eastAsia="Arial" w:hAnsi="Arial"/>
                <w:sz w:val="18"/>
                <w:szCs w:val="18"/>
                <w:color w:val="auto"/>
                <w:w w:val="90"/>
              </w:rPr>
              <w:t>The following table summarizes our total investment in retail real estate owned at February 24, 2018:</w:t>
            </w:r>
          </w:p>
        </w:tc>
        <w:tc>
          <w:tcPr>
            <w:tcW w:w="15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16"/>
        </w:trPr>
        <w:tc>
          <w:tcPr>
            <w:tcW w:w="660" w:type="dxa"/>
            <w:vAlign w:val="bottom"/>
          </w:tcPr>
          <w:p>
            <w:pPr>
              <w:spacing w:after="0"/>
              <w:rPr>
                <w:sz w:val="24"/>
                <w:szCs w:val="24"/>
                <w:color w:val="auto"/>
              </w:rPr>
            </w:pPr>
          </w:p>
        </w:tc>
        <w:tc>
          <w:tcPr>
            <w:tcW w:w="5220" w:type="dxa"/>
            <w:vAlign w:val="bottom"/>
          </w:tcPr>
          <w:p>
            <w:pPr>
              <w:spacing w:after="0"/>
              <w:rPr>
                <w:sz w:val="24"/>
                <w:szCs w:val="24"/>
                <w:color w:val="auto"/>
              </w:rPr>
            </w:pPr>
          </w:p>
        </w:tc>
        <w:tc>
          <w:tcPr>
            <w:tcW w:w="1720" w:type="dxa"/>
            <w:vAlign w:val="bottom"/>
          </w:tcPr>
          <w:p>
            <w:pPr>
              <w:jc w:val="right"/>
              <w:ind w:right="470"/>
              <w:spacing w:after="0"/>
              <w:rPr>
                <w:sz w:val="20"/>
                <w:szCs w:val="20"/>
                <w:color w:val="auto"/>
              </w:rPr>
            </w:pPr>
            <w:r>
              <w:rPr>
                <w:rFonts w:ascii="Arial" w:cs="Arial" w:eastAsia="Arial" w:hAnsi="Arial"/>
                <w:sz w:val="18"/>
                <w:szCs w:val="18"/>
                <w:color w:val="auto"/>
              </w:rPr>
              <w:t>Number of</w:t>
            </w:r>
          </w:p>
        </w:tc>
        <w:tc>
          <w:tcPr>
            <w:tcW w:w="1700" w:type="dxa"/>
            <w:vAlign w:val="bottom"/>
            <w:gridSpan w:val="2"/>
          </w:tcPr>
          <w:p>
            <w:pPr>
              <w:jc w:val="center"/>
              <w:ind w:right="180"/>
              <w:spacing w:after="0"/>
              <w:rPr>
                <w:sz w:val="20"/>
                <w:szCs w:val="20"/>
                <w:color w:val="auto"/>
              </w:rPr>
            </w:pPr>
            <w:r>
              <w:rPr>
                <w:rFonts w:ascii="Arial" w:cs="Arial" w:eastAsia="Arial" w:hAnsi="Arial"/>
                <w:sz w:val="18"/>
                <w:szCs w:val="18"/>
                <w:color w:val="auto"/>
                <w:w w:val="91"/>
              </w:rPr>
              <w:t>Aggregate</w:t>
            </w:r>
          </w:p>
        </w:tc>
        <w:tc>
          <w:tcPr>
            <w:tcW w:w="260" w:type="dxa"/>
            <w:vAlign w:val="bottom"/>
          </w:tcPr>
          <w:p>
            <w:pPr>
              <w:spacing w:after="0"/>
              <w:rPr>
                <w:sz w:val="24"/>
                <w:szCs w:val="24"/>
                <w:color w:val="auto"/>
              </w:rPr>
            </w:pPr>
          </w:p>
        </w:tc>
        <w:tc>
          <w:tcPr>
            <w:tcW w:w="1360" w:type="dxa"/>
            <w:vAlign w:val="bottom"/>
            <w:gridSpan w:val="2"/>
          </w:tcPr>
          <w:p>
            <w:pPr>
              <w:jc w:val="right"/>
              <w:ind w:right="500"/>
              <w:spacing w:after="0"/>
              <w:rPr>
                <w:sz w:val="20"/>
                <w:szCs w:val="20"/>
                <w:color w:val="auto"/>
              </w:rPr>
            </w:pPr>
            <w:r>
              <w:rPr>
                <w:rFonts w:ascii="Arial" w:cs="Arial" w:eastAsia="Arial" w:hAnsi="Arial"/>
                <w:sz w:val="18"/>
                <w:szCs w:val="18"/>
                <w:color w:val="auto"/>
              </w:rPr>
              <w:t>Net Book</w:t>
            </w:r>
          </w:p>
        </w:tc>
        <w:tc>
          <w:tcPr>
            <w:tcW w:w="0" w:type="dxa"/>
            <w:vAlign w:val="bottom"/>
          </w:tcPr>
          <w:p>
            <w:pPr>
              <w:spacing w:after="0"/>
              <w:rPr>
                <w:sz w:val="1"/>
                <w:szCs w:val="1"/>
                <w:color w:val="auto"/>
              </w:rPr>
            </w:pPr>
          </w:p>
        </w:tc>
      </w:tr>
      <w:tr>
        <w:trPr>
          <w:trHeight w:val="230"/>
        </w:trPr>
        <w:tc>
          <w:tcPr>
            <w:tcW w:w="660" w:type="dxa"/>
            <w:vAlign w:val="bottom"/>
          </w:tcPr>
          <w:p>
            <w:pPr>
              <w:spacing w:after="0"/>
              <w:rPr>
                <w:sz w:val="19"/>
                <w:szCs w:val="19"/>
                <w:color w:val="auto"/>
              </w:rPr>
            </w:pPr>
          </w:p>
        </w:tc>
        <w:tc>
          <w:tcPr>
            <w:tcW w:w="5220" w:type="dxa"/>
            <w:vAlign w:val="bottom"/>
          </w:tcPr>
          <w:p>
            <w:pPr>
              <w:spacing w:after="0"/>
              <w:rPr>
                <w:sz w:val="19"/>
                <w:szCs w:val="19"/>
                <w:color w:val="auto"/>
              </w:rPr>
            </w:pPr>
          </w:p>
        </w:tc>
        <w:tc>
          <w:tcPr>
            <w:tcW w:w="1720" w:type="dxa"/>
            <w:vAlign w:val="bottom"/>
          </w:tcPr>
          <w:p>
            <w:pPr>
              <w:jc w:val="right"/>
              <w:ind w:right="510"/>
              <w:spacing w:after="0"/>
              <w:rPr>
                <w:sz w:val="20"/>
                <w:szCs w:val="20"/>
                <w:color w:val="auto"/>
              </w:rPr>
            </w:pPr>
            <w:r>
              <w:rPr>
                <w:rFonts w:ascii="Arial" w:cs="Arial" w:eastAsia="Arial" w:hAnsi="Arial"/>
                <w:sz w:val="18"/>
                <w:szCs w:val="18"/>
                <w:color w:val="auto"/>
              </w:rPr>
              <w:t>Locations</w:t>
            </w:r>
          </w:p>
        </w:tc>
        <w:tc>
          <w:tcPr>
            <w:tcW w:w="1700" w:type="dxa"/>
            <w:vAlign w:val="bottom"/>
            <w:gridSpan w:val="2"/>
          </w:tcPr>
          <w:p>
            <w:pPr>
              <w:jc w:val="center"/>
              <w:ind w:right="180"/>
              <w:spacing w:after="0"/>
              <w:rPr>
                <w:sz w:val="20"/>
                <w:szCs w:val="20"/>
                <w:color w:val="auto"/>
              </w:rPr>
            </w:pPr>
            <w:r>
              <w:rPr>
                <w:rFonts w:ascii="Arial" w:cs="Arial" w:eastAsia="Arial" w:hAnsi="Arial"/>
                <w:sz w:val="18"/>
                <w:szCs w:val="18"/>
                <w:color w:val="auto"/>
                <w:w w:val="86"/>
              </w:rPr>
              <w:t>Square Footage</w:t>
            </w:r>
          </w:p>
        </w:tc>
        <w:tc>
          <w:tcPr>
            <w:tcW w:w="260" w:type="dxa"/>
            <w:vAlign w:val="bottom"/>
          </w:tcPr>
          <w:p>
            <w:pPr>
              <w:spacing w:after="0"/>
              <w:rPr>
                <w:sz w:val="19"/>
                <w:szCs w:val="19"/>
                <w:color w:val="auto"/>
              </w:rPr>
            </w:pPr>
          </w:p>
        </w:tc>
        <w:tc>
          <w:tcPr>
            <w:tcW w:w="1360" w:type="dxa"/>
            <w:vAlign w:val="bottom"/>
            <w:gridSpan w:val="2"/>
          </w:tcPr>
          <w:p>
            <w:pPr>
              <w:jc w:val="right"/>
              <w:ind w:right="640"/>
              <w:spacing w:after="0"/>
              <w:rPr>
                <w:sz w:val="20"/>
                <w:szCs w:val="20"/>
                <w:color w:val="auto"/>
              </w:rPr>
            </w:pPr>
            <w:r>
              <w:rPr>
                <w:rFonts w:ascii="Arial" w:cs="Arial" w:eastAsia="Arial" w:hAnsi="Arial"/>
                <w:sz w:val="18"/>
                <w:szCs w:val="18"/>
                <w:color w:val="auto"/>
              </w:rPr>
              <w:t>Value</w:t>
            </w:r>
          </w:p>
        </w:tc>
        <w:tc>
          <w:tcPr>
            <w:tcW w:w="0" w:type="dxa"/>
            <w:vAlign w:val="bottom"/>
          </w:tcPr>
          <w:p>
            <w:pPr>
              <w:spacing w:after="0"/>
              <w:rPr>
                <w:sz w:val="1"/>
                <w:szCs w:val="1"/>
                <w:color w:val="auto"/>
              </w:rPr>
            </w:pPr>
          </w:p>
        </w:tc>
      </w:tr>
      <w:tr>
        <w:trPr>
          <w:trHeight w:val="209"/>
        </w:trPr>
        <w:tc>
          <w:tcPr>
            <w:tcW w:w="660" w:type="dxa"/>
            <w:vAlign w:val="bottom"/>
            <w:vMerge w:val="restart"/>
          </w:tcPr>
          <w:p>
            <w:pPr>
              <w:spacing w:after="0"/>
              <w:rPr>
                <w:sz w:val="18"/>
                <w:szCs w:val="18"/>
                <w:color w:val="auto"/>
              </w:rPr>
            </w:pPr>
          </w:p>
        </w:tc>
        <w:tc>
          <w:tcPr>
            <w:tcW w:w="5220" w:type="dxa"/>
            <w:vAlign w:val="bottom"/>
          </w:tcPr>
          <w:p>
            <w:pPr>
              <w:spacing w:after="0"/>
              <w:rPr>
                <w:sz w:val="18"/>
                <w:szCs w:val="18"/>
                <w:color w:val="auto"/>
              </w:rPr>
            </w:pPr>
          </w:p>
        </w:tc>
        <w:tc>
          <w:tcPr>
            <w:tcW w:w="1720" w:type="dxa"/>
            <w:vAlign w:val="bottom"/>
            <w:tcBorders>
              <w:top w:val="single" w:sz="8" w:color="auto"/>
            </w:tcBorders>
          </w:tcPr>
          <w:p>
            <w:pPr>
              <w:spacing w:after="0"/>
              <w:rPr>
                <w:sz w:val="18"/>
                <w:szCs w:val="18"/>
                <w:color w:val="auto"/>
              </w:rPr>
            </w:pPr>
          </w:p>
        </w:tc>
        <w:tc>
          <w:tcPr>
            <w:tcW w:w="1520" w:type="dxa"/>
            <w:vAlign w:val="bottom"/>
            <w:tcBorders>
              <w:top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12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1"/>
        </w:trPr>
        <w:tc>
          <w:tcPr>
            <w:tcW w:w="660" w:type="dxa"/>
            <w:vAlign w:val="bottom"/>
            <w:vMerge w:val="continue"/>
          </w:tcPr>
          <w:p>
            <w:pPr>
              <w:spacing w:after="0"/>
              <w:rPr>
                <w:sz w:val="17"/>
                <w:szCs w:val="17"/>
                <w:color w:val="auto"/>
              </w:rPr>
            </w:pPr>
          </w:p>
        </w:tc>
        <w:tc>
          <w:tcPr>
            <w:tcW w:w="522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0"/>
              </w:rPr>
              <w:t>Real estate occupied by Company-owned and operated stores, included</w:t>
            </w:r>
          </w:p>
        </w:tc>
        <w:tc>
          <w:tcPr>
            <w:tcW w:w="1720" w:type="dxa"/>
            <w:vAlign w:val="bottom"/>
            <w:shd w:val="clear" w:color="auto" w:fill="CCEEFF"/>
          </w:tcPr>
          <w:p>
            <w:pPr>
              <w:spacing w:after="0"/>
              <w:rPr>
                <w:sz w:val="17"/>
                <w:szCs w:val="17"/>
                <w:color w:val="auto"/>
              </w:rPr>
            </w:pPr>
          </w:p>
        </w:tc>
        <w:tc>
          <w:tcPr>
            <w:tcW w:w="15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2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660" w:type="dxa"/>
            <w:vAlign w:val="bottom"/>
          </w:tcPr>
          <w:p>
            <w:pPr>
              <w:spacing w:after="0"/>
              <w:rPr>
                <w:sz w:val="19"/>
                <w:szCs w:val="19"/>
                <w:color w:val="auto"/>
              </w:rPr>
            </w:pPr>
          </w:p>
        </w:tc>
        <w:tc>
          <w:tcPr>
            <w:tcW w:w="52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in property and equipment, net (1)</w:t>
            </w:r>
          </w:p>
        </w:tc>
        <w:tc>
          <w:tcPr>
            <w:tcW w:w="172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rPr>
              <w:t>10</w:t>
            </w:r>
          </w:p>
        </w:tc>
        <w:tc>
          <w:tcPr>
            <w:tcW w:w="17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250,070</w:t>
            </w:r>
          </w:p>
        </w:tc>
        <w:tc>
          <w:tcPr>
            <w:tcW w:w="2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13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22,652</w:t>
            </w:r>
          </w:p>
        </w:tc>
        <w:tc>
          <w:tcPr>
            <w:tcW w:w="0" w:type="dxa"/>
            <w:vAlign w:val="bottom"/>
          </w:tcPr>
          <w:p>
            <w:pPr>
              <w:spacing w:after="0"/>
              <w:rPr>
                <w:sz w:val="1"/>
                <w:szCs w:val="1"/>
                <w:color w:val="auto"/>
              </w:rPr>
            </w:pPr>
          </w:p>
        </w:tc>
      </w:tr>
      <w:tr>
        <w:trPr>
          <w:trHeight w:val="215"/>
        </w:trPr>
        <w:tc>
          <w:tcPr>
            <w:tcW w:w="660" w:type="dxa"/>
            <w:vAlign w:val="bottom"/>
            <w:vMerge w:val="restart"/>
          </w:tcPr>
          <w:p>
            <w:pPr>
              <w:spacing w:after="0"/>
              <w:rPr>
                <w:sz w:val="18"/>
                <w:szCs w:val="18"/>
                <w:color w:val="auto"/>
              </w:rPr>
            </w:pPr>
          </w:p>
        </w:tc>
        <w:tc>
          <w:tcPr>
            <w:tcW w:w="522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15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660" w:type="dxa"/>
            <w:vAlign w:val="bottom"/>
            <w:vMerge w:val="continue"/>
          </w:tcPr>
          <w:p>
            <w:pPr>
              <w:spacing w:after="0"/>
              <w:rPr>
                <w:sz w:val="18"/>
                <w:szCs w:val="18"/>
                <w:color w:val="auto"/>
              </w:rPr>
            </w:pPr>
          </w:p>
        </w:tc>
        <w:tc>
          <w:tcPr>
            <w:tcW w:w="5220" w:type="dxa"/>
            <w:vAlign w:val="bottom"/>
            <w:shd w:val="clear" w:color="auto" w:fill="CCEEFF"/>
          </w:tcPr>
          <w:p>
            <w:pPr>
              <w:spacing w:after="0"/>
              <w:rPr>
                <w:sz w:val="20"/>
                <w:szCs w:val="20"/>
                <w:color w:val="auto"/>
              </w:rPr>
            </w:pPr>
            <w:r>
              <w:rPr>
                <w:rFonts w:ascii="Arial" w:cs="Arial" w:eastAsia="Arial" w:hAnsi="Arial"/>
                <w:sz w:val="18"/>
                <w:szCs w:val="18"/>
                <w:color w:val="auto"/>
              </w:rPr>
              <w:t>Investment real estate leased to others, included in other assets</w:t>
            </w:r>
          </w:p>
        </w:tc>
        <w:tc>
          <w:tcPr>
            <w:tcW w:w="172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rPr>
              <w:t>2</w:t>
            </w:r>
          </w:p>
        </w:tc>
        <w:tc>
          <w:tcPr>
            <w:tcW w:w="17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41,021</w:t>
            </w:r>
          </w:p>
        </w:tc>
        <w:tc>
          <w:tcPr>
            <w:tcW w:w="26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1,732</w:t>
            </w:r>
          </w:p>
        </w:tc>
        <w:tc>
          <w:tcPr>
            <w:tcW w:w="0" w:type="dxa"/>
            <w:vAlign w:val="bottom"/>
          </w:tcPr>
          <w:p>
            <w:pPr>
              <w:spacing w:after="0"/>
              <w:rPr>
                <w:sz w:val="1"/>
                <w:szCs w:val="1"/>
                <w:color w:val="auto"/>
              </w:rPr>
            </w:pPr>
          </w:p>
        </w:tc>
      </w:tr>
      <w:tr>
        <w:trPr>
          <w:trHeight w:val="209"/>
        </w:trPr>
        <w:tc>
          <w:tcPr>
            <w:tcW w:w="660" w:type="dxa"/>
            <w:vAlign w:val="bottom"/>
          </w:tcPr>
          <w:p>
            <w:pPr>
              <w:spacing w:after="0"/>
              <w:rPr>
                <w:sz w:val="18"/>
                <w:szCs w:val="18"/>
                <w:color w:val="auto"/>
              </w:rPr>
            </w:pPr>
          </w:p>
        </w:tc>
        <w:tc>
          <w:tcPr>
            <w:tcW w:w="5220" w:type="dxa"/>
            <w:vAlign w:val="bottom"/>
            <w:tcBorders>
              <w:top w:val="single" w:sz="8" w:color="CCEEFF"/>
            </w:tcBorders>
          </w:tcPr>
          <w:p>
            <w:pPr>
              <w:spacing w:after="0"/>
              <w:rPr>
                <w:sz w:val="18"/>
                <w:szCs w:val="18"/>
                <w:color w:val="auto"/>
              </w:rPr>
            </w:pPr>
          </w:p>
        </w:tc>
        <w:tc>
          <w:tcPr>
            <w:tcW w:w="1720" w:type="dxa"/>
            <w:vAlign w:val="bottom"/>
            <w:tcBorders>
              <w:top w:val="single" w:sz="8" w:color="auto"/>
            </w:tcBorders>
          </w:tcPr>
          <w:p>
            <w:pPr>
              <w:spacing w:after="0"/>
              <w:rPr>
                <w:sz w:val="18"/>
                <w:szCs w:val="18"/>
                <w:color w:val="auto"/>
              </w:rPr>
            </w:pPr>
          </w:p>
        </w:tc>
        <w:tc>
          <w:tcPr>
            <w:tcW w:w="1520" w:type="dxa"/>
            <w:vAlign w:val="bottom"/>
            <w:tcBorders>
              <w:top w:val="single" w:sz="8" w:color="auto"/>
            </w:tcBorders>
          </w:tcPr>
          <w:p>
            <w:pPr>
              <w:spacing w:after="0"/>
              <w:rPr>
                <w:sz w:val="18"/>
                <w:szCs w:val="18"/>
                <w:color w:val="auto"/>
              </w:rPr>
            </w:pPr>
          </w:p>
        </w:tc>
        <w:tc>
          <w:tcPr>
            <w:tcW w:w="180" w:type="dxa"/>
            <w:vAlign w:val="bottom"/>
            <w:tcBorders>
              <w:top w:val="single" w:sz="8" w:color="CCEEFF"/>
            </w:tcBorders>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126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35"/>
        </w:trPr>
        <w:tc>
          <w:tcPr>
            <w:tcW w:w="660" w:type="dxa"/>
            <w:vAlign w:val="bottom"/>
          </w:tcPr>
          <w:p>
            <w:pPr>
              <w:spacing w:after="0"/>
              <w:rPr>
                <w:sz w:val="20"/>
                <w:szCs w:val="20"/>
                <w:color w:val="auto"/>
              </w:rPr>
            </w:pPr>
          </w:p>
        </w:tc>
        <w:tc>
          <w:tcPr>
            <w:tcW w:w="5220" w:type="dxa"/>
            <w:vAlign w:val="bottom"/>
            <w:shd w:val="clear" w:color="auto" w:fill="CCEEFF"/>
          </w:tcPr>
          <w:p>
            <w:pPr>
              <w:ind w:left="320"/>
              <w:spacing w:after="0"/>
              <w:rPr>
                <w:sz w:val="20"/>
                <w:szCs w:val="20"/>
                <w:color w:val="auto"/>
              </w:rPr>
            </w:pPr>
            <w:r>
              <w:rPr>
                <w:rFonts w:ascii="Arial" w:cs="Arial" w:eastAsia="Arial" w:hAnsi="Arial"/>
                <w:sz w:val="18"/>
                <w:szCs w:val="18"/>
                <w:color w:val="auto"/>
              </w:rPr>
              <w:t>Total Company investment in retail real estate</w:t>
            </w:r>
          </w:p>
        </w:tc>
        <w:tc>
          <w:tcPr>
            <w:tcW w:w="172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rPr>
              <w:t>12</w:t>
            </w:r>
          </w:p>
        </w:tc>
        <w:tc>
          <w:tcPr>
            <w:tcW w:w="1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291,091</w:t>
            </w:r>
          </w:p>
        </w:tc>
        <w:tc>
          <w:tcPr>
            <w:tcW w:w="180" w:type="dxa"/>
            <w:vAlign w:val="bottom"/>
            <w:shd w:val="clear" w:color="auto" w:fill="CCEEFF"/>
          </w:tcPr>
          <w:p>
            <w:pPr>
              <w:spacing w:after="0"/>
              <w:rPr>
                <w:sz w:val="20"/>
                <w:szCs w:val="20"/>
                <w:color w:val="auto"/>
              </w:rPr>
            </w:pPr>
          </w:p>
        </w:tc>
        <w:tc>
          <w:tcPr>
            <w:tcW w:w="2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13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24,384</w:t>
            </w:r>
          </w:p>
        </w:tc>
        <w:tc>
          <w:tcPr>
            <w:tcW w:w="0" w:type="dxa"/>
            <w:vAlign w:val="bottom"/>
          </w:tcPr>
          <w:p>
            <w:pPr>
              <w:spacing w:after="0"/>
              <w:rPr>
                <w:sz w:val="1"/>
                <w:szCs w:val="1"/>
                <w:color w:val="auto"/>
              </w:rPr>
            </w:pPr>
          </w:p>
        </w:tc>
      </w:tr>
      <w:tr>
        <w:trPr>
          <w:trHeight w:val="20"/>
        </w:trPr>
        <w:tc>
          <w:tcPr>
            <w:tcW w:w="660" w:type="dxa"/>
            <w:vAlign w:val="bottom"/>
          </w:tcPr>
          <w:p>
            <w:pPr>
              <w:spacing w:after="0" w:line="20" w:lineRule="exact"/>
              <w:rPr>
                <w:sz w:val="1"/>
                <w:szCs w:val="1"/>
                <w:color w:val="auto"/>
              </w:rPr>
            </w:pPr>
          </w:p>
        </w:tc>
        <w:tc>
          <w:tcPr>
            <w:tcW w:w="5220" w:type="dxa"/>
            <w:vAlign w:val="bottom"/>
            <w:tcBorders>
              <w:top w:val="single" w:sz="8" w:color="CCEEFF"/>
            </w:tcBorders>
            <w:shd w:val="clear" w:color="auto" w:fill="CCEEFF"/>
          </w:tcPr>
          <w:p>
            <w:pPr>
              <w:spacing w:after="0" w:line="20" w:lineRule="exact"/>
              <w:rPr>
                <w:sz w:val="1"/>
                <w:szCs w:val="1"/>
                <w:color w:val="auto"/>
              </w:rPr>
            </w:pPr>
          </w:p>
        </w:tc>
        <w:tc>
          <w:tcPr>
            <w:tcW w:w="1720" w:type="dxa"/>
            <w:vAlign w:val="bottom"/>
            <w:tcBorders>
              <w:top w:val="single" w:sz="8" w:color="auto"/>
            </w:tcBorders>
            <w:shd w:val="clear" w:color="auto" w:fill="000000"/>
          </w:tcPr>
          <w:p>
            <w:pPr>
              <w:spacing w:after="0" w:line="20" w:lineRule="exact"/>
              <w:rPr>
                <w:sz w:val="1"/>
                <w:szCs w:val="1"/>
                <w:color w:val="auto"/>
              </w:rPr>
            </w:pPr>
          </w:p>
        </w:tc>
        <w:tc>
          <w:tcPr>
            <w:tcW w:w="1520" w:type="dxa"/>
            <w:vAlign w:val="bottom"/>
            <w:tcBorders>
              <w:top w:val="single" w:sz="8" w:color="auto"/>
            </w:tcBorders>
            <w:shd w:val="clear" w:color="auto" w:fill="000000"/>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260" w:type="dxa"/>
            <w:vAlign w:val="bottom"/>
            <w:tcBorders>
              <w:top w:val="single" w:sz="8" w:color="auto"/>
            </w:tcBorders>
            <w:shd w:val="clear" w:color="auto" w:fill="000000"/>
          </w:tcPr>
          <w:p>
            <w:pPr>
              <w:spacing w:after="0" w:line="20" w:lineRule="exact"/>
              <w:rPr>
                <w:sz w:val="1"/>
                <w:szCs w:val="1"/>
                <w:color w:val="auto"/>
              </w:rPr>
            </w:pPr>
          </w:p>
        </w:tc>
        <w:tc>
          <w:tcPr>
            <w:tcW w:w="126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8" w:lineRule="exact"/>
        <w:rPr>
          <w:sz w:val="20"/>
          <w:szCs w:val="20"/>
          <w:color w:val="auto"/>
        </w:rPr>
      </w:pPr>
    </w:p>
    <w:p>
      <w:pPr>
        <w:ind w:left="660"/>
        <w:spacing w:after="0"/>
        <w:rPr>
          <w:sz w:val="20"/>
          <w:szCs w:val="20"/>
          <w:color w:val="auto"/>
        </w:rPr>
      </w:pPr>
      <w:r>
        <w:rPr>
          <w:rFonts w:ascii="Arial" w:cs="Arial" w:eastAsia="Arial" w:hAnsi="Arial"/>
          <w:sz w:val="18"/>
          <w:szCs w:val="18"/>
          <w:color w:val="auto"/>
        </w:rPr>
        <w:t>(1) Includes two properties encumbered under mortgages totalling $645 at February 24, 2018.</w:t>
      </w:r>
    </w:p>
    <w:p>
      <w:pPr>
        <w:spacing w:after="0" w:line="24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228" w:lineRule="exact"/>
        <w:rPr>
          <w:sz w:val="20"/>
          <w:szCs w:val="20"/>
          <w:color w:val="auto"/>
        </w:rPr>
      </w:pPr>
    </w:p>
    <w:p>
      <w:pPr>
        <w:jc w:val="both"/>
        <w:spacing w:after="0" w:line="340" w:lineRule="auto"/>
        <w:rPr>
          <w:sz w:val="20"/>
          <w:szCs w:val="20"/>
          <w:color w:val="auto"/>
        </w:rPr>
      </w:pPr>
      <w:r>
        <w:rPr>
          <w:rFonts w:ascii="Arial" w:cs="Arial" w:eastAsia="Arial" w:hAnsi="Arial"/>
          <w:sz w:val="16"/>
          <w:szCs w:val="16"/>
          <w:color w:val="auto"/>
        </w:rPr>
        <w:t>There have been no material changes to our critical accounting policies and estimates from the information provided in Item 7, “Management’s Discussion and Analysis of Financial Condition and Results of Operations”, included in our Annual Report on Form 10-K for the fiscal year ended November 25, 2017.</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228" w:lineRule="exact"/>
        <w:rPr>
          <w:sz w:val="20"/>
          <w:szCs w:val="20"/>
          <w:color w:val="auto"/>
        </w:rPr>
      </w:pPr>
    </w:p>
    <w:p>
      <w:pPr>
        <w:jc w:val="both"/>
        <w:spacing w:after="0" w:line="274" w:lineRule="auto"/>
        <w:rPr>
          <w:sz w:val="20"/>
          <w:szCs w:val="20"/>
          <w:color w:val="auto"/>
        </w:rPr>
      </w:pPr>
      <w:r>
        <w:rPr>
          <w:rFonts w:ascii="Arial" w:cs="Arial" w:eastAsia="Arial" w:hAnsi="Arial"/>
          <w:sz w:val="17"/>
          <w:szCs w:val="17"/>
          <w:color w:val="auto"/>
        </w:rPr>
        <w:t>We utilize stand-by letters of credit in the procurement of certain goods in the normal course of business. We lease land and buildings that are primarily used in the operation of both Company-owned and licensee stores as well as land and buildings used in our logistical services segment. We also lease transportation equipment used in our logistical services segment. We have guaranteed certain lease obligations of licensee operators of the stores, as part of our retail expansion strategy. See Note 10 to our condensed consolidated financial statements for further discussion of operating leases and lease guarantees, including descriptions of the terms of such commitments and methods used to mitigate risks associated with these arrangements.</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Contingencies</w:t>
      </w:r>
    </w:p>
    <w:p>
      <w:pPr>
        <w:spacing w:after="0" w:line="228" w:lineRule="exact"/>
        <w:rPr>
          <w:sz w:val="20"/>
          <w:szCs w:val="20"/>
          <w:color w:val="auto"/>
        </w:rPr>
      </w:pPr>
    </w:p>
    <w:p>
      <w:pPr>
        <w:jc w:val="both"/>
        <w:spacing w:after="0" w:line="258" w:lineRule="auto"/>
        <w:rPr>
          <w:sz w:val="20"/>
          <w:szCs w:val="20"/>
          <w:color w:val="auto"/>
        </w:rPr>
      </w:pPr>
      <w:r>
        <w:rPr>
          <w:rFonts w:ascii="Arial" w:cs="Arial" w:eastAsia="Arial" w:hAnsi="Arial"/>
          <w:sz w:val="18"/>
          <w:szCs w:val="18"/>
          <w:color w:val="auto"/>
        </w:rPr>
        <w:t>We are involved in various legal and environmental matters, which arise in the normal course of business. Although the final outcome of these matters cannot be determined, based on the facts presently known, it is our opinion that the final resolution of these matters will not have a material adverse effect on our financial position or future results of operations. See Note 10 to our condensed consolidated financial statements for further information regarding certain contingencies as of February 24, 2018.</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34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82550</wp:posOffset>
            </wp:positionV>
            <wp:extent cx="7247255" cy="171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47255" cy="17145"/>
                    </a:xfrm>
                    <a:prstGeom prst="rect">
                      <a:avLst/>
                    </a:prstGeom>
                    <a:noFill/>
                  </pic:spPr>
                </pic:pic>
              </a:graphicData>
            </a:graphic>
          </wp:anchor>
        </w:drawing>
      </w:r>
    </w:p>
    <w:p>
      <w:pPr>
        <w:sectPr>
          <w:pgSz w:w="11900" w:h="16838" w:orient="portrait"/>
          <w:cols w:equalWidth="0" w:num="1">
            <w:col w:w="11420"/>
          </w:cols>
          <w:pgMar w:left="240" w:top="583" w:right="239" w:bottom="1440" w:gutter="0" w:footer="0" w:header="0"/>
        </w:sectPr>
      </w:pPr>
    </w:p>
    <w:bookmarkStart w:id="34" w:name="page35"/>
    <w:bookmarkEnd w:id="34"/>
    <w:p>
      <w:pPr>
        <w:jc w:val="center"/>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FEBRUARY 24, 2018</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0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Quantitative and Qualitative Disclosure about Market Risk:</w:t>
      </w:r>
    </w:p>
    <w:p>
      <w:pPr>
        <w:spacing w:after="0" w:line="228" w:lineRule="exact"/>
        <w:rPr>
          <w:sz w:val="20"/>
          <w:szCs w:val="20"/>
          <w:color w:val="auto"/>
        </w:rPr>
      </w:pPr>
    </w:p>
    <w:p>
      <w:pPr>
        <w:jc w:val="both"/>
        <w:spacing w:after="0" w:line="262" w:lineRule="auto"/>
        <w:rPr>
          <w:sz w:val="20"/>
          <w:szCs w:val="20"/>
          <w:color w:val="auto"/>
        </w:rPr>
      </w:pPr>
      <w:r>
        <w:rPr>
          <w:rFonts w:ascii="Arial" w:cs="Arial" w:eastAsia="Arial" w:hAnsi="Arial"/>
          <w:sz w:val="18"/>
          <w:szCs w:val="18"/>
          <w:color w:val="auto"/>
        </w:rPr>
        <w:t>We are exposed to market risk from changes in the value of foreign currencies. Substantially all of our imports purchased outside of North America are denominated in U.S. dollars. Therefore, we believe that gains or losses resulting from changes in the value of foreign currencies relating to foreign purchases not denominated in U.S. dollars would not be material to our results from operations in fiscal 2018.</w:t>
      </w:r>
    </w:p>
    <w:p>
      <w:pPr>
        <w:spacing w:after="0" w:line="183" w:lineRule="exact"/>
        <w:rPr>
          <w:sz w:val="20"/>
          <w:szCs w:val="20"/>
          <w:color w:val="auto"/>
        </w:rPr>
      </w:pPr>
    </w:p>
    <w:p>
      <w:pPr>
        <w:jc w:val="both"/>
        <w:spacing w:after="0" w:line="262" w:lineRule="auto"/>
        <w:rPr>
          <w:sz w:val="20"/>
          <w:szCs w:val="20"/>
          <w:color w:val="auto"/>
        </w:rPr>
      </w:pPr>
      <w:r>
        <w:rPr>
          <w:rFonts w:ascii="Arial" w:cs="Arial" w:eastAsia="Arial" w:hAnsi="Arial"/>
          <w:sz w:val="18"/>
          <w:szCs w:val="18"/>
          <w:color w:val="auto"/>
        </w:rPr>
        <w:t>We are exposed to market risk from changes in the cost of raw materials used in our manufacturing processes, principally wood, woven fabric, and foam products. A continued recovery in home construction could result in increases in wood and fabric costs from current levels, and the cost of foam products, which are petroleum-based, is sensitive to changes in the price of oil.</w:t>
      </w:r>
    </w:p>
    <w:p>
      <w:pPr>
        <w:spacing w:after="0" w:line="183" w:lineRule="exact"/>
        <w:rPr>
          <w:sz w:val="20"/>
          <w:szCs w:val="20"/>
          <w:color w:val="auto"/>
        </w:rPr>
      </w:pPr>
    </w:p>
    <w:p>
      <w:pPr>
        <w:jc w:val="both"/>
        <w:spacing w:after="0" w:line="276" w:lineRule="auto"/>
        <w:rPr>
          <w:sz w:val="20"/>
          <w:szCs w:val="20"/>
          <w:color w:val="auto"/>
        </w:rPr>
      </w:pPr>
      <w:r>
        <w:rPr>
          <w:rFonts w:ascii="Arial" w:cs="Arial" w:eastAsia="Arial" w:hAnsi="Arial"/>
          <w:sz w:val="18"/>
          <w:szCs w:val="18"/>
          <w:color w:val="auto"/>
        </w:rPr>
        <w:t>We are also exposed to commodity price risk related to diesel fuel prices for fuel used in our logistical services segment. We manage our exposure to that risk primarily through the application of fuel surcharges to our customers.</w:t>
      </w:r>
    </w:p>
    <w:p>
      <w:pPr>
        <w:spacing w:after="0" w:line="170" w:lineRule="exact"/>
        <w:rPr>
          <w:sz w:val="20"/>
          <w:szCs w:val="20"/>
          <w:color w:val="auto"/>
        </w:rPr>
      </w:pPr>
    </w:p>
    <w:p>
      <w:pPr>
        <w:jc w:val="both"/>
        <w:spacing w:after="0" w:line="295" w:lineRule="auto"/>
        <w:rPr>
          <w:sz w:val="20"/>
          <w:szCs w:val="20"/>
          <w:color w:val="auto"/>
        </w:rPr>
      </w:pPr>
      <w:r>
        <w:rPr>
          <w:rFonts w:ascii="Arial" w:cs="Arial" w:eastAsia="Arial" w:hAnsi="Arial"/>
          <w:sz w:val="16"/>
          <w:szCs w:val="16"/>
          <w:color w:val="auto"/>
        </w:rPr>
        <w:t>We have potential exposure to market risk related to conditions in the commercial real estate market. Our retail real estate holdings of $1,732 at February 24, 2018 for stores formerly operated by licensees as well as our holdings of $22,652 at February 24, 2018 for Company-owned stores could suffer significant impairment in value if we are forced to close additional stores and sell or lease the related properties during periods of weakness in certain markets. Additionally, if we are required to assume responsibility for payment under the lease obligations of $2,552 which we have guaranteed on behalf of licensees as of February 24, 2018, we may not be able to secure sufficient sub-lease income in the current market to offset the payments required under the guarantees.</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Controls and Procedures:</w:t>
      </w:r>
    </w:p>
    <w:p>
      <w:pPr>
        <w:spacing w:after="0" w:line="228" w:lineRule="exact"/>
        <w:rPr>
          <w:sz w:val="20"/>
          <w:szCs w:val="20"/>
          <w:color w:val="auto"/>
        </w:rPr>
      </w:pPr>
    </w:p>
    <w:p>
      <w:pPr>
        <w:jc w:val="both"/>
        <w:spacing w:after="0" w:line="256" w:lineRule="auto"/>
        <w:rPr>
          <w:sz w:val="20"/>
          <w:szCs w:val="20"/>
          <w:color w:val="auto"/>
        </w:rPr>
      </w:pPr>
      <w:r>
        <w:rPr>
          <w:rFonts w:ascii="Arial" w:cs="Arial" w:eastAsia="Arial" w:hAnsi="Arial"/>
          <w:sz w:val="18"/>
          <w:szCs w:val="18"/>
          <w:color w:val="auto"/>
        </w:rPr>
        <w:t>The Company’s principal executive officer and principal accounting officer have evaluated the Company’s disclosure controls and procedures (as defined in Exchange Act Rule 13a-15(e)) as of the end of the period covered by this Quarterly Report on Form 10-Q. Based upon their evaluation, the principal executive officer and principal accounting officer concluded that the Company’s disclosure controls and procedures are effective. There has been no change in the Company’s internal control over financial reporting during the Company’s most recent fiscal quarter that has materially affected, or is reasonably likely to materially affect, the Company’s internal control over financial reporting.</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35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82550</wp:posOffset>
            </wp:positionV>
            <wp:extent cx="7247255" cy="171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47255" cy="17145"/>
                    </a:xfrm>
                    <a:prstGeom prst="rect">
                      <a:avLst/>
                    </a:prstGeom>
                    <a:noFill/>
                  </pic:spPr>
                </pic:pic>
              </a:graphicData>
            </a:graphic>
          </wp:anchor>
        </w:drawing>
      </w:r>
    </w:p>
    <w:p>
      <w:pPr>
        <w:sectPr>
          <w:pgSz w:w="11900" w:h="16838" w:orient="portrait"/>
          <w:cols w:equalWidth="0" w:num="1">
            <w:col w:w="11420"/>
          </w:cols>
          <w:pgMar w:left="240" w:top="583" w:right="239" w:bottom="1440" w:gutter="0" w:footer="0" w:header="0"/>
        </w:sectPr>
      </w:pPr>
    </w:p>
    <w:bookmarkStart w:id="35" w:name="page36"/>
    <w:bookmarkEnd w:id="35"/>
    <w:p>
      <w:pPr>
        <w:jc w:val="center"/>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FEBRUARY 24, 2018</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0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Safe-harbor, forward-looking statements:</w:t>
      </w:r>
    </w:p>
    <w:p>
      <w:pPr>
        <w:spacing w:after="0" w:line="224"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 xml:space="preserve">The discussion in items 2 and 3 above contains certain forward-looking statements within the meaning of the Private Securities Litigation Reform Act of 1995 with respect to the financial condition, results of operations and business of Bassett Furniture Industries, Incorporated and subsidiaries. Such forward-looking statements are identified by use of forward-looking words such as </w:t>
      </w:r>
      <w:r>
        <w:rPr>
          <w:rFonts w:ascii="Arial" w:cs="Arial" w:eastAsia="Arial" w:hAnsi="Arial"/>
          <w:sz w:val="18"/>
          <w:szCs w:val="18"/>
          <w:i w:val="1"/>
          <w:iCs w:val="1"/>
          <w:color w:val="auto"/>
        </w:rPr>
        <w:t>“anticipates”</w:t>
      </w:r>
      <w:r>
        <w:rPr>
          <w:rFonts w:ascii="Arial" w:cs="Arial" w:eastAsia="Arial" w:hAnsi="Arial"/>
          <w:sz w:val="18"/>
          <w:szCs w:val="18"/>
          <w:color w:val="auto"/>
        </w:rPr>
        <w:t xml:space="preserve">, </w:t>
      </w:r>
      <w:r>
        <w:rPr>
          <w:rFonts w:ascii="Arial" w:cs="Arial" w:eastAsia="Arial" w:hAnsi="Arial"/>
          <w:sz w:val="18"/>
          <w:szCs w:val="18"/>
          <w:i w:val="1"/>
          <w:iCs w:val="1"/>
          <w:color w:val="auto"/>
        </w:rPr>
        <w:t>“believes”</w:t>
      </w:r>
      <w:r>
        <w:rPr>
          <w:rFonts w:ascii="Arial" w:cs="Arial" w:eastAsia="Arial" w:hAnsi="Arial"/>
          <w:sz w:val="18"/>
          <w:szCs w:val="18"/>
          <w:color w:val="auto"/>
        </w:rPr>
        <w:t xml:space="preserve">, </w:t>
      </w:r>
      <w:r>
        <w:rPr>
          <w:rFonts w:ascii="Arial" w:cs="Arial" w:eastAsia="Arial" w:hAnsi="Arial"/>
          <w:sz w:val="18"/>
          <w:szCs w:val="18"/>
          <w:i w:val="1"/>
          <w:iCs w:val="1"/>
          <w:color w:val="auto"/>
        </w:rPr>
        <w:t>“plans”</w:t>
      </w:r>
      <w:r>
        <w:rPr>
          <w:rFonts w:ascii="Arial" w:cs="Arial" w:eastAsia="Arial" w:hAnsi="Arial"/>
          <w:sz w:val="18"/>
          <w:szCs w:val="18"/>
          <w:color w:val="auto"/>
        </w:rPr>
        <w:t xml:space="preserve">, </w:t>
      </w:r>
      <w:r>
        <w:rPr>
          <w:rFonts w:ascii="Arial" w:cs="Arial" w:eastAsia="Arial" w:hAnsi="Arial"/>
          <w:sz w:val="18"/>
          <w:szCs w:val="18"/>
          <w:i w:val="1"/>
          <w:iCs w:val="1"/>
          <w:color w:val="auto"/>
        </w:rPr>
        <w:t>“estimates”</w:t>
      </w:r>
      <w:r>
        <w:rPr>
          <w:rFonts w:ascii="Arial" w:cs="Arial" w:eastAsia="Arial" w:hAnsi="Arial"/>
          <w:sz w:val="18"/>
          <w:szCs w:val="18"/>
          <w:color w:val="auto"/>
        </w:rPr>
        <w:t xml:space="preserve">, </w:t>
      </w:r>
      <w:r>
        <w:rPr>
          <w:rFonts w:ascii="Arial" w:cs="Arial" w:eastAsia="Arial" w:hAnsi="Arial"/>
          <w:sz w:val="18"/>
          <w:szCs w:val="18"/>
          <w:i w:val="1"/>
          <w:iCs w:val="1"/>
          <w:color w:val="auto"/>
        </w:rPr>
        <w:t>“expects”</w:t>
      </w:r>
      <w:r>
        <w:rPr>
          <w:rFonts w:ascii="Arial" w:cs="Arial" w:eastAsia="Arial" w:hAnsi="Arial"/>
          <w:sz w:val="18"/>
          <w:szCs w:val="18"/>
          <w:color w:val="auto"/>
        </w:rPr>
        <w:t xml:space="preserve">, </w:t>
      </w:r>
      <w:r>
        <w:rPr>
          <w:rFonts w:ascii="Arial" w:cs="Arial" w:eastAsia="Arial" w:hAnsi="Arial"/>
          <w:sz w:val="18"/>
          <w:szCs w:val="18"/>
          <w:i w:val="1"/>
          <w:iCs w:val="1"/>
          <w:color w:val="auto"/>
        </w:rPr>
        <w:t>“aims”</w:t>
      </w:r>
      <w:r>
        <w:rPr>
          <w:rFonts w:ascii="Arial" w:cs="Arial" w:eastAsia="Arial" w:hAnsi="Arial"/>
          <w:sz w:val="18"/>
          <w:szCs w:val="18"/>
          <w:color w:val="auto"/>
        </w:rPr>
        <w:t xml:space="preserve"> and </w:t>
      </w:r>
      <w:r>
        <w:rPr>
          <w:rFonts w:ascii="Arial" w:cs="Arial" w:eastAsia="Arial" w:hAnsi="Arial"/>
          <w:sz w:val="18"/>
          <w:szCs w:val="18"/>
          <w:i w:val="1"/>
          <w:iCs w:val="1"/>
          <w:color w:val="auto"/>
        </w:rPr>
        <w:t>“intends”</w:t>
      </w:r>
      <w:r>
        <w:rPr>
          <w:rFonts w:ascii="Arial" w:cs="Arial" w:eastAsia="Arial" w:hAnsi="Arial"/>
          <w:sz w:val="18"/>
          <w:szCs w:val="18"/>
          <w:color w:val="auto"/>
        </w:rPr>
        <w:t xml:space="preserve"> or words or phrases of similar expression. These forward-looking statements involve certain risks and uncertainties. No assurance can be given that any such matters will be realized. Important factors that could cause actual results to differ materially from those contemplated by such forward-looking statements include:</w:t>
      </w:r>
    </w:p>
    <w:p>
      <w:pPr>
        <w:spacing w:after="0" w:line="193" w:lineRule="exact"/>
        <w:rPr>
          <w:sz w:val="20"/>
          <w:szCs w:val="20"/>
          <w:color w:val="auto"/>
        </w:rPr>
      </w:pPr>
    </w:p>
    <w:p>
      <w:pPr>
        <w:ind w:left="260" w:hanging="252"/>
        <w:spacing w:after="0"/>
        <w:tabs>
          <w:tab w:leader="none" w:pos="260" w:val="left"/>
        </w:tabs>
        <w:numPr>
          <w:ilvl w:val="0"/>
          <w:numId w:val="8"/>
        </w:numPr>
        <w:rPr>
          <w:rFonts w:ascii="Arial" w:cs="Arial" w:eastAsia="Arial" w:hAnsi="Arial"/>
          <w:sz w:val="18"/>
          <w:szCs w:val="18"/>
          <w:color w:val="auto"/>
        </w:rPr>
      </w:pPr>
      <w:r>
        <w:rPr>
          <w:rFonts w:ascii="Arial" w:cs="Arial" w:eastAsia="Arial" w:hAnsi="Arial"/>
          <w:sz w:val="18"/>
          <w:szCs w:val="18"/>
          <w:color w:val="auto"/>
        </w:rPr>
        <w:t>competitive conditions in the home furnishings industry</w:t>
      </w:r>
    </w:p>
    <w:p>
      <w:pPr>
        <w:spacing w:after="0" w:line="223" w:lineRule="exact"/>
        <w:rPr>
          <w:rFonts w:ascii="Arial" w:cs="Arial" w:eastAsia="Arial" w:hAnsi="Arial"/>
          <w:sz w:val="18"/>
          <w:szCs w:val="18"/>
          <w:color w:val="auto"/>
        </w:rPr>
      </w:pPr>
    </w:p>
    <w:p>
      <w:pPr>
        <w:ind w:left="260" w:hanging="252"/>
        <w:spacing w:after="0"/>
        <w:tabs>
          <w:tab w:leader="none" w:pos="260" w:val="left"/>
        </w:tabs>
        <w:numPr>
          <w:ilvl w:val="0"/>
          <w:numId w:val="8"/>
        </w:numPr>
        <w:rPr>
          <w:rFonts w:ascii="Arial" w:cs="Arial" w:eastAsia="Arial" w:hAnsi="Arial"/>
          <w:sz w:val="18"/>
          <w:szCs w:val="18"/>
          <w:color w:val="auto"/>
        </w:rPr>
      </w:pPr>
      <w:r>
        <w:rPr>
          <w:rFonts w:ascii="Arial" w:cs="Arial" w:eastAsia="Arial" w:hAnsi="Arial"/>
          <w:sz w:val="18"/>
          <w:szCs w:val="18"/>
          <w:color w:val="auto"/>
        </w:rPr>
        <w:t>general economic conditions, including the strength of the housing market in the United States</w:t>
      </w:r>
    </w:p>
    <w:p>
      <w:pPr>
        <w:spacing w:after="0" w:line="223" w:lineRule="exact"/>
        <w:rPr>
          <w:rFonts w:ascii="Arial" w:cs="Arial" w:eastAsia="Arial" w:hAnsi="Arial"/>
          <w:sz w:val="18"/>
          <w:szCs w:val="18"/>
          <w:color w:val="auto"/>
        </w:rPr>
      </w:pPr>
    </w:p>
    <w:p>
      <w:pPr>
        <w:ind w:left="260" w:hanging="252"/>
        <w:spacing w:after="0"/>
        <w:tabs>
          <w:tab w:leader="none" w:pos="260" w:val="left"/>
        </w:tabs>
        <w:numPr>
          <w:ilvl w:val="0"/>
          <w:numId w:val="8"/>
        </w:numPr>
        <w:rPr>
          <w:rFonts w:ascii="Arial" w:cs="Arial" w:eastAsia="Arial" w:hAnsi="Arial"/>
          <w:sz w:val="18"/>
          <w:szCs w:val="18"/>
          <w:color w:val="auto"/>
        </w:rPr>
      </w:pPr>
      <w:r>
        <w:rPr>
          <w:rFonts w:ascii="Arial" w:cs="Arial" w:eastAsia="Arial" w:hAnsi="Arial"/>
          <w:sz w:val="18"/>
          <w:szCs w:val="18"/>
          <w:color w:val="auto"/>
        </w:rPr>
        <w:t>overall retail traffic levels and consumer demand for home furnishings</w:t>
      </w:r>
    </w:p>
    <w:p>
      <w:pPr>
        <w:spacing w:after="0" w:line="223" w:lineRule="exact"/>
        <w:rPr>
          <w:rFonts w:ascii="Arial" w:cs="Arial" w:eastAsia="Arial" w:hAnsi="Arial"/>
          <w:sz w:val="18"/>
          <w:szCs w:val="18"/>
          <w:color w:val="auto"/>
        </w:rPr>
      </w:pPr>
    </w:p>
    <w:p>
      <w:pPr>
        <w:ind w:left="260" w:hanging="252"/>
        <w:spacing w:after="0"/>
        <w:tabs>
          <w:tab w:leader="none" w:pos="260" w:val="left"/>
        </w:tabs>
        <w:numPr>
          <w:ilvl w:val="0"/>
          <w:numId w:val="8"/>
        </w:numPr>
        <w:rPr>
          <w:rFonts w:ascii="Arial" w:cs="Arial" w:eastAsia="Arial" w:hAnsi="Arial"/>
          <w:sz w:val="18"/>
          <w:szCs w:val="18"/>
          <w:color w:val="auto"/>
        </w:rPr>
      </w:pPr>
      <w:r>
        <w:rPr>
          <w:rFonts w:ascii="Arial" w:cs="Arial" w:eastAsia="Arial" w:hAnsi="Arial"/>
          <w:sz w:val="18"/>
          <w:szCs w:val="18"/>
          <w:color w:val="auto"/>
        </w:rPr>
        <w:t>ability of our customers and consumers to obtain credit</w:t>
      </w:r>
    </w:p>
    <w:p>
      <w:pPr>
        <w:spacing w:after="0" w:line="223" w:lineRule="exact"/>
        <w:rPr>
          <w:rFonts w:ascii="Arial" w:cs="Arial" w:eastAsia="Arial" w:hAnsi="Arial"/>
          <w:sz w:val="18"/>
          <w:szCs w:val="18"/>
          <w:color w:val="auto"/>
        </w:rPr>
      </w:pPr>
    </w:p>
    <w:p>
      <w:pPr>
        <w:ind w:left="260" w:hanging="252"/>
        <w:spacing w:after="0"/>
        <w:tabs>
          <w:tab w:leader="none" w:pos="260" w:val="left"/>
        </w:tabs>
        <w:numPr>
          <w:ilvl w:val="0"/>
          <w:numId w:val="8"/>
        </w:numPr>
        <w:rPr>
          <w:rFonts w:ascii="Arial" w:cs="Arial" w:eastAsia="Arial" w:hAnsi="Arial"/>
          <w:sz w:val="18"/>
          <w:szCs w:val="18"/>
          <w:color w:val="auto"/>
        </w:rPr>
      </w:pPr>
      <w:r>
        <w:rPr>
          <w:rFonts w:ascii="Arial" w:cs="Arial" w:eastAsia="Arial" w:hAnsi="Arial"/>
          <w:sz w:val="18"/>
          <w:szCs w:val="18"/>
          <w:color w:val="auto"/>
        </w:rPr>
        <w:t>Bassett store openings and store closings and the profitability of the stores (independent licensees and Company-owned retail stores)</w:t>
      </w:r>
    </w:p>
    <w:p>
      <w:pPr>
        <w:spacing w:after="0" w:line="223" w:lineRule="exact"/>
        <w:rPr>
          <w:rFonts w:ascii="Arial" w:cs="Arial" w:eastAsia="Arial" w:hAnsi="Arial"/>
          <w:sz w:val="18"/>
          <w:szCs w:val="18"/>
          <w:color w:val="auto"/>
        </w:rPr>
      </w:pPr>
    </w:p>
    <w:p>
      <w:pPr>
        <w:ind w:left="260" w:hanging="252"/>
        <w:spacing w:after="0"/>
        <w:tabs>
          <w:tab w:leader="none" w:pos="260" w:val="left"/>
        </w:tabs>
        <w:numPr>
          <w:ilvl w:val="0"/>
          <w:numId w:val="8"/>
        </w:numPr>
        <w:rPr>
          <w:rFonts w:ascii="Arial" w:cs="Arial" w:eastAsia="Arial" w:hAnsi="Arial"/>
          <w:sz w:val="18"/>
          <w:szCs w:val="18"/>
          <w:color w:val="auto"/>
        </w:rPr>
      </w:pPr>
      <w:r>
        <w:rPr>
          <w:rFonts w:ascii="Arial" w:cs="Arial" w:eastAsia="Arial" w:hAnsi="Arial"/>
          <w:sz w:val="18"/>
          <w:szCs w:val="18"/>
          <w:color w:val="auto"/>
        </w:rPr>
        <w:t>ability to implement our Company-owned retail strategies and realize the benefits from such strategies as they are implemented</w:t>
      </w:r>
    </w:p>
    <w:p>
      <w:pPr>
        <w:spacing w:after="0" w:line="223" w:lineRule="exact"/>
        <w:rPr>
          <w:rFonts w:ascii="Arial" w:cs="Arial" w:eastAsia="Arial" w:hAnsi="Arial"/>
          <w:sz w:val="18"/>
          <w:szCs w:val="18"/>
          <w:color w:val="auto"/>
        </w:rPr>
      </w:pPr>
    </w:p>
    <w:p>
      <w:pPr>
        <w:ind w:left="260" w:hanging="252"/>
        <w:spacing w:after="0"/>
        <w:tabs>
          <w:tab w:leader="none" w:pos="260" w:val="left"/>
        </w:tabs>
        <w:numPr>
          <w:ilvl w:val="0"/>
          <w:numId w:val="8"/>
        </w:numPr>
        <w:rPr>
          <w:rFonts w:ascii="Arial" w:cs="Arial" w:eastAsia="Arial" w:hAnsi="Arial"/>
          <w:sz w:val="18"/>
          <w:szCs w:val="18"/>
          <w:color w:val="auto"/>
        </w:rPr>
      </w:pPr>
      <w:r>
        <w:rPr>
          <w:rFonts w:ascii="Arial" w:cs="Arial" w:eastAsia="Arial" w:hAnsi="Arial"/>
          <w:sz w:val="18"/>
          <w:szCs w:val="18"/>
          <w:color w:val="auto"/>
        </w:rPr>
        <w:t>fluctuations in the cost and availability of raw materials, fuel, labor and sourced products</w:t>
      </w:r>
    </w:p>
    <w:p>
      <w:pPr>
        <w:spacing w:after="0" w:line="223" w:lineRule="exact"/>
        <w:rPr>
          <w:rFonts w:ascii="Arial" w:cs="Arial" w:eastAsia="Arial" w:hAnsi="Arial"/>
          <w:sz w:val="18"/>
          <w:szCs w:val="18"/>
          <w:color w:val="auto"/>
        </w:rPr>
      </w:pPr>
    </w:p>
    <w:p>
      <w:pPr>
        <w:ind w:left="260" w:hanging="252"/>
        <w:spacing w:after="0"/>
        <w:tabs>
          <w:tab w:leader="none" w:pos="260" w:val="left"/>
        </w:tabs>
        <w:numPr>
          <w:ilvl w:val="0"/>
          <w:numId w:val="8"/>
        </w:numPr>
        <w:rPr>
          <w:rFonts w:ascii="Arial" w:cs="Arial" w:eastAsia="Arial" w:hAnsi="Arial"/>
          <w:sz w:val="18"/>
          <w:szCs w:val="18"/>
          <w:color w:val="auto"/>
        </w:rPr>
      </w:pPr>
      <w:r>
        <w:rPr>
          <w:rFonts w:ascii="Arial" w:cs="Arial" w:eastAsia="Arial" w:hAnsi="Arial"/>
          <w:sz w:val="18"/>
          <w:szCs w:val="18"/>
          <w:color w:val="auto"/>
        </w:rPr>
        <w:t>results of marketing and advertising campaigns</w:t>
      </w:r>
    </w:p>
    <w:p>
      <w:pPr>
        <w:spacing w:after="0" w:line="223" w:lineRule="exact"/>
        <w:rPr>
          <w:rFonts w:ascii="Arial" w:cs="Arial" w:eastAsia="Arial" w:hAnsi="Arial"/>
          <w:sz w:val="18"/>
          <w:szCs w:val="18"/>
          <w:color w:val="auto"/>
        </w:rPr>
      </w:pPr>
    </w:p>
    <w:p>
      <w:pPr>
        <w:ind w:left="260" w:hanging="252"/>
        <w:spacing w:after="0"/>
        <w:tabs>
          <w:tab w:leader="none" w:pos="260" w:val="left"/>
        </w:tabs>
        <w:numPr>
          <w:ilvl w:val="0"/>
          <w:numId w:val="8"/>
        </w:numPr>
        <w:rPr>
          <w:rFonts w:ascii="Arial" w:cs="Arial" w:eastAsia="Arial" w:hAnsi="Arial"/>
          <w:sz w:val="18"/>
          <w:szCs w:val="18"/>
          <w:color w:val="auto"/>
        </w:rPr>
      </w:pPr>
      <w:r>
        <w:rPr>
          <w:rFonts w:ascii="Arial" w:cs="Arial" w:eastAsia="Arial" w:hAnsi="Arial"/>
          <w:sz w:val="18"/>
          <w:szCs w:val="18"/>
          <w:color w:val="auto"/>
        </w:rPr>
        <w:t>effectiveness and security of our information and technology systems</w:t>
      </w:r>
    </w:p>
    <w:p>
      <w:pPr>
        <w:spacing w:after="0" w:line="223" w:lineRule="exact"/>
        <w:rPr>
          <w:rFonts w:ascii="Arial" w:cs="Arial" w:eastAsia="Arial" w:hAnsi="Arial"/>
          <w:sz w:val="18"/>
          <w:szCs w:val="18"/>
          <w:color w:val="auto"/>
        </w:rPr>
      </w:pPr>
    </w:p>
    <w:p>
      <w:pPr>
        <w:ind w:left="260" w:hanging="252"/>
        <w:spacing w:after="0"/>
        <w:tabs>
          <w:tab w:leader="none" w:pos="260" w:val="left"/>
        </w:tabs>
        <w:numPr>
          <w:ilvl w:val="0"/>
          <w:numId w:val="8"/>
        </w:numPr>
        <w:rPr>
          <w:rFonts w:ascii="Arial" w:cs="Arial" w:eastAsia="Arial" w:hAnsi="Arial"/>
          <w:sz w:val="18"/>
          <w:szCs w:val="18"/>
          <w:color w:val="auto"/>
        </w:rPr>
      </w:pPr>
      <w:r>
        <w:rPr>
          <w:rFonts w:ascii="Arial" w:cs="Arial" w:eastAsia="Arial" w:hAnsi="Arial"/>
          <w:sz w:val="18"/>
          <w:szCs w:val="18"/>
          <w:color w:val="auto"/>
        </w:rPr>
        <w:t>future tax legislation, or regulatory or judicial positions</w:t>
      </w:r>
    </w:p>
    <w:p>
      <w:pPr>
        <w:spacing w:after="0" w:line="223" w:lineRule="exact"/>
        <w:rPr>
          <w:rFonts w:ascii="Arial" w:cs="Arial" w:eastAsia="Arial" w:hAnsi="Arial"/>
          <w:sz w:val="18"/>
          <w:szCs w:val="18"/>
          <w:color w:val="auto"/>
        </w:rPr>
      </w:pPr>
    </w:p>
    <w:p>
      <w:pPr>
        <w:ind w:left="260" w:hanging="252"/>
        <w:spacing w:after="0"/>
        <w:tabs>
          <w:tab w:leader="none" w:pos="260" w:val="left"/>
        </w:tabs>
        <w:numPr>
          <w:ilvl w:val="0"/>
          <w:numId w:val="8"/>
        </w:numPr>
        <w:rPr>
          <w:rFonts w:ascii="Arial" w:cs="Arial" w:eastAsia="Arial" w:hAnsi="Arial"/>
          <w:sz w:val="18"/>
          <w:szCs w:val="18"/>
          <w:color w:val="auto"/>
        </w:rPr>
      </w:pPr>
      <w:r>
        <w:rPr>
          <w:rFonts w:ascii="Arial" w:cs="Arial" w:eastAsia="Arial" w:hAnsi="Arial"/>
          <w:sz w:val="18"/>
          <w:szCs w:val="18"/>
          <w:color w:val="auto"/>
        </w:rPr>
        <w:t>ability to efficiently manage the import supply chain to minimize business interruption</w:t>
      </w:r>
    </w:p>
    <w:p>
      <w:pPr>
        <w:spacing w:after="0" w:line="223" w:lineRule="exact"/>
        <w:rPr>
          <w:rFonts w:ascii="Arial" w:cs="Arial" w:eastAsia="Arial" w:hAnsi="Arial"/>
          <w:sz w:val="18"/>
          <w:szCs w:val="18"/>
          <w:color w:val="auto"/>
        </w:rPr>
      </w:pPr>
    </w:p>
    <w:p>
      <w:pPr>
        <w:ind w:left="260" w:right="180" w:hanging="252"/>
        <w:spacing w:after="0" w:line="276" w:lineRule="auto"/>
        <w:tabs>
          <w:tab w:leader="none" w:pos="260" w:val="left"/>
        </w:tabs>
        <w:numPr>
          <w:ilvl w:val="0"/>
          <w:numId w:val="8"/>
        </w:numPr>
        <w:rPr>
          <w:rFonts w:ascii="Arial" w:cs="Arial" w:eastAsia="Arial" w:hAnsi="Arial"/>
          <w:sz w:val="18"/>
          <w:szCs w:val="18"/>
          <w:color w:val="auto"/>
        </w:rPr>
      </w:pPr>
      <w:r>
        <w:rPr>
          <w:rFonts w:ascii="Arial" w:cs="Arial" w:eastAsia="Arial" w:hAnsi="Arial"/>
          <w:sz w:val="18"/>
          <w:szCs w:val="18"/>
          <w:color w:val="auto"/>
        </w:rPr>
        <w:t>concentration of domestic manufacturing, particularly of upholstery products, and the resulting exposure to business interruption from accidents, weather and other events and circumstances beyond our control</w:t>
      </w:r>
    </w:p>
    <w:p>
      <w:pPr>
        <w:spacing w:after="0" w:line="169" w:lineRule="exact"/>
        <w:rPr>
          <w:rFonts w:ascii="Arial" w:cs="Arial" w:eastAsia="Arial" w:hAnsi="Arial"/>
          <w:sz w:val="18"/>
          <w:szCs w:val="18"/>
          <w:color w:val="auto"/>
        </w:rPr>
      </w:pPr>
    </w:p>
    <w:p>
      <w:pPr>
        <w:ind w:left="260" w:hanging="252"/>
        <w:spacing w:after="0"/>
        <w:tabs>
          <w:tab w:leader="none" w:pos="260" w:val="left"/>
        </w:tabs>
        <w:numPr>
          <w:ilvl w:val="0"/>
          <w:numId w:val="8"/>
        </w:numPr>
        <w:rPr>
          <w:rFonts w:ascii="Arial" w:cs="Arial" w:eastAsia="Arial" w:hAnsi="Arial"/>
          <w:sz w:val="16"/>
          <w:szCs w:val="16"/>
          <w:color w:val="auto"/>
        </w:rPr>
      </w:pPr>
      <w:r>
        <w:rPr>
          <w:rFonts w:ascii="Arial" w:cs="Arial" w:eastAsia="Arial" w:hAnsi="Arial"/>
          <w:sz w:val="16"/>
          <w:szCs w:val="16"/>
          <w:color w:val="auto"/>
        </w:rPr>
        <w:t>general risks associated with providing freight transportation and other logistical services through our wholly-owned subsidiary, Zenith Freight Lines, LLC</w:t>
      </w:r>
    </w:p>
    <w:p>
      <w:pPr>
        <w:spacing w:after="0" w:line="247" w:lineRule="exact"/>
        <w:rPr>
          <w:sz w:val="20"/>
          <w:szCs w:val="20"/>
          <w:color w:val="auto"/>
        </w:rPr>
      </w:pPr>
    </w:p>
    <w:p>
      <w:pPr>
        <w:jc w:val="both"/>
        <w:spacing w:after="0" w:line="276" w:lineRule="auto"/>
        <w:rPr>
          <w:sz w:val="20"/>
          <w:szCs w:val="20"/>
          <w:color w:val="auto"/>
        </w:rPr>
      </w:pPr>
      <w:r>
        <w:rPr>
          <w:rFonts w:ascii="Arial" w:cs="Arial" w:eastAsia="Arial" w:hAnsi="Arial"/>
          <w:sz w:val="18"/>
          <w:szCs w:val="18"/>
          <w:color w:val="auto"/>
        </w:rPr>
        <w:t>Additionally, other risks that could cause actual results to differ materially from those contemplated by such forward-looking statements are set forth in Item 1A. Risk Factors in the Company’s Annual Report on Form 10-K for fiscal 2017.</w:t>
      </w:r>
    </w:p>
    <w:p>
      <w:pPr>
        <w:spacing w:after="0" w:line="170" w:lineRule="exact"/>
        <w:rPr>
          <w:sz w:val="20"/>
          <w:szCs w:val="20"/>
          <w:color w:val="auto"/>
        </w:rPr>
      </w:pPr>
    </w:p>
    <w:p>
      <w:pPr>
        <w:jc w:val="both"/>
        <w:spacing w:after="0" w:line="256" w:lineRule="auto"/>
        <w:rPr>
          <w:sz w:val="20"/>
          <w:szCs w:val="20"/>
          <w:color w:val="auto"/>
        </w:rPr>
      </w:pPr>
      <w:r>
        <w:rPr>
          <w:rFonts w:ascii="Arial" w:cs="Arial" w:eastAsia="Arial" w:hAnsi="Arial"/>
          <w:sz w:val="18"/>
          <w:szCs w:val="18"/>
          <w:color w:val="auto"/>
        </w:rPr>
        <w:t>You should keep in mind that any forward-looking statement made by us in this report or elsewhere speaks only as of the date on which such forward-looking statement is made. New risks and uncertainties arise from time to time, and it is impossible for us to predict these events or how they may affect us. We have no duty to, and do not intend to, update or revise the forward-looking statements in this discussion after the date hereof, except as may be required by law. In light of these risks and uncertainties, you should keep in mind that the events described in any forward-looking statement made in this report or elsewhere, might not occur.</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36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82550</wp:posOffset>
            </wp:positionV>
            <wp:extent cx="7247255" cy="171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47255" cy="17145"/>
                    </a:xfrm>
                    <a:prstGeom prst="rect">
                      <a:avLst/>
                    </a:prstGeom>
                    <a:noFill/>
                  </pic:spPr>
                </pic:pic>
              </a:graphicData>
            </a:graphic>
          </wp:anchor>
        </w:drawing>
      </w:r>
    </w:p>
    <w:p>
      <w:pPr>
        <w:sectPr>
          <w:pgSz w:w="11900" w:h="16838" w:orient="portrait"/>
          <w:cols w:equalWidth="0" w:num="1">
            <w:col w:w="11420"/>
          </w:cols>
          <w:pgMar w:left="240" w:top="583" w:right="239" w:bottom="1440" w:gutter="0" w:footer="0" w:header="0"/>
        </w:sectPr>
      </w:pPr>
    </w:p>
    <w:bookmarkStart w:id="36" w:name="page37"/>
    <w:bookmarkEnd w:id="36"/>
    <w:p>
      <w:pPr>
        <w:jc w:val="center"/>
        <w:spacing w:after="0"/>
        <w:rPr>
          <w:sz w:val="20"/>
          <w:szCs w:val="20"/>
          <w:color w:val="auto"/>
        </w:rPr>
      </w:pPr>
      <w:r>
        <w:rPr>
          <w:rFonts w:ascii="Arial" w:cs="Arial" w:eastAsia="Arial" w:hAnsi="Arial"/>
          <w:sz w:val="18"/>
          <w:szCs w:val="18"/>
          <w:u w:val="single" w:color="auto"/>
          <w:color w:val="auto"/>
        </w:rPr>
        <w:t>PART II - OTHER INFORMATION</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FEBRUARY 24, 2018</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(Dollars in thousands except share and per share data)</w:t>
      </w:r>
    </w:p>
    <w:p>
      <w:pPr>
        <w:spacing w:after="0" w:line="20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Legal Proceedings</w:t>
      </w:r>
    </w:p>
    <w:p>
      <w:pPr>
        <w:spacing w:after="0" w:line="228"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Unregistered Sales of Equity Securities, Use of Proceeds and Issuer Purchases of Equity Securities</w:t>
      </w:r>
    </w:p>
    <w:p>
      <w:pPr>
        <w:spacing w:after="0" w:line="228" w:lineRule="exact"/>
        <w:rPr>
          <w:sz w:val="20"/>
          <w:szCs w:val="20"/>
          <w:color w:val="auto"/>
        </w:rPr>
      </w:pPr>
    </w:p>
    <w:p>
      <w:pPr>
        <w:spacing w:after="0" w:line="276" w:lineRule="auto"/>
        <w:rPr>
          <w:sz w:val="20"/>
          <w:szCs w:val="20"/>
          <w:color w:val="auto"/>
        </w:rPr>
      </w:pPr>
      <w:r>
        <w:rPr>
          <w:rFonts w:ascii="Arial" w:cs="Arial" w:eastAsia="Arial" w:hAnsi="Arial"/>
          <w:sz w:val="18"/>
          <w:szCs w:val="18"/>
          <w:color w:val="auto"/>
        </w:rPr>
        <w:t>The following table summarizes the stock repurchase activity for the three months ended February 24, 2018 and the approximate dollar value of shares that may yet be purchased pursuant to our stock repurchase program:</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15"/>
        </w:trPr>
        <w:tc>
          <w:tcPr>
            <w:tcW w:w="20" w:type="dxa"/>
            <w:vAlign w:val="bottom"/>
          </w:tcPr>
          <w:p>
            <w:pPr>
              <w:spacing w:after="0"/>
              <w:rPr>
                <w:sz w:val="18"/>
                <w:szCs w:val="18"/>
                <w:color w:val="auto"/>
              </w:rPr>
            </w:pPr>
          </w:p>
        </w:tc>
        <w:tc>
          <w:tcPr>
            <w:tcW w:w="402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12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0"/>
              </w:rPr>
              <w:t>Total Number of Shares</w:t>
            </w:r>
          </w:p>
        </w:tc>
        <w:tc>
          <w:tcPr>
            <w:tcW w:w="100" w:type="dxa"/>
            <w:vAlign w:val="bottom"/>
          </w:tcPr>
          <w:p>
            <w:pPr>
              <w:spacing w:after="0"/>
              <w:rPr>
                <w:sz w:val="18"/>
                <w:szCs w:val="18"/>
                <w:color w:val="auto"/>
              </w:rPr>
            </w:pPr>
          </w:p>
        </w:tc>
        <w:tc>
          <w:tcPr>
            <w:tcW w:w="2180" w:type="dxa"/>
            <w:vAlign w:val="bottom"/>
            <w:gridSpan w:val="3"/>
          </w:tcPr>
          <w:p>
            <w:pPr>
              <w:jc w:val="center"/>
              <w:ind w:right="120"/>
              <w:spacing w:after="0"/>
              <w:rPr>
                <w:sz w:val="20"/>
                <w:szCs w:val="20"/>
                <w:color w:val="auto"/>
              </w:rPr>
            </w:pPr>
            <w:r>
              <w:rPr>
                <w:rFonts w:ascii="Arial" w:cs="Arial" w:eastAsia="Arial" w:hAnsi="Arial"/>
                <w:sz w:val="18"/>
                <w:szCs w:val="18"/>
                <w:b w:val="1"/>
                <w:bCs w:val="1"/>
                <w:color w:val="auto"/>
                <w:w w:val="92"/>
              </w:rPr>
              <w:t>Approximate Dollar Value</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4020" w:type="dxa"/>
            <w:vAlign w:val="bottom"/>
          </w:tcPr>
          <w:p>
            <w:pPr>
              <w:spacing w:after="0"/>
              <w:rPr>
                <w:sz w:val="18"/>
                <w:szCs w:val="18"/>
                <w:color w:val="auto"/>
              </w:rPr>
            </w:pPr>
          </w:p>
        </w:tc>
        <w:tc>
          <w:tcPr>
            <w:tcW w:w="1260" w:type="dxa"/>
            <w:vAlign w:val="bottom"/>
            <w:gridSpan w:val="2"/>
          </w:tcPr>
          <w:p>
            <w:pPr>
              <w:jc w:val="center"/>
              <w:ind w:right="40"/>
              <w:spacing w:after="0"/>
              <w:rPr>
                <w:sz w:val="20"/>
                <w:szCs w:val="20"/>
                <w:color w:val="auto"/>
              </w:rPr>
            </w:pPr>
            <w:r>
              <w:rPr>
                <w:rFonts w:ascii="Arial" w:cs="Arial" w:eastAsia="Arial" w:hAnsi="Arial"/>
                <w:sz w:val="18"/>
                <w:szCs w:val="18"/>
                <w:b w:val="1"/>
                <w:bCs w:val="1"/>
                <w:color w:val="auto"/>
                <w:w w:val="88"/>
              </w:rPr>
              <w:t>Total</w:t>
            </w:r>
          </w:p>
        </w:tc>
        <w:tc>
          <w:tcPr>
            <w:tcW w:w="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12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89"/>
              </w:rPr>
              <w:t>Purchased as Part of</w:t>
            </w:r>
          </w:p>
        </w:tc>
        <w:tc>
          <w:tcPr>
            <w:tcW w:w="100" w:type="dxa"/>
            <w:vAlign w:val="bottom"/>
          </w:tcPr>
          <w:p>
            <w:pPr>
              <w:spacing w:after="0"/>
              <w:rPr>
                <w:sz w:val="18"/>
                <w:szCs w:val="18"/>
                <w:color w:val="auto"/>
              </w:rPr>
            </w:pPr>
          </w:p>
        </w:tc>
        <w:tc>
          <w:tcPr>
            <w:tcW w:w="2180" w:type="dxa"/>
            <w:vAlign w:val="bottom"/>
            <w:gridSpan w:val="3"/>
          </w:tcPr>
          <w:p>
            <w:pPr>
              <w:jc w:val="center"/>
              <w:ind w:right="100"/>
              <w:spacing w:after="0"/>
              <w:rPr>
                <w:sz w:val="20"/>
                <w:szCs w:val="20"/>
                <w:color w:val="auto"/>
              </w:rPr>
            </w:pPr>
            <w:r>
              <w:rPr>
                <w:rFonts w:ascii="Arial" w:cs="Arial" w:eastAsia="Arial" w:hAnsi="Arial"/>
                <w:sz w:val="18"/>
                <w:szCs w:val="18"/>
                <w:b w:val="1"/>
                <w:bCs w:val="1"/>
                <w:color w:val="auto"/>
                <w:w w:val="90"/>
              </w:rPr>
              <w:t>of Shares that May Yet Be</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4020" w:type="dxa"/>
            <w:vAlign w:val="bottom"/>
          </w:tcPr>
          <w:p>
            <w:pPr>
              <w:spacing w:after="0"/>
              <w:rPr>
                <w:sz w:val="18"/>
                <w:szCs w:val="18"/>
                <w:color w:val="auto"/>
              </w:rPr>
            </w:pPr>
          </w:p>
        </w:tc>
        <w:tc>
          <w:tcPr>
            <w:tcW w:w="1260" w:type="dxa"/>
            <w:vAlign w:val="bottom"/>
            <w:gridSpan w:val="2"/>
          </w:tcPr>
          <w:p>
            <w:pPr>
              <w:jc w:val="center"/>
              <w:ind w:right="40"/>
              <w:spacing w:after="0"/>
              <w:rPr>
                <w:sz w:val="20"/>
                <w:szCs w:val="20"/>
                <w:color w:val="auto"/>
              </w:rPr>
            </w:pPr>
            <w:r>
              <w:rPr>
                <w:rFonts w:ascii="Arial" w:cs="Arial" w:eastAsia="Arial" w:hAnsi="Arial"/>
                <w:sz w:val="18"/>
                <w:szCs w:val="18"/>
                <w:b w:val="1"/>
                <w:bCs w:val="1"/>
                <w:color w:val="auto"/>
                <w:w w:val="83"/>
              </w:rPr>
              <w:t>Shares</w:t>
            </w:r>
          </w:p>
        </w:tc>
        <w:tc>
          <w:tcPr>
            <w:tcW w:w="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6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0"/>
              </w:rPr>
              <w:t>Average</w:t>
            </w:r>
          </w:p>
        </w:tc>
        <w:tc>
          <w:tcPr>
            <w:tcW w:w="2220" w:type="dxa"/>
            <w:vAlign w:val="bottom"/>
            <w:gridSpan w:val="3"/>
          </w:tcPr>
          <w:p>
            <w:pPr>
              <w:jc w:val="center"/>
              <w:spacing w:after="0"/>
              <w:rPr>
                <w:sz w:val="20"/>
                <w:szCs w:val="20"/>
                <w:color w:val="auto"/>
              </w:rPr>
            </w:pPr>
            <w:r>
              <w:rPr>
                <w:rFonts w:ascii="Arial" w:cs="Arial" w:eastAsia="Arial" w:hAnsi="Arial"/>
                <w:sz w:val="18"/>
                <w:szCs w:val="18"/>
                <w:b w:val="1"/>
                <w:bCs w:val="1"/>
                <w:color w:val="auto"/>
                <w:w w:val="89"/>
              </w:rPr>
              <w:t>Publicly Announced Plans</w:t>
            </w:r>
          </w:p>
        </w:tc>
        <w:tc>
          <w:tcPr>
            <w:tcW w:w="2280" w:type="dxa"/>
            <w:vAlign w:val="bottom"/>
            <w:gridSpan w:val="4"/>
          </w:tcPr>
          <w:p>
            <w:pPr>
              <w:ind w:left="100"/>
              <w:spacing w:after="0"/>
              <w:rPr>
                <w:sz w:val="20"/>
                <w:szCs w:val="20"/>
                <w:color w:val="auto"/>
              </w:rPr>
            </w:pPr>
            <w:r>
              <w:rPr>
                <w:rFonts w:ascii="Arial" w:cs="Arial" w:eastAsia="Arial" w:hAnsi="Arial"/>
                <w:sz w:val="18"/>
                <w:szCs w:val="18"/>
                <w:b w:val="1"/>
                <w:bCs w:val="1"/>
                <w:color w:val="auto"/>
                <w:w w:val="92"/>
              </w:rPr>
              <w:t>Purchased Under the Plans</w:t>
            </w: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4020" w:type="dxa"/>
            <w:vAlign w:val="bottom"/>
          </w:tcPr>
          <w:p>
            <w:pPr>
              <w:spacing w:after="0"/>
              <w:rPr>
                <w:sz w:val="20"/>
                <w:szCs w:val="20"/>
                <w:color w:val="auto"/>
              </w:rPr>
            </w:pPr>
          </w:p>
        </w:tc>
        <w:tc>
          <w:tcPr>
            <w:tcW w:w="1260" w:type="dxa"/>
            <w:vAlign w:val="bottom"/>
            <w:gridSpan w:val="2"/>
          </w:tcPr>
          <w:p>
            <w:pPr>
              <w:jc w:val="center"/>
              <w:ind w:right="40"/>
              <w:spacing w:after="0"/>
              <w:rPr>
                <w:sz w:val="20"/>
                <w:szCs w:val="20"/>
                <w:color w:val="auto"/>
              </w:rPr>
            </w:pPr>
            <w:r>
              <w:rPr>
                <w:rFonts w:ascii="Arial" w:cs="Arial" w:eastAsia="Arial" w:hAnsi="Arial"/>
                <w:sz w:val="18"/>
                <w:szCs w:val="18"/>
                <w:b w:val="1"/>
                <w:bCs w:val="1"/>
                <w:color w:val="auto"/>
                <w:w w:val="89"/>
              </w:rPr>
              <w:t>Purchased</w:t>
            </w:r>
          </w:p>
        </w:tc>
        <w:tc>
          <w:tcPr>
            <w:tcW w:w="3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6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1"/>
              </w:rPr>
              <w:t>Price Paid</w:t>
            </w:r>
          </w:p>
        </w:tc>
        <w:tc>
          <w:tcPr>
            <w:tcW w:w="100" w:type="dxa"/>
            <w:vAlign w:val="bottom"/>
          </w:tcPr>
          <w:p>
            <w:pPr>
              <w:spacing w:after="0"/>
              <w:rPr>
                <w:sz w:val="20"/>
                <w:szCs w:val="20"/>
                <w:color w:val="auto"/>
              </w:rPr>
            </w:pPr>
          </w:p>
        </w:tc>
        <w:tc>
          <w:tcPr>
            <w:tcW w:w="212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0"/>
              </w:rPr>
              <w:t>or Programs (1)</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920" w:type="dxa"/>
            <w:vAlign w:val="bottom"/>
            <w:gridSpan w:val="2"/>
          </w:tcPr>
          <w:p>
            <w:pPr>
              <w:jc w:val="center"/>
              <w:ind w:right="380"/>
              <w:spacing w:after="0"/>
              <w:rPr>
                <w:sz w:val="20"/>
                <w:szCs w:val="20"/>
                <w:color w:val="auto"/>
              </w:rPr>
            </w:pPr>
            <w:r>
              <w:rPr>
                <w:rFonts w:ascii="Arial" w:cs="Arial" w:eastAsia="Arial" w:hAnsi="Arial"/>
                <w:sz w:val="18"/>
                <w:szCs w:val="18"/>
                <w:b w:val="1"/>
                <w:bCs w:val="1"/>
                <w:color w:val="auto"/>
                <w:w w:val="90"/>
              </w:rPr>
              <w:t>or Programs (1)</w:t>
            </w:r>
          </w:p>
        </w:tc>
        <w:tc>
          <w:tcPr>
            <w:tcW w:w="0" w:type="dxa"/>
            <w:vAlign w:val="bottom"/>
          </w:tcPr>
          <w:p>
            <w:pPr>
              <w:spacing w:after="0"/>
              <w:rPr>
                <w:sz w:val="1"/>
                <w:szCs w:val="1"/>
                <w:color w:val="auto"/>
              </w:rPr>
            </w:pPr>
          </w:p>
        </w:tc>
      </w:tr>
      <w:tr>
        <w:trPr>
          <w:trHeight w:val="209"/>
        </w:trPr>
        <w:tc>
          <w:tcPr>
            <w:tcW w:w="20" w:type="dxa"/>
            <w:vAlign w:val="bottom"/>
            <w:vMerge w:val="restart"/>
          </w:tcPr>
          <w:p>
            <w:pPr>
              <w:spacing w:after="0"/>
              <w:rPr>
                <w:sz w:val="18"/>
                <w:szCs w:val="18"/>
                <w:color w:val="auto"/>
              </w:rPr>
            </w:pPr>
          </w:p>
        </w:tc>
        <w:tc>
          <w:tcPr>
            <w:tcW w:w="4020" w:type="dxa"/>
            <w:vAlign w:val="bottom"/>
          </w:tcPr>
          <w:p>
            <w:pPr>
              <w:spacing w:after="0"/>
              <w:rPr>
                <w:sz w:val="18"/>
                <w:szCs w:val="18"/>
                <w:color w:val="auto"/>
              </w:rPr>
            </w:pPr>
          </w:p>
        </w:tc>
        <w:tc>
          <w:tcPr>
            <w:tcW w:w="1220" w:type="dxa"/>
            <w:vAlign w:val="bottom"/>
            <w:tcBorders>
              <w:top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18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vMerge w:val="continue"/>
          </w:tcPr>
          <w:p>
            <w:pPr>
              <w:spacing w:after="0"/>
              <w:rPr>
                <w:sz w:val="18"/>
                <w:szCs w:val="18"/>
                <w:color w:val="auto"/>
              </w:rPr>
            </w:pPr>
          </w:p>
        </w:tc>
        <w:tc>
          <w:tcPr>
            <w:tcW w:w="4020" w:type="dxa"/>
            <w:vAlign w:val="bottom"/>
            <w:shd w:val="clear" w:color="auto" w:fill="CCEEFF"/>
          </w:tcPr>
          <w:p>
            <w:pPr>
              <w:spacing w:after="0"/>
              <w:rPr>
                <w:sz w:val="20"/>
                <w:szCs w:val="20"/>
                <w:color w:val="auto"/>
              </w:rPr>
            </w:pPr>
            <w:r>
              <w:rPr>
                <w:rFonts w:ascii="Arial" w:cs="Arial" w:eastAsia="Arial" w:hAnsi="Arial"/>
                <w:sz w:val="18"/>
                <w:szCs w:val="18"/>
                <w:color w:val="auto"/>
              </w:rPr>
              <w:t>November 26 - December 30, 2017</w:t>
            </w: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222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36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rPr>
              <w:t>$</w:t>
            </w:r>
          </w:p>
        </w:tc>
        <w:tc>
          <w:tcPr>
            <w:tcW w:w="1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11,453</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4020" w:type="dxa"/>
            <w:vAlign w:val="bottom"/>
          </w:tcPr>
          <w:p>
            <w:pPr>
              <w:spacing w:after="0"/>
              <w:rPr>
                <w:sz w:val="20"/>
                <w:szCs w:val="20"/>
                <w:color w:val="auto"/>
              </w:rPr>
            </w:pPr>
            <w:r>
              <w:rPr>
                <w:rFonts w:ascii="Arial" w:cs="Arial" w:eastAsia="Arial" w:hAnsi="Arial"/>
                <w:sz w:val="18"/>
                <w:szCs w:val="18"/>
                <w:color w:val="auto"/>
              </w:rPr>
              <w:t>December 31, 2017 - January 27, 2018</w:t>
            </w:r>
          </w:p>
        </w:tc>
        <w:tc>
          <w:tcPr>
            <w:tcW w:w="1260" w:type="dxa"/>
            <w:vAlign w:val="bottom"/>
            <w:gridSpan w:val="2"/>
          </w:tcPr>
          <w:p>
            <w:pPr>
              <w:jc w:val="right"/>
              <w:ind w:right="20"/>
              <w:spacing w:after="0"/>
              <w:rPr>
                <w:sz w:val="20"/>
                <w:szCs w:val="20"/>
                <w:color w:val="auto"/>
              </w:rPr>
            </w:pPr>
            <w:r>
              <w:rPr>
                <w:rFonts w:ascii="Arial" w:cs="Arial" w:eastAsia="Arial" w:hAnsi="Arial"/>
                <w:sz w:val="18"/>
                <w:szCs w:val="18"/>
                <w:color w:val="auto"/>
              </w:rPr>
              <w:t>14,000</w:t>
            </w:r>
          </w:p>
        </w:tc>
        <w:tc>
          <w:tcPr>
            <w:tcW w:w="320" w:type="dxa"/>
            <w:vAlign w:val="bottom"/>
          </w:tcPr>
          <w:p>
            <w:pPr>
              <w:jc w:val="right"/>
              <w:ind w:right="10"/>
              <w:spacing w:after="0"/>
              <w:rPr>
                <w:sz w:val="20"/>
                <w:szCs w:val="20"/>
                <w:color w:val="auto"/>
              </w:rPr>
            </w:pPr>
            <w:r>
              <w:rPr>
                <w:rFonts w:ascii="Arial" w:cs="Arial" w:eastAsia="Arial" w:hAnsi="Arial"/>
                <w:sz w:val="18"/>
                <w:szCs w:val="18"/>
                <w:color w:val="auto"/>
                <w:w w:val="90"/>
              </w:rPr>
              <w:t>(2)</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gridSpan w:val="2"/>
          </w:tcPr>
          <w:p>
            <w:pPr>
              <w:jc w:val="right"/>
              <w:ind w:right="100"/>
              <w:spacing w:after="0"/>
              <w:rPr>
                <w:sz w:val="20"/>
                <w:szCs w:val="20"/>
                <w:color w:val="auto"/>
              </w:rPr>
            </w:pPr>
            <w:r>
              <w:rPr>
                <w:rFonts w:ascii="Arial" w:cs="Arial" w:eastAsia="Arial" w:hAnsi="Arial"/>
                <w:sz w:val="18"/>
                <w:szCs w:val="18"/>
                <w:color w:val="auto"/>
              </w:rPr>
              <w:t>37.25</w:t>
            </w:r>
          </w:p>
        </w:tc>
        <w:tc>
          <w:tcPr>
            <w:tcW w:w="2220" w:type="dxa"/>
            <w:vAlign w:val="bottom"/>
            <w:gridSpan w:val="3"/>
          </w:tcPr>
          <w:p>
            <w:pPr>
              <w:jc w:val="right"/>
              <w:ind w:right="120"/>
              <w:spacing w:after="0"/>
              <w:rPr>
                <w:sz w:val="20"/>
                <w:szCs w:val="20"/>
                <w:color w:val="auto"/>
              </w:rPr>
            </w:pPr>
            <w:r>
              <w:rPr>
                <w:rFonts w:ascii="Arial" w:cs="Arial" w:eastAsia="Arial" w:hAnsi="Arial"/>
                <w:sz w:val="18"/>
                <w:szCs w:val="18"/>
                <w:color w:val="auto"/>
              </w:rPr>
              <w:t>-</w:t>
            </w:r>
          </w:p>
        </w:tc>
        <w:tc>
          <w:tcPr>
            <w:tcW w:w="360" w:type="dxa"/>
            <w:vAlign w:val="bottom"/>
            <w:gridSpan w:val="2"/>
          </w:tcPr>
          <w:p>
            <w:pPr>
              <w:ind w:left="100"/>
              <w:spacing w:after="0"/>
              <w:rPr>
                <w:sz w:val="20"/>
                <w:szCs w:val="20"/>
                <w:color w:val="auto"/>
              </w:rPr>
            </w:pPr>
            <w:r>
              <w:rPr>
                <w:rFonts w:ascii="Arial" w:cs="Arial" w:eastAsia="Arial" w:hAnsi="Arial"/>
                <w:sz w:val="18"/>
                <w:szCs w:val="18"/>
                <w:color w:val="auto"/>
              </w:rPr>
              <w:t>$</w:t>
            </w:r>
          </w:p>
        </w:tc>
        <w:tc>
          <w:tcPr>
            <w:tcW w:w="1820" w:type="dxa"/>
            <w:vAlign w:val="bottom"/>
          </w:tcPr>
          <w:p>
            <w:pPr>
              <w:jc w:val="right"/>
              <w:spacing w:after="0"/>
              <w:rPr>
                <w:sz w:val="20"/>
                <w:szCs w:val="20"/>
                <w:color w:val="auto"/>
              </w:rPr>
            </w:pPr>
            <w:r>
              <w:rPr>
                <w:rFonts w:ascii="Arial" w:cs="Arial" w:eastAsia="Arial" w:hAnsi="Arial"/>
                <w:sz w:val="18"/>
                <w:szCs w:val="18"/>
                <w:color w:val="auto"/>
              </w:rPr>
              <w:t>11,453</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4020" w:type="dxa"/>
            <w:vAlign w:val="bottom"/>
            <w:shd w:val="clear" w:color="auto" w:fill="CCEEFF"/>
          </w:tcPr>
          <w:p>
            <w:pPr>
              <w:spacing w:after="0"/>
              <w:rPr>
                <w:sz w:val="20"/>
                <w:szCs w:val="20"/>
                <w:color w:val="auto"/>
              </w:rPr>
            </w:pPr>
            <w:r>
              <w:rPr>
                <w:rFonts w:ascii="Arial" w:cs="Arial" w:eastAsia="Arial" w:hAnsi="Arial"/>
                <w:sz w:val="18"/>
                <w:szCs w:val="18"/>
                <w:color w:val="auto"/>
              </w:rPr>
              <w:t>January 28 - February 24, 2018</w:t>
            </w:r>
          </w:p>
        </w:tc>
        <w:tc>
          <w:tcPr>
            <w:tcW w:w="12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7,300</w:t>
            </w:r>
          </w:p>
        </w:tc>
        <w:tc>
          <w:tcPr>
            <w:tcW w:w="32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33.42</w:t>
            </w:r>
          </w:p>
        </w:tc>
        <w:tc>
          <w:tcPr>
            <w:tcW w:w="222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7,300</w:t>
            </w:r>
          </w:p>
        </w:tc>
        <w:tc>
          <w:tcPr>
            <w:tcW w:w="36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rPr>
              <w:t>$</w:t>
            </w:r>
          </w:p>
        </w:tc>
        <w:tc>
          <w:tcPr>
            <w:tcW w:w="1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11,209</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pacing w:after="0" w:line="201" w:lineRule="exact"/>
        <w:rPr>
          <w:sz w:val="20"/>
          <w:szCs w:val="20"/>
          <w:color w:val="auto"/>
        </w:rPr>
      </w:pPr>
    </w:p>
    <w:p>
      <w:pPr>
        <w:jc w:val="both"/>
        <w:ind w:left="340" w:hanging="332"/>
        <w:spacing w:after="0" w:line="255" w:lineRule="auto"/>
        <w:tabs>
          <w:tab w:leader="none" w:pos="34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Company is authorized to repurchase Company stock under a plan which was originally announced in 1998. On October 9, 2014, the Board of Directors increased the remaining limit of the repurchase plan to $20,000. At February 24, 2018, $11,209 remains available for stock repurchases under the plan.</w:t>
      </w:r>
    </w:p>
    <w:p>
      <w:pPr>
        <w:ind w:left="340" w:hanging="332"/>
        <w:spacing w:after="0"/>
        <w:tabs>
          <w:tab w:leader="none" w:pos="340" w:val="left"/>
        </w:tabs>
        <w:numPr>
          <w:ilvl w:val="0"/>
          <w:numId w:val="9"/>
        </w:numPr>
        <w:rPr>
          <w:rFonts w:ascii="Arial" w:cs="Arial" w:eastAsia="Arial" w:hAnsi="Arial"/>
          <w:sz w:val="18"/>
          <w:szCs w:val="18"/>
          <w:color w:val="auto"/>
        </w:rPr>
      </w:pPr>
      <w:r>
        <w:rPr>
          <w:rFonts w:ascii="Arial" w:cs="Arial" w:eastAsia="Arial" w:hAnsi="Arial"/>
          <w:sz w:val="18"/>
          <w:szCs w:val="18"/>
          <w:color w:val="auto"/>
        </w:rPr>
        <w:t>In January 2018, 14,000 shares were tendered by employees to satisfy tax withholding obligations on vested restricted stock.</w:t>
      </w:r>
    </w:p>
    <w:p>
      <w:pPr>
        <w:spacing w:after="0" w:line="20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Defaults Upon Senior Securities</w:t>
      </w:r>
    </w:p>
    <w:p>
      <w:pPr>
        <w:spacing w:after="0" w:line="228"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6. Exhibits</w:t>
      </w:r>
    </w:p>
    <w:p>
      <w:pPr>
        <w:spacing w:after="0" w:line="228" w:lineRule="exact"/>
        <w:rPr>
          <w:sz w:val="20"/>
          <w:szCs w:val="20"/>
          <w:color w:val="auto"/>
        </w:rPr>
      </w:pPr>
    </w:p>
    <w:p>
      <w:pPr>
        <w:ind w:left="340" w:hanging="332"/>
        <w:spacing w:after="0"/>
        <w:tabs>
          <w:tab w:leader="none" w:pos="3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Exhibits:</w:t>
      </w:r>
    </w:p>
    <w:p>
      <w:pPr>
        <w:spacing w:after="0" w:line="223" w:lineRule="exact"/>
        <w:rPr>
          <w:rFonts w:ascii="Arial" w:cs="Arial" w:eastAsia="Arial" w:hAnsi="Arial"/>
          <w:sz w:val="18"/>
          <w:szCs w:val="18"/>
          <w:color w:val="auto"/>
        </w:rPr>
      </w:pPr>
    </w:p>
    <w:p>
      <w:pPr>
        <w:ind w:left="340" w:right="580"/>
        <w:spacing w:after="0" w:line="276" w:lineRule="auto"/>
        <w:rPr>
          <w:rFonts w:ascii="Arial" w:cs="Arial" w:eastAsia="Arial" w:hAnsi="Arial"/>
          <w:sz w:val="18"/>
          <w:szCs w:val="18"/>
          <w:color w:val="auto"/>
        </w:rPr>
      </w:pPr>
      <w:r>
        <w:rPr>
          <w:rFonts w:ascii="Arial" w:cs="Arial" w:eastAsia="Arial" w:hAnsi="Arial"/>
          <w:sz w:val="18"/>
          <w:szCs w:val="18"/>
          <w:color w:val="auto"/>
        </w:rPr>
        <w:t>Exhibit 3a – Articles of Incorporation as amended to date are incorporated herein by reference to the Exhibit to Form 10-Q for the fiscal quarter ended February 28, 1994.</w:t>
      </w:r>
    </w:p>
    <w:p>
      <w:pPr>
        <w:spacing w:after="0" w:line="169" w:lineRule="exact"/>
        <w:rPr>
          <w:rFonts w:ascii="Arial" w:cs="Arial" w:eastAsia="Arial" w:hAnsi="Arial"/>
          <w:sz w:val="18"/>
          <w:szCs w:val="18"/>
          <w:color w:val="auto"/>
        </w:rPr>
      </w:pPr>
    </w:p>
    <w:p>
      <w:pPr>
        <w:ind w:left="340"/>
        <w:spacing w:after="0"/>
        <w:rPr>
          <w:rFonts w:ascii="Arial" w:cs="Arial" w:eastAsia="Arial" w:hAnsi="Arial"/>
          <w:sz w:val="17"/>
          <w:szCs w:val="17"/>
          <w:u w:val="single" w:color="auto"/>
          <w:color w:val="0000EE"/>
        </w:rPr>
      </w:pPr>
      <w:hyperlink r:id="rId40">
        <w:r>
          <w:rPr>
            <w:rFonts w:ascii="Arial" w:cs="Arial" w:eastAsia="Arial" w:hAnsi="Arial"/>
            <w:sz w:val="17"/>
            <w:szCs w:val="17"/>
            <w:u w:val="single" w:color="auto"/>
            <w:color w:val="0000EE"/>
          </w:rPr>
          <w:t>Exhibit 3b – By-laws as amended to date are incorporated herein by reference to Exhibit 3 to Form 8-K filed with the SEC on March 13, 2018.</w:t>
        </w:r>
      </w:hyperlink>
    </w:p>
    <w:p>
      <w:pPr>
        <w:spacing w:after="0" w:line="235" w:lineRule="exact"/>
        <w:rPr>
          <w:rFonts w:ascii="Arial" w:cs="Arial" w:eastAsia="Arial" w:hAnsi="Arial"/>
          <w:sz w:val="17"/>
          <w:szCs w:val="17"/>
          <w:u w:val="single" w:color="auto"/>
          <w:color w:val="0000EE"/>
        </w:rPr>
      </w:pPr>
    </w:p>
    <w:p>
      <w:pPr>
        <w:ind w:left="340" w:right="600"/>
        <w:spacing w:after="0" w:line="276" w:lineRule="auto"/>
        <w:rPr>
          <w:rFonts w:ascii="Arial" w:cs="Arial" w:eastAsia="Arial" w:hAnsi="Arial"/>
          <w:sz w:val="17"/>
          <w:szCs w:val="17"/>
          <w:u w:val="single" w:color="auto"/>
          <w:color w:val="0000EE"/>
        </w:rPr>
      </w:pPr>
      <w:r>
        <w:rPr>
          <w:rFonts w:ascii="Arial" w:cs="Arial" w:eastAsia="Arial" w:hAnsi="Arial"/>
          <w:sz w:val="18"/>
          <w:szCs w:val="18"/>
          <w:color w:val="auto"/>
        </w:rPr>
        <w:t>Exhibit 4 – Registrant hereby agrees to furnish the SEC, upon request, other instruments defining the rights of holders of long-term debt of the Registrant.</w:t>
      </w:r>
    </w:p>
    <w:p>
      <w:pPr>
        <w:spacing w:after="0" w:line="169" w:lineRule="exact"/>
        <w:rPr>
          <w:rFonts w:ascii="Arial" w:cs="Arial" w:eastAsia="Arial" w:hAnsi="Arial"/>
          <w:sz w:val="17"/>
          <w:szCs w:val="17"/>
          <w:u w:val="single" w:color="auto"/>
          <w:color w:val="0000EE"/>
        </w:rPr>
      </w:pPr>
    </w:p>
    <w:p>
      <w:pPr>
        <w:jc w:val="both"/>
        <w:ind w:left="340" w:right="3020"/>
        <w:spacing w:after="0" w:line="561" w:lineRule="auto"/>
        <w:rPr>
          <w:rFonts w:ascii="Arial" w:cs="Arial" w:eastAsia="Arial" w:hAnsi="Arial"/>
          <w:sz w:val="16"/>
          <w:szCs w:val="16"/>
          <w:u w:val="single" w:color="auto"/>
          <w:color w:val="0000EE"/>
        </w:rPr>
      </w:pPr>
      <w:hyperlink w:anchor="page40">
        <w:r>
          <w:rPr>
            <w:rFonts w:ascii="Arial" w:cs="Arial" w:eastAsia="Arial" w:hAnsi="Arial"/>
            <w:sz w:val="16"/>
            <w:szCs w:val="16"/>
            <w:u w:val="single" w:color="auto"/>
            <w:color w:val="0000EE"/>
          </w:rPr>
          <w:t>Exhibit 31a – Chief Executive Officer’s certification pursuant to Section 302 of the Sarbanes-Oxley Act of 2002</w:t>
        </w:r>
      </w:hyperlink>
      <w:r>
        <w:rPr>
          <w:rFonts w:ascii="Arial" w:cs="Arial" w:eastAsia="Arial" w:hAnsi="Arial"/>
          <w:sz w:val="16"/>
          <w:szCs w:val="16"/>
          <w:u w:val="single" w:color="auto"/>
          <w:color w:val="0000EE"/>
        </w:rPr>
        <w:t xml:space="preserve"> </w:t>
      </w:r>
      <w:hyperlink w:anchor="page41">
        <w:r>
          <w:rPr>
            <w:rFonts w:ascii="Arial" w:cs="Arial" w:eastAsia="Arial" w:hAnsi="Arial"/>
            <w:sz w:val="16"/>
            <w:szCs w:val="16"/>
            <w:u w:val="single" w:color="auto"/>
            <w:color w:val="0000EE"/>
          </w:rPr>
          <w:t>Exhibit 31b – Chief Financial Officer’s certification pursuant to Section 302 of the Sarbanes-Oxley Act of 2002</w:t>
        </w:r>
      </w:hyperlink>
    </w:p>
    <w:p>
      <w:pPr>
        <w:spacing w:after="0" w:line="1" w:lineRule="exact"/>
        <w:rPr>
          <w:rFonts w:ascii="Arial" w:cs="Arial" w:eastAsia="Arial" w:hAnsi="Arial"/>
          <w:sz w:val="16"/>
          <w:szCs w:val="16"/>
          <w:u w:val="single" w:color="auto"/>
          <w:color w:val="0000EE"/>
        </w:rPr>
      </w:pPr>
    </w:p>
    <w:p>
      <w:pPr>
        <w:ind w:left="340" w:right="580"/>
        <w:spacing w:after="0" w:line="276" w:lineRule="auto"/>
        <w:rPr>
          <w:rFonts w:ascii="Arial" w:cs="Arial" w:eastAsia="Arial" w:hAnsi="Arial"/>
          <w:sz w:val="18"/>
          <w:szCs w:val="18"/>
          <w:u w:val="single" w:color="auto"/>
          <w:color w:val="0000EE"/>
        </w:rPr>
      </w:pPr>
      <w:hyperlink w:anchor="page42">
        <w:r>
          <w:rPr>
            <w:rFonts w:ascii="Arial" w:cs="Arial" w:eastAsia="Arial" w:hAnsi="Arial"/>
            <w:sz w:val="18"/>
            <w:szCs w:val="18"/>
            <w:u w:val="single" w:color="auto"/>
            <w:color w:val="0000EE"/>
          </w:rPr>
          <w:t>Exhibit 32a – Chief Executive Officer’s certification pursuant to 18 U.S.C. 1350, as adopted pursuant to Section 906 of the Sarbanes-Oxley Act</w:t>
        </w:r>
      </w:hyperlink>
      <w:r>
        <w:rPr>
          <w:rFonts w:ascii="Arial" w:cs="Arial" w:eastAsia="Arial" w:hAnsi="Arial"/>
          <w:sz w:val="18"/>
          <w:szCs w:val="18"/>
          <w:u w:val="single" w:color="auto"/>
          <w:color w:val="0000EE"/>
        </w:rPr>
        <w:t xml:space="preserve"> </w:t>
      </w:r>
      <w:hyperlink w:anchor="page42">
        <w:r>
          <w:rPr>
            <w:rFonts w:ascii="Arial" w:cs="Arial" w:eastAsia="Arial" w:hAnsi="Arial"/>
            <w:sz w:val="18"/>
            <w:szCs w:val="18"/>
            <w:u w:val="single" w:color="auto"/>
            <w:color w:val="0000EE"/>
          </w:rPr>
          <w:t>of 2002</w:t>
        </w:r>
      </w:hyperlink>
    </w:p>
    <w:p>
      <w:pPr>
        <w:spacing w:after="0" w:line="169" w:lineRule="exact"/>
        <w:rPr>
          <w:rFonts w:ascii="Arial" w:cs="Arial" w:eastAsia="Arial" w:hAnsi="Arial"/>
          <w:sz w:val="18"/>
          <w:szCs w:val="18"/>
          <w:u w:val="single" w:color="auto"/>
          <w:color w:val="0000EE"/>
        </w:rPr>
      </w:pPr>
    </w:p>
    <w:p>
      <w:pPr>
        <w:ind w:left="340" w:right="580"/>
        <w:spacing w:after="0" w:line="276" w:lineRule="auto"/>
        <w:rPr>
          <w:rFonts w:ascii="Arial" w:cs="Arial" w:eastAsia="Arial" w:hAnsi="Arial"/>
          <w:sz w:val="18"/>
          <w:szCs w:val="18"/>
          <w:u w:val="single" w:color="auto"/>
          <w:color w:val="0000EE"/>
        </w:rPr>
      </w:pPr>
      <w:hyperlink w:anchor="page43">
        <w:r>
          <w:rPr>
            <w:rFonts w:ascii="Arial" w:cs="Arial" w:eastAsia="Arial" w:hAnsi="Arial"/>
            <w:sz w:val="18"/>
            <w:szCs w:val="18"/>
            <w:u w:val="single" w:color="auto"/>
            <w:color w:val="0000EE"/>
          </w:rPr>
          <w:t>Exhibit 32b – Chief Financial Officer’s certification pursuant to 18 U.S.C. 1350, as adopted pursuant to Section 906 of the Sarbanes-Oxley Act of</w:t>
        </w:r>
      </w:hyperlink>
      <w:r>
        <w:rPr>
          <w:rFonts w:ascii="Arial" w:cs="Arial" w:eastAsia="Arial" w:hAnsi="Arial"/>
          <w:sz w:val="18"/>
          <w:szCs w:val="18"/>
          <w:u w:val="single" w:color="auto"/>
          <w:color w:val="0000EE"/>
        </w:rPr>
        <w:t xml:space="preserve"> </w:t>
      </w:r>
      <w:hyperlink w:anchor="page43">
        <w:r>
          <w:rPr>
            <w:rFonts w:ascii="Arial" w:cs="Arial" w:eastAsia="Arial" w:hAnsi="Arial"/>
            <w:sz w:val="18"/>
            <w:szCs w:val="18"/>
            <w:u w:val="single" w:color="auto"/>
            <w:color w:val="0000EE"/>
          </w:rPr>
          <w:t>2002</w:t>
        </w:r>
      </w:hyperlink>
    </w:p>
    <w:p>
      <w:pPr>
        <w:spacing w:after="0" w:line="170" w:lineRule="exact"/>
        <w:rPr>
          <w:rFonts w:ascii="Arial" w:cs="Arial" w:eastAsia="Arial" w:hAnsi="Arial"/>
          <w:sz w:val="18"/>
          <w:szCs w:val="18"/>
          <w:u w:val="single" w:color="auto"/>
          <w:color w:val="0000EE"/>
        </w:rPr>
      </w:pPr>
    </w:p>
    <w:p>
      <w:pPr>
        <w:ind w:left="340" w:right="580"/>
        <w:spacing w:after="0" w:line="258" w:lineRule="auto"/>
        <w:rPr>
          <w:sz w:val="20"/>
          <w:szCs w:val="20"/>
          <w:color w:val="auto"/>
        </w:rPr>
      </w:pPr>
      <w:r>
        <w:rPr>
          <w:rFonts w:ascii="Arial" w:cs="Arial" w:eastAsia="Arial" w:hAnsi="Arial"/>
          <w:sz w:val="18"/>
          <w:szCs w:val="18"/>
          <w:color w:val="auto"/>
        </w:rPr>
        <w:t>Exhibit 101 – The following financial statements from the Company's Quarterly Report on Form 10-Q for the quarter ended February 24, 2018 formatted in Extensible Business Reporting Language (“XBRL”): (i) condensed consolidated</w:t>
      </w:r>
    </w:p>
    <w:p>
      <w:pPr>
        <w:ind w:left="340" w:right="580"/>
        <w:spacing w:after="0" w:line="259" w:lineRule="auto"/>
        <w:rPr>
          <w:sz w:val="20"/>
          <w:szCs w:val="20"/>
          <w:color w:val="auto"/>
        </w:rPr>
      </w:pPr>
      <w:r>
        <w:rPr>
          <w:rFonts w:ascii="Arial" w:cs="Arial" w:eastAsia="Arial" w:hAnsi="Arial"/>
          <w:sz w:val="18"/>
          <w:szCs w:val="18"/>
          <w:color w:val="auto"/>
        </w:rPr>
        <w:t>balance sheets, (ii) condensed consolidated statements of operations and retained earnings, (iii) condensed consolidated statements of cash flows, and (iv) the notes to the condensed consolidated financial statements, tagged as blocks of text.</w:t>
      </w:r>
    </w:p>
    <w:p>
      <w:pPr>
        <w:spacing w:after="0" w:line="185" w:lineRule="exact"/>
        <w:rPr>
          <w:rFonts w:ascii="Arial" w:cs="Arial" w:eastAsia="Arial" w:hAnsi="Arial"/>
          <w:sz w:val="18"/>
          <w:szCs w:val="18"/>
          <w:u w:val="single" w:color="auto"/>
          <w:color w:val="0000EE"/>
        </w:rPr>
      </w:pPr>
    </w:p>
    <w:p>
      <w:pPr>
        <w:jc w:val="center"/>
        <w:spacing w:after="0"/>
        <w:rPr>
          <w:sz w:val="20"/>
          <w:szCs w:val="20"/>
          <w:color w:val="auto"/>
        </w:rPr>
      </w:pPr>
      <w:r>
        <w:rPr>
          <w:rFonts w:ascii="Arial" w:cs="Arial" w:eastAsia="Arial" w:hAnsi="Arial"/>
          <w:sz w:val="18"/>
          <w:szCs w:val="18"/>
          <w:color w:val="auto"/>
        </w:rPr>
        <w:t>37 of 39</w:t>
      </w:r>
    </w:p>
    <w:p>
      <w:pPr>
        <w:spacing w:after="0" w:line="20" w:lineRule="exact"/>
        <w:rPr>
          <w:rFonts w:ascii="Arial" w:cs="Arial" w:eastAsia="Arial" w:hAnsi="Arial"/>
          <w:sz w:val="18"/>
          <w:szCs w:val="18"/>
          <w:u w:val="single" w:color="auto"/>
          <w:color w:val="0000EE"/>
        </w:rPr>
      </w:pPr>
      <w:r>
        <w:rPr>
          <w:rFonts w:ascii="Arial" w:cs="Arial" w:eastAsia="Arial" w:hAnsi="Arial"/>
          <w:sz w:val="18"/>
          <w:szCs w:val="18"/>
          <w:u w:val="single" w:color="auto"/>
          <w:color w:val="0000EE"/>
        </w:rPr>
        <w:drawing>
          <wp:anchor simplePos="0" relativeHeight="251657728" behindDoc="1" locked="0" layoutInCell="0" allowOverlap="1">
            <wp:simplePos x="0" y="0"/>
            <wp:positionH relativeFrom="column">
              <wp:posOffset>5080</wp:posOffset>
            </wp:positionH>
            <wp:positionV relativeFrom="paragraph">
              <wp:posOffset>82550</wp:posOffset>
            </wp:positionV>
            <wp:extent cx="7247255" cy="171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extLst>
                        <a:ext uri="{28A0092B-C50C-407E-A947-70E740481C1C}"/>
                      </a:extLst>
                    </a:blip>
                    <a:srcRect/>
                    <a:stretch>
                      <a:fillRect/>
                    </a:stretch>
                  </pic:blipFill>
                  <pic:spPr bwMode="auto">
                    <a:xfrm>
                      <a:off x="0" y="0"/>
                      <a:ext cx="7247255" cy="17145"/>
                    </a:xfrm>
                    <a:prstGeom prst="rect">
                      <a:avLst/>
                    </a:prstGeom>
                    <a:noFill/>
                  </pic:spPr>
                </pic:pic>
              </a:graphicData>
            </a:graphic>
          </wp:anchor>
        </w:drawing>
      </w:r>
    </w:p>
    <w:p>
      <w:pPr>
        <w:sectPr>
          <w:pgSz w:w="11900" w:h="16838" w:orient="portrait"/>
          <w:cols w:equalWidth="0" w:num="1">
            <w:col w:w="11420"/>
          </w:cols>
          <w:pgMar w:left="240" w:top="583" w:right="239" w:bottom="1440" w:gutter="0" w:footer="0" w:header="0"/>
        </w:sectPr>
      </w:pPr>
    </w:p>
    <w:bookmarkStart w:id="37" w:name="page38"/>
    <w:bookmarkEnd w:id="37"/>
    <w:p>
      <w:pPr>
        <w:jc w:val="center"/>
        <w:ind w:right="-860"/>
        <w:spacing w:after="0"/>
        <w:rPr>
          <w:sz w:val="20"/>
          <w:szCs w:val="20"/>
          <w:color w:val="auto"/>
        </w:rPr>
      </w:pPr>
      <w:r>
        <w:rPr>
          <w:rFonts w:ascii="Arial" w:cs="Arial" w:eastAsia="Arial" w:hAnsi="Arial"/>
          <w:sz w:val="18"/>
          <w:szCs w:val="18"/>
          <w:u w:val="single" w:color="auto"/>
          <w:color w:val="auto"/>
        </w:rPr>
        <w:t>PART II - OTHER INFORMATION-CONTINUED</w:t>
      </w:r>
    </w:p>
    <w:p>
      <w:pPr>
        <w:spacing w:after="0" w:line="23" w:lineRule="exact"/>
        <w:rPr>
          <w:sz w:val="20"/>
          <w:szCs w:val="20"/>
          <w:color w:val="auto"/>
        </w:rPr>
      </w:pPr>
    </w:p>
    <w:p>
      <w:pPr>
        <w:jc w:val="center"/>
        <w:ind w:right="-860"/>
        <w:spacing w:after="0"/>
        <w:rPr>
          <w:sz w:val="20"/>
          <w:szCs w:val="20"/>
          <w:color w:val="auto"/>
        </w:rPr>
      </w:pPr>
      <w:r>
        <w:rPr>
          <w:rFonts w:ascii="Arial" w:cs="Arial" w:eastAsia="Arial" w:hAnsi="Arial"/>
          <w:sz w:val="17"/>
          <w:szCs w:val="17"/>
          <w:u w:val="single" w:color="auto"/>
          <w:color w:val="auto"/>
        </w:rPr>
        <w:t>BASSETT FURNITURE INDUSTRIES INCORPORATED AND SUBSIDIARIES</w:t>
      </w:r>
    </w:p>
    <w:p>
      <w:pPr>
        <w:spacing w:after="0" w:line="20" w:lineRule="exact"/>
        <w:rPr>
          <w:sz w:val="20"/>
          <w:szCs w:val="20"/>
          <w:color w:val="auto"/>
        </w:rPr>
      </w:pPr>
    </w:p>
    <w:p>
      <w:pPr>
        <w:jc w:val="center"/>
        <w:ind w:right="-860"/>
        <w:spacing w:after="0"/>
        <w:rPr>
          <w:sz w:val="20"/>
          <w:szCs w:val="20"/>
          <w:color w:val="auto"/>
        </w:rPr>
      </w:pPr>
      <w:r>
        <w:rPr>
          <w:rFonts w:ascii="Arial" w:cs="Arial" w:eastAsia="Arial" w:hAnsi="Arial"/>
          <w:sz w:val="18"/>
          <w:szCs w:val="18"/>
          <w:u w:val="single" w:color="auto"/>
          <w:color w:val="auto"/>
        </w:rPr>
        <w:t>FEBRUARY 24, 2018</w:t>
      </w:r>
    </w:p>
    <w:p>
      <w:pPr>
        <w:spacing w:after="0" w:line="8" w:lineRule="exact"/>
        <w:rPr>
          <w:sz w:val="20"/>
          <w:szCs w:val="20"/>
          <w:color w:val="auto"/>
        </w:rPr>
      </w:pPr>
    </w:p>
    <w:p>
      <w:pPr>
        <w:jc w:val="center"/>
        <w:ind w:right="-860"/>
        <w:spacing w:after="0"/>
        <w:rPr>
          <w:sz w:val="20"/>
          <w:szCs w:val="20"/>
          <w:color w:val="auto"/>
        </w:rPr>
      </w:pPr>
      <w:r>
        <w:rPr>
          <w:rFonts w:ascii="Arial" w:cs="Arial" w:eastAsia="Arial" w:hAnsi="Arial"/>
          <w:sz w:val="18"/>
          <w:szCs w:val="18"/>
          <w:color w:val="auto"/>
        </w:rPr>
        <w:t>(Dollars in thousands except share and per share data)</w:t>
      </w:r>
    </w:p>
    <w:p>
      <w:pPr>
        <w:spacing w:after="0" w:line="209" w:lineRule="exact"/>
        <w:rPr>
          <w:sz w:val="20"/>
          <w:szCs w:val="20"/>
          <w:color w:val="auto"/>
        </w:rPr>
      </w:pPr>
    </w:p>
    <w:p>
      <w:pPr>
        <w:spacing w:after="0"/>
        <w:rPr>
          <w:sz w:val="20"/>
          <w:szCs w:val="20"/>
          <w:color w:val="auto"/>
        </w:rPr>
      </w:pPr>
      <w:r>
        <w:rPr>
          <w:rFonts w:ascii="Arial" w:cs="Arial" w:eastAsia="Arial" w:hAnsi="Arial"/>
          <w:sz w:val="18"/>
          <w:szCs w:val="18"/>
          <w:color w:val="auto"/>
        </w:rPr>
        <w:t>Exhibit 101.INS XBRL Instance</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color w:val="auto"/>
        </w:rPr>
        <w:t>Exhibit 101.SCH XBRL Taxonomy Extension Schema</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color w:val="auto"/>
        </w:rPr>
        <w:t>Exhibit 101.CAL XBRL Taxonomy Extension Calculation</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color w:val="auto"/>
        </w:rPr>
        <w:t>Exhibit 101.DEF XBRL Taxonomy Extension Definition</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color w:val="auto"/>
        </w:rPr>
        <w:t>Exhibit 101.LAB XBRL Taxonomy Extension Labels</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color w:val="auto"/>
        </w:rPr>
        <w:t>Exhibit 101.PRE XBRL Taxonomy Extension Presentation</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color w:val="auto"/>
        </w:rPr>
        <w:t>*Management contract of compensatory plan or arrangement of the Company.</w:t>
      </w:r>
    </w:p>
    <w:p>
      <w:pPr>
        <w:spacing w:after="0" w:line="224" w:lineRule="exact"/>
        <w:rPr>
          <w:sz w:val="20"/>
          <w:szCs w:val="20"/>
          <w:color w:val="auto"/>
        </w:rPr>
      </w:pPr>
    </w:p>
    <w:p>
      <w:pPr>
        <w:ind w:left="5080"/>
        <w:spacing w:after="0"/>
        <w:rPr>
          <w:sz w:val="20"/>
          <w:szCs w:val="20"/>
          <w:color w:val="auto"/>
        </w:rPr>
      </w:pPr>
      <w:r>
        <w:rPr>
          <w:rFonts w:ascii="Arial" w:cs="Arial" w:eastAsia="Arial" w:hAnsi="Arial"/>
          <w:sz w:val="18"/>
          <w:szCs w:val="18"/>
          <w:color w:val="auto"/>
        </w:rPr>
        <w:t>38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-210185</wp:posOffset>
            </wp:positionH>
            <wp:positionV relativeFrom="paragraph">
              <wp:posOffset>82550</wp:posOffset>
            </wp:positionV>
            <wp:extent cx="7247255" cy="171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a:extLst>
                        <a:ext uri="{28A0092B-C50C-407E-A947-70E740481C1C}"/>
                      </a:extLst>
                    </a:blip>
                    <a:srcRect/>
                    <a:stretch>
                      <a:fillRect/>
                    </a:stretch>
                  </pic:blipFill>
                  <pic:spPr bwMode="auto">
                    <a:xfrm>
                      <a:off x="0" y="0"/>
                      <a:ext cx="7247255" cy="17145"/>
                    </a:xfrm>
                    <a:prstGeom prst="rect">
                      <a:avLst/>
                    </a:prstGeom>
                    <a:noFill/>
                  </pic:spPr>
                </pic:pic>
              </a:graphicData>
            </a:graphic>
          </wp:anchor>
        </w:drawing>
      </w:r>
    </w:p>
    <w:p>
      <w:pPr>
        <w:sectPr>
          <w:pgSz w:w="11900" w:h="16838" w:orient="portrait"/>
          <w:cols w:equalWidth="0" w:num="1">
            <w:col w:w="9879"/>
          </w:cols>
          <w:pgMar w:left="580" w:top="583" w:right="1440" w:bottom="1440" w:gutter="0" w:footer="0" w:header="0"/>
        </w:sectPr>
      </w:pPr>
    </w:p>
    <w:bookmarkStart w:id="38" w:name="page39"/>
    <w:bookmarkEnd w:id="38"/>
    <w:p>
      <w:pPr>
        <w:jc w:val="center"/>
        <w:ind w:right="-139"/>
        <w:spacing w:after="0"/>
        <w:rPr>
          <w:sz w:val="20"/>
          <w:szCs w:val="20"/>
          <w:color w:val="auto"/>
        </w:rPr>
      </w:pPr>
      <w:r>
        <w:rPr>
          <w:rFonts w:ascii="Arial" w:cs="Arial" w:eastAsia="Arial" w:hAnsi="Arial"/>
          <w:sz w:val="18"/>
          <w:szCs w:val="18"/>
          <w:u w:val="single" w:color="auto"/>
          <w:color w:val="auto"/>
        </w:rPr>
        <w:t>SIGNATURES</w:t>
      </w:r>
    </w:p>
    <w:p>
      <w:pPr>
        <w:spacing w:after="0" w:line="200" w:lineRule="exact"/>
        <w:rPr>
          <w:sz w:val="20"/>
          <w:szCs w:val="20"/>
          <w:color w:val="auto"/>
        </w:rPr>
      </w:pPr>
    </w:p>
    <w:p>
      <w:pPr>
        <w:spacing w:after="0" w:line="239" w:lineRule="exact"/>
        <w:rPr>
          <w:sz w:val="20"/>
          <w:szCs w:val="20"/>
          <w:color w:val="auto"/>
        </w:rPr>
      </w:pPr>
    </w:p>
    <w:p>
      <w:pPr>
        <w:spacing w:after="0" w:line="276"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color w:val="auto"/>
        </w:rPr>
        <w:t>BASSETT FURNITURE INDUSTRIES, INCORPORATED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color w:val="auto"/>
        </w:rPr>
        <w:t>/s/</w:t>
      </w:r>
      <w:r>
        <w:rPr>
          <w:sz w:val="20"/>
          <w:szCs w:val="20"/>
          <w:color w:val="auto"/>
        </w:rPr>
        <w:tab/>
      </w:r>
      <w:r>
        <w:rPr>
          <w:rFonts w:ascii="Arial" w:cs="Arial" w:eastAsia="Arial" w:hAnsi="Arial"/>
          <w:sz w:val="18"/>
          <w:szCs w:val="18"/>
          <w:color w:val="auto"/>
        </w:rPr>
        <w:t>R</w:t>
      </w:r>
      <w:r>
        <w:rPr>
          <w:rFonts w:ascii="Arial" w:cs="Arial" w:eastAsia="Arial" w:hAnsi="Arial"/>
          <w:sz w:val="12"/>
          <w:szCs w:val="12"/>
          <w:color w:val="auto"/>
        </w:rPr>
        <w:t>OBERT</w:t>
      </w:r>
      <w:r>
        <w:rPr>
          <w:rFonts w:ascii="Arial" w:cs="Arial" w:eastAsia="Arial" w:hAnsi="Arial"/>
          <w:sz w:val="18"/>
          <w:szCs w:val="18"/>
          <w:color w:val="auto"/>
        </w:rPr>
        <w:t xml:space="preserve"> H. S</w:t>
      </w:r>
      <w:r>
        <w:rPr>
          <w:rFonts w:ascii="Arial" w:cs="Arial" w:eastAsia="Arial" w:hAnsi="Arial"/>
          <w:sz w:val="12"/>
          <w:szCs w:val="12"/>
          <w:color w:val="auto"/>
        </w:rPr>
        <w:t>PILMAN</w:t>
      </w:r>
      <w:r>
        <w:rPr>
          <w:rFonts w:ascii="Arial" w:cs="Arial" w:eastAsia="Arial" w:hAnsi="Arial"/>
          <w:sz w:val="18"/>
          <w:szCs w:val="18"/>
          <w:color w:val="auto"/>
        </w:rPr>
        <w:t>, J</w:t>
      </w:r>
      <w:r>
        <w:rPr>
          <w:rFonts w:ascii="Arial" w:cs="Arial" w:eastAsia="Arial" w:hAnsi="Arial"/>
          <w:sz w:val="12"/>
          <w:szCs w:val="12"/>
          <w:color w:val="auto"/>
        </w:rPr>
        <w:t>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112395</wp:posOffset>
            </wp:positionH>
            <wp:positionV relativeFrom="paragraph">
              <wp:posOffset>-10795</wp:posOffset>
            </wp:positionV>
            <wp:extent cx="1912620" cy="825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3">
                      <a:extLst>
                        <a:ext uri="{28A0092B-C50C-407E-A947-70E740481C1C}"/>
                      </a:extLst>
                    </a:blip>
                    <a:srcRect/>
                    <a:stretch>
                      <a:fillRect/>
                    </a:stretch>
                  </pic:blipFill>
                  <pic:spPr bwMode="auto">
                    <a:xfrm>
                      <a:off x="0" y="0"/>
                      <a:ext cx="1912620" cy="8255"/>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Robert H. Spilman, Jr., Chairman and Chief Executive Officer</w:t>
      </w:r>
    </w:p>
    <w:p>
      <w:pPr>
        <w:spacing w:after="0" w:line="8" w:lineRule="exact"/>
        <w:rPr>
          <w:sz w:val="20"/>
          <w:szCs w:val="20"/>
          <w:color w:val="auto"/>
        </w:rPr>
      </w:pPr>
    </w:p>
    <w:p>
      <w:pPr>
        <w:spacing w:after="0"/>
        <w:rPr>
          <w:sz w:val="20"/>
          <w:szCs w:val="20"/>
          <w:color w:val="auto"/>
        </w:rPr>
      </w:pPr>
      <w:r>
        <w:rPr>
          <w:rFonts w:ascii="Arial" w:cs="Arial" w:eastAsia="Arial" w:hAnsi="Arial"/>
          <w:sz w:val="18"/>
          <w:szCs w:val="18"/>
          <w:color w:val="auto"/>
        </w:rPr>
        <w:t>March 28, 2018</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spacing w:after="0"/>
        <w:tabs>
          <w:tab w:leader="none" w:pos="740" w:val="left"/>
        </w:tabs>
        <w:rPr>
          <w:sz w:val="20"/>
          <w:szCs w:val="20"/>
          <w:color w:val="auto"/>
        </w:rPr>
      </w:pPr>
      <w:r>
        <w:rPr>
          <w:rFonts w:ascii="Arial" w:cs="Arial" w:eastAsia="Arial" w:hAnsi="Arial"/>
          <w:sz w:val="18"/>
          <w:szCs w:val="18"/>
          <w:color w:val="auto"/>
        </w:rPr>
        <w:t>/s/</w:t>
      </w:r>
      <w:r>
        <w:rPr>
          <w:sz w:val="20"/>
          <w:szCs w:val="20"/>
          <w:color w:val="auto"/>
        </w:rPr>
        <w:tab/>
      </w:r>
      <w:r>
        <w:rPr>
          <w:rFonts w:ascii="Arial" w:cs="Arial" w:eastAsia="Arial" w:hAnsi="Arial"/>
          <w:sz w:val="18"/>
          <w:szCs w:val="18"/>
          <w:color w:val="auto"/>
        </w:rPr>
        <w:t>J. M</w:t>
      </w:r>
      <w:r>
        <w:rPr>
          <w:rFonts w:ascii="Arial" w:cs="Arial" w:eastAsia="Arial" w:hAnsi="Arial"/>
          <w:sz w:val="12"/>
          <w:szCs w:val="12"/>
          <w:color w:val="auto"/>
        </w:rPr>
        <w:t>ICHAEL</w:t>
      </w:r>
      <w:r>
        <w:rPr>
          <w:rFonts w:ascii="Arial" w:cs="Arial" w:eastAsia="Arial" w:hAnsi="Arial"/>
          <w:sz w:val="18"/>
          <w:szCs w:val="18"/>
          <w:color w:val="auto"/>
        </w:rPr>
        <w:t xml:space="preserve"> D</w:t>
      </w:r>
      <w:r>
        <w:rPr>
          <w:rFonts w:ascii="Arial" w:cs="Arial" w:eastAsia="Arial" w:hAnsi="Arial"/>
          <w:sz w:val="12"/>
          <w:szCs w:val="12"/>
          <w:color w:val="auto"/>
        </w:rPr>
        <w:t>ANIEL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112395</wp:posOffset>
            </wp:positionH>
            <wp:positionV relativeFrom="paragraph">
              <wp:posOffset>-10795</wp:posOffset>
            </wp:positionV>
            <wp:extent cx="1908175" cy="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4">
                      <a:extLst>
                        <a:ext uri="{28A0092B-C50C-407E-A947-70E740481C1C}"/>
                      </a:extLst>
                    </a:blip>
                    <a:srcRect/>
                    <a:stretch>
                      <a:fillRect/>
                    </a:stretch>
                  </pic:blipFill>
                  <pic:spPr bwMode="auto">
                    <a:xfrm>
                      <a:off x="0" y="0"/>
                      <a:ext cx="1908175" cy="8255"/>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J. Michael Daniel, Senior Vice President and Chief Financial Officer</w:t>
      </w:r>
    </w:p>
    <w:p>
      <w:pPr>
        <w:spacing w:after="0" w:line="8" w:lineRule="exact"/>
        <w:rPr>
          <w:sz w:val="20"/>
          <w:szCs w:val="20"/>
          <w:color w:val="auto"/>
        </w:rPr>
      </w:pPr>
    </w:p>
    <w:p>
      <w:pPr>
        <w:spacing w:after="0"/>
        <w:rPr>
          <w:sz w:val="20"/>
          <w:szCs w:val="20"/>
          <w:color w:val="auto"/>
        </w:rPr>
      </w:pPr>
      <w:r>
        <w:rPr>
          <w:rFonts w:ascii="Arial" w:cs="Arial" w:eastAsia="Arial" w:hAnsi="Arial"/>
          <w:sz w:val="18"/>
          <w:szCs w:val="18"/>
          <w:color w:val="auto"/>
        </w:rPr>
        <w:t>March 28, 2018</w:t>
      </w:r>
    </w:p>
    <w:p>
      <w:pPr>
        <w:spacing w:after="0" w:line="209"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39 of 39</w:t>
      </w:r>
    </w:p>
    <w:p>
      <w:pPr>
        <w:sectPr>
          <w:pgSz w:w="11900" w:h="16838" w:orient="portrait"/>
          <w:cols w:equalWidth="0" w:num="1">
            <w:col w:w="11300"/>
          </w:cols>
          <w:pgMar w:left="240" w:top="583" w:right="359" w:bottom="1440" w:gutter="0" w:footer="0" w:header="0"/>
        </w:sectPr>
      </w:pPr>
    </w:p>
    <w:bookmarkStart w:id="39" w:name="page40"/>
    <w:bookmarkEnd w:id="39"/>
    <w:p>
      <w:pPr>
        <w:jc w:val="right"/>
        <w:spacing w:after="0"/>
        <w:rPr>
          <w:sz w:val="20"/>
          <w:szCs w:val="20"/>
          <w:color w:val="auto"/>
        </w:rPr>
      </w:pPr>
      <w:r>
        <w:rPr>
          <w:rFonts w:ascii="Arial" w:cs="Arial" w:eastAsia="Arial" w:hAnsi="Arial"/>
          <w:sz w:val="18"/>
          <w:szCs w:val="18"/>
          <w:color w:val="auto"/>
        </w:rPr>
        <w:t>Exhibit 31a</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CERTIFICATIONS</w:t>
      </w:r>
    </w:p>
    <w:p>
      <w:pPr>
        <w:spacing w:after="0" w:line="200" w:lineRule="exact"/>
        <w:rPr>
          <w:sz w:val="20"/>
          <w:szCs w:val="20"/>
          <w:color w:val="auto"/>
        </w:rPr>
      </w:pP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I, Robert H. Spilman, Jr., certify that:</w:t>
      </w:r>
    </w:p>
    <w:p>
      <w:pPr>
        <w:spacing w:after="0" w:line="224" w:lineRule="exact"/>
        <w:rPr>
          <w:sz w:val="20"/>
          <w:szCs w:val="20"/>
          <w:color w:val="auto"/>
        </w:rPr>
      </w:pPr>
    </w:p>
    <w:p>
      <w:pPr>
        <w:ind w:left="340" w:hanging="332"/>
        <w:spacing w:after="0"/>
        <w:tabs>
          <w:tab w:leader="none" w:pos="3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Bassett Furniture Industries, Incorporated;</w:t>
      </w:r>
    </w:p>
    <w:p>
      <w:pPr>
        <w:spacing w:after="0" w:line="223" w:lineRule="exact"/>
        <w:rPr>
          <w:rFonts w:ascii="Arial" w:cs="Arial" w:eastAsia="Arial" w:hAnsi="Arial"/>
          <w:sz w:val="18"/>
          <w:szCs w:val="18"/>
          <w:color w:val="auto"/>
        </w:rPr>
      </w:pPr>
    </w:p>
    <w:p>
      <w:pPr>
        <w:ind w:left="340" w:hanging="332"/>
        <w:spacing w:after="0" w:line="340" w:lineRule="auto"/>
        <w:tabs>
          <w:tab w:leader="none" w:pos="340" w:val="left"/>
        </w:tabs>
        <w:numPr>
          <w:ilvl w:val="0"/>
          <w:numId w:val="11"/>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4" w:lineRule="exact"/>
        <w:rPr>
          <w:rFonts w:ascii="Arial" w:cs="Arial" w:eastAsia="Arial" w:hAnsi="Arial"/>
          <w:sz w:val="16"/>
          <w:szCs w:val="16"/>
          <w:color w:val="auto"/>
        </w:rPr>
      </w:pPr>
    </w:p>
    <w:p>
      <w:pPr>
        <w:ind w:left="340" w:hanging="332"/>
        <w:spacing w:after="0" w:line="276" w:lineRule="auto"/>
        <w:tabs>
          <w:tab w:leader="none" w:pos="3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69" w:lineRule="exact"/>
        <w:rPr>
          <w:rFonts w:ascii="Arial" w:cs="Arial" w:eastAsia="Arial" w:hAnsi="Arial"/>
          <w:sz w:val="18"/>
          <w:szCs w:val="18"/>
          <w:color w:val="auto"/>
        </w:rPr>
      </w:pPr>
    </w:p>
    <w:p>
      <w:pPr>
        <w:jc w:val="both"/>
        <w:ind w:left="340" w:hanging="332"/>
        <w:spacing w:after="0" w:line="262" w:lineRule="auto"/>
        <w:tabs>
          <w:tab w:leader="none" w:pos="3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83" w:lineRule="exact"/>
        <w:rPr>
          <w:rFonts w:ascii="Arial" w:cs="Arial" w:eastAsia="Arial" w:hAnsi="Arial"/>
          <w:sz w:val="18"/>
          <w:szCs w:val="18"/>
          <w:color w:val="auto"/>
        </w:rPr>
      </w:pPr>
    </w:p>
    <w:p>
      <w:pPr>
        <w:jc w:val="both"/>
        <w:ind w:left="660" w:hanging="329"/>
        <w:spacing w:after="0" w:line="262" w:lineRule="auto"/>
        <w:tabs>
          <w:tab w:leader="none" w:pos="660" w:val="left"/>
        </w:tabs>
        <w:numPr>
          <w:ilvl w:val="1"/>
          <w:numId w:val="11"/>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3" w:lineRule="exact"/>
        <w:rPr>
          <w:rFonts w:ascii="Arial" w:cs="Arial" w:eastAsia="Arial" w:hAnsi="Arial"/>
          <w:sz w:val="18"/>
          <w:szCs w:val="18"/>
          <w:color w:val="auto"/>
        </w:rPr>
      </w:pPr>
    </w:p>
    <w:p>
      <w:pPr>
        <w:jc w:val="both"/>
        <w:ind w:left="660" w:hanging="329"/>
        <w:spacing w:after="0" w:line="262" w:lineRule="auto"/>
        <w:tabs>
          <w:tab w:leader="none" w:pos="660" w:val="left"/>
        </w:tabs>
        <w:numPr>
          <w:ilvl w:val="1"/>
          <w:numId w:val="11"/>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3" w:lineRule="exact"/>
        <w:rPr>
          <w:rFonts w:ascii="Arial" w:cs="Arial" w:eastAsia="Arial" w:hAnsi="Arial"/>
          <w:sz w:val="18"/>
          <w:szCs w:val="18"/>
          <w:color w:val="auto"/>
        </w:rPr>
      </w:pPr>
    </w:p>
    <w:p>
      <w:pPr>
        <w:ind w:left="660" w:right="20" w:hanging="329"/>
        <w:spacing w:after="0" w:line="306" w:lineRule="auto"/>
        <w:tabs>
          <w:tab w:leader="none" w:pos="660" w:val="left"/>
        </w:tabs>
        <w:numPr>
          <w:ilvl w:val="1"/>
          <w:numId w:val="11"/>
        </w:numPr>
        <w:rPr>
          <w:rFonts w:ascii="Arial" w:cs="Arial" w:eastAsia="Arial" w:hAnsi="Arial"/>
          <w:sz w:val="17"/>
          <w:szCs w:val="17"/>
          <w:color w:val="auto"/>
        </w:rPr>
      </w:pPr>
      <w:r>
        <w:rPr>
          <w:rFonts w:ascii="Arial" w:cs="Arial" w:eastAsia="Arial" w:hAnsi="Arial"/>
          <w:sz w:val="17"/>
          <w:szCs w:val="17"/>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47" w:lineRule="exact"/>
        <w:rPr>
          <w:rFonts w:ascii="Arial" w:cs="Arial" w:eastAsia="Arial" w:hAnsi="Arial"/>
          <w:sz w:val="17"/>
          <w:szCs w:val="17"/>
          <w:color w:val="auto"/>
        </w:rPr>
      </w:pPr>
    </w:p>
    <w:p>
      <w:pPr>
        <w:jc w:val="both"/>
        <w:ind w:left="660" w:hanging="329"/>
        <w:spacing w:after="0" w:line="262" w:lineRule="auto"/>
        <w:tabs>
          <w:tab w:leader="none" w:pos="660" w:val="left"/>
        </w:tabs>
        <w:numPr>
          <w:ilvl w:val="1"/>
          <w:numId w:val="11"/>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quarter in the case of an annual report) that has materially affected, or is reasonably likely to materially affect, the registrant’s internal control over financial reporting; and</w:t>
      </w:r>
    </w:p>
    <w:p>
      <w:pPr>
        <w:spacing w:after="0" w:line="183" w:lineRule="exact"/>
        <w:rPr>
          <w:rFonts w:ascii="Arial" w:cs="Arial" w:eastAsia="Arial" w:hAnsi="Arial"/>
          <w:sz w:val="18"/>
          <w:szCs w:val="18"/>
          <w:color w:val="auto"/>
        </w:rPr>
      </w:pPr>
    </w:p>
    <w:p>
      <w:pPr>
        <w:ind w:left="340" w:hanging="332"/>
        <w:spacing w:after="0" w:line="306" w:lineRule="auto"/>
        <w:tabs>
          <w:tab w:leader="none" w:pos="340" w:val="left"/>
        </w:tabs>
        <w:numPr>
          <w:ilvl w:val="0"/>
          <w:numId w:val="11"/>
        </w:numPr>
        <w:rPr>
          <w:rFonts w:ascii="Arial" w:cs="Arial" w:eastAsia="Arial" w:hAnsi="Arial"/>
          <w:sz w:val="17"/>
          <w:szCs w:val="17"/>
          <w:color w:val="auto"/>
        </w:rPr>
      </w:pPr>
      <w:r>
        <w:rPr>
          <w:rFonts w:ascii="Arial" w:cs="Arial" w:eastAsia="Arial" w:hAnsi="Arial"/>
          <w:sz w:val="17"/>
          <w:szCs w:val="17"/>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47" w:lineRule="exact"/>
        <w:rPr>
          <w:rFonts w:ascii="Arial" w:cs="Arial" w:eastAsia="Arial" w:hAnsi="Arial"/>
          <w:sz w:val="17"/>
          <w:szCs w:val="17"/>
          <w:color w:val="auto"/>
        </w:rPr>
      </w:pPr>
    </w:p>
    <w:p>
      <w:pPr>
        <w:ind w:left="660" w:right="20" w:hanging="329"/>
        <w:spacing w:after="0" w:line="276" w:lineRule="auto"/>
        <w:tabs>
          <w:tab w:leader="none" w:pos="660" w:val="left"/>
        </w:tabs>
        <w:numPr>
          <w:ilvl w:val="1"/>
          <w:numId w:val="11"/>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69" w:lineRule="exact"/>
        <w:rPr>
          <w:rFonts w:ascii="Arial" w:cs="Arial" w:eastAsia="Arial" w:hAnsi="Arial"/>
          <w:sz w:val="18"/>
          <w:szCs w:val="18"/>
          <w:color w:val="auto"/>
        </w:rPr>
      </w:pPr>
    </w:p>
    <w:p>
      <w:pPr>
        <w:ind w:left="660" w:hanging="329"/>
        <w:spacing w:after="0" w:line="276" w:lineRule="auto"/>
        <w:tabs>
          <w:tab w:leader="none" w:pos="660" w:val="left"/>
        </w:tabs>
        <w:numPr>
          <w:ilvl w:val="1"/>
          <w:numId w:val="11"/>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March 28, 2018</w:t>
      </w:r>
    </w:p>
    <w:p>
      <w:pPr>
        <w:spacing w:after="0" w:line="200" w:lineRule="exact"/>
        <w:rPr>
          <w:sz w:val="20"/>
          <w:szCs w:val="20"/>
          <w:color w:val="auto"/>
        </w:rPr>
      </w:pPr>
    </w:p>
    <w:p>
      <w:pPr>
        <w:spacing w:after="0" w:line="239" w:lineRule="exact"/>
        <w:rPr>
          <w:sz w:val="20"/>
          <w:szCs w:val="20"/>
          <w:color w:val="auto"/>
        </w:rPr>
      </w:pPr>
    </w:p>
    <w:p>
      <w:pPr>
        <w:spacing w:after="0"/>
        <w:rPr>
          <w:sz w:val="20"/>
          <w:szCs w:val="20"/>
          <w:color w:val="auto"/>
        </w:rPr>
      </w:pPr>
      <w:r>
        <w:rPr>
          <w:rFonts w:ascii="Arial" w:cs="Arial" w:eastAsia="Arial" w:hAnsi="Arial"/>
          <w:sz w:val="18"/>
          <w:szCs w:val="18"/>
          <w:color w:val="auto"/>
        </w:rPr>
        <w:t>/s/_</w:t>
      </w:r>
      <w:r>
        <w:rPr>
          <w:rFonts w:ascii="Arial" w:cs="Arial" w:eastAsia="Arial" w:hAnsi="Arial"/>
          <w:sz w:val="18"/>
          <w:szCs w:val="18"/>
          <w:u w:val="single" w:color="auto"/>
          <w:color w:val="auto"/>
        </w:rPr>
        <w:t>R</w:t>
      </w:r>
      <w:r>
        <w:rPr>
          <w:rFonts w:ascii="Arial" w:cs="Arial" w:eastAsia="Arial" w:hAnsi="Arial"/>
          <w:sz w:val="12"/>
          <w:szCs w:val="12"/>
          <w:u w:val="single" w:color="auto"/>
          <w:color w:val="auto"/>
        </w:rPr>
        <w:t>OBERT</w:t>
      </w:r>
      <w:r>
        <w:rPr>
          <w:rFonts w:ascii="Arial" w:cs="Arial" w:eastAsia="Arial" w:hAnsi="Arial"/>
          <w:sz w:val="18"/>
          <w:szCs w:val="18"/>
          <w:color w:val="auto"/>
        </w:rPr>
        <w:t xml:space="preserve"> </w:t>
      </w:r>
      <w:r>
        <w:rPr>
          <w:rFonts w:ascii="Arial" w:cs="Arial" w:eastAsia="Arial" w:hAnsi="Arial"/>
          <w:sz w:val="18"/>
          <w:szCs w:val="18"/>
          <w:u w:val="single" w:color="auto"/>
          <w:color w:val="auto"/>
        </w:rPr>
        <w:t>H. S</w:t>
      </w:r>
      <w:r>
        <w:rPr>
          <w:rFonts w:ascii="Arial" w:cs="Arial" w:eastAsia="Arial" w:hAnsi="Arial"/>
          <w:sz w:val="12"/>
          <w:szCs w:val="12"/>
          <w:u w:val="single" w:color="auto"/>
          <w:color w:val="auto"/>
        </w:rPr>
        <w:t>PILMAN</w:t>
      </w:r>
      <w:r>
        <w:rPr>
          <w:rFonts w:ascii="Arial" w:cs="Arial" w:eastAsia="Arial" w:hAnsi="Arial"/>
          <w:sz w:val="18"/>
          <w:szCs w:val="18"/>
          <w:u w:val="single" w:color="auto"/>
          <w:color w:val="auto"/>
        </w:rPr>
        <w:t>, J</w:t>
      </w:r>
      <w:r>
        <w:rPr>
          <w:rFonts w:ascii="Arial" w:cs="Arial" w:eastAsia="Arial" w:hAnsi="Arial"/>
          <w:sz w:val="12"/>
          <w:szCs w:val="12"/>
          <w:u w:val="single" w:color="auto"/>
          <w:color w:val="auto"/>
        </w:rPr>
        <w:t>R</w:t>
      </w:r>
      <w:r>
        <w:rPr>
          <w:rFonts w:ascii="Arial" w:cs="Arial" w:eastAsia="Arial" w:hAnsi="Arial"/>
          <w:sz w:val="18"/>
          <w:szCs w:val="18"/>
          <w:u w:val="single" w:color="auto"/>
          <w:color w:val="auto"/>
        </w:rPr>
        <w:t>.</w:t>
      </w:r>
      <w:r>
        <w:rPr>
          <w:rFonts w:ascii="Arial" w:cs="Arial" w:eastAsia="Arial" w:hAnsi="Arial"/>
          <w:sz w:val="18"/>
          <w:szCs w:val="18"/>
          <w:color w:val="auto"/>
        </w:rPr>
        <w:t>_________________</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Robert H. Spilman, Jr.</w:t>
      </w:r>
    </w:p>
    <w:p>
      <w:pPr>
        <w:spacing w:after="0" w:line="8" w:lineRule="exact"/>
        <w:rPr>
          <w:sz w:val="20"/>
          <w:szCs w:val="20"/>
          <w:color w:val="auto"/>
        </w:rPr>
      </w:pPr>
    </w:p>
    <w:p>
      <w:pPr>
        <w:spacing w:after="0"/>
        <w:rPr>
          <w:sz w:val="20"/>
          <w:szCs w:val="20"/>
          <w:color w:val="auto"/>
        </w:rPr>
      </w:pPr>
      <w:r>
        <w:rPr>
          <w:rFonts w:ascii="Arial" w:cs="Arial" w:eastAsia="Arial" w:hAnsi="Arial"/>
          <w:sz w:val="18"/>
          <w:szCs w:val="18"/>
          <w:color w:val="auto"/>
        </w:rPr>
        <w:t>Chairman and Chief Executive Officer</w:t>
      </w:r>
    </w:p>
    <w:p>
      <w:pPr>
        <w:sectPr>
          <w:pgSz w:w="11900" w:h="16838" w:orient="portrait"/>
          <w:cols w:equalWidth="0" w:num="1">
            <w:col w:w="11420"/>
          </w:cols>
          <w:pgMar w:left="240" w:top="125" w:right="239" w:bottom="1440" w:gutter="0" w:footer="0" w:header="0"/>
        </w:sectPr>
      </w:pPr>
    </w:p>
    <w:bookmarkStart w:id="40" w:name="page41"/>
    <w:bookmarkEnd w:id="40"/>
    <w:p>
      <w:pPr>
        <w:jc w:val="right"/>
        <w:spacing w:after="0"/>
        <w:rPr>
          <w:sz w:val="20"/>
          <w:szCs w:val="20"/>
          <w:color w:val="auto"/>
        </w:rPr>
      </w:pPr>
      <w:r>
        <w:rPr>
          <w:rFonts w:ascii="Arial" w:cs="Arial" w:eastAsia="Arial" w:hAnsi="Arial"/>
          <w:sz w:val="18"/>
          <w:szCs w:val="18"/>
          <w:color w:val="auto"/>
        </w:rPr>
        <w:t>Exhibit 31b</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CERTIFICATIONS</w:t>
      </w:r>
    </w:p>
    <w:p>
      <w:pPr>
        <w:spacing w:after="0" w:line="209" w:lineRule="exact"/>
        <w:rPr>
          <w:sz w:val="20"/>
          <w:szCs w:val="20"/>
          <w:color w:val="auto"/>
        </w:rPr>
      </w:pPr>
    </w:p>
    <w:p>
      <w:pPr>
        <w:spacing w:after="0"/>
        <w:rPr>
          <w:sz w:val="20"/>
          <w:szCs w:val="20"/>
          <w:color w:val="auto"/>
        </w:rPr>
      </w:pPr>
      <w:r>
        <w:rPr>
          <w:rFonts w:ascii="Arial" w:cs="Arial" w:eastAsia="Arial" w:hAnsi="Arial"/>
          <w:sz w:val="18"/>
          <w:szCs w:val="18"/>
          <w:color w:val="auto"/>
        </w:rPr>
        <w:t>I, J. Michael Daniel, certify that:</w:t>
      </w:r>
    </w:p>
    <w:p>
      <w:pPr>
        <w:spacing w:after="0" w:line="224" w:lineRule="exact"/>
        <w:rPr>
          <w:sz w:val="20"/>
          <w:szCs w:val="20"/>
          <w:color w:val="auto"/>
        </w:rPr>
      </w:pPr>
    </w:p>
    <w:p>
      <w:pPr>
        <w:ind w:left="340" w:hanging="332"/>
        <w:spacing w:after="0"/>
        <w:tabs>
          <w:tab w:leader="none" w:pos="3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Bassett Furniture Industries, Incorporated;</w:t>
      </w:r>
    </w:p>
    <w:p>
      <w:pPr>
        <w:spacing w:after="0" w:line="223" w:lineRule="exact"/>
        <w:rPr>
          <w:rFonts w:ascii="Arial" w:cs="Arial" w:eastAsia="Arial" w:hAnsi="Arial"/>
          <w:sz w:val="18"/>
          <w:szCs w:val="18"/>
          <w:color w:val="auto"/>
        </w:rPr>
      </w:pPr>
    </w:p>
    <w:p>
      <w:pPr>
        <w:ind w:left="340" w:hanging="332"/>
        <w:spacing w:after="0" w:line="340" w:lineRule="auto"/>
        <w:tabs>
          <w:tab w:leader="none" w:pos="340" w:val="left"/>
        </w:tabs>
        <w:numPr>
          <w:ilvl w:val="0"/>
          <w:numId w:val="12"/>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4" w:lineRule="exact"/>
        <w:rPr>
          <w:rFonts w:ascii="Arial" w:cs="Arial" w:eastAsia="Arial" w:hAnsi="Arial"/>
          <w:sz w:val="16"/>
          <w:szCs w:val="16"/>
          <w:color w:val="auto"/>
        </w:rPr>
      </w:pPr>
    </w:p>
    <w:p>
      <w:pPr>
        <w:ind w:left="340" w:hanging="332"/>
        <w:spacing w:after="0" w:line="276" w:lineRule="auto"/>
        <w:tabs>
          <w:tab w:leader="none" w:pos="3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69" w:lineRule="exact"/>
        <w:rPr>
          <w:rFonts w:ascii="Arial" w:cs="Arial" w:eastAsia="Arial" w:hAnsi="Arial"/>
          <w:sz w:val="18"/>
          <w:szCs w:val="18"/>
          <w:color w:val="auto"/>
        </w:rPr>
      </w:pPr>
    </w:p>
    <w:p>
      <w:pPr>
        <w:jc w:val="both"/>
        <w:ind w:left="340" w:hanging="332"/>
        <w:spacing w:after="0" w:line="262" w:lineRule="auto"/>
        <w:tabs>
          <w:tab w:leader="none" w:pos="3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83" w:lineRule="exact"/>
        <w:rPr>
          <w:rFonts w:ascii="Arial" w:cs="Arial" w:eastAsia="Arial" w:hAnsi="Arial"/>
          <w:sz w:val="18"/>
          <w:szCs w:val="18"/>
          <w:color w:val="auto"/>
        </w:rPr>
      </w:pPr>
    </w:p>
    <w:p>
      <w:pPr>
        <w:jc w:val="both"/>
        <w:ind w:left="660" w:hanging="329"/>
        <w:spacing w:after="0" w:line="262" w:lineRule="auto"/>
        <w:tabs>
          <w:tab w:leader="none" w:pos="660" w:val="left"/>
        </w:tabs>
        <w:numPr>
          <w:ilvl w:val="1"/>
          <w:numId w:val="12"/>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3" w:lineRule="exact"/>
        <w:rPr>
          <w:rFonts w:ascii="Arial" w:cs="Arial" w:eastAsia="Arial" w:hAnsi="Arial"/>
          <w:sz w:val="18"/>
          <w:szCs w:val="18"/>
          <w:color w:val="auto"/>
        </w:rPr>
      </w:pPr>
    </w:p>
    <w:p>
      <w:pPr>
        <w:jc w:val="both"/>
        <w:ind w:left="660" w:hanging="329"/>
        <w:spacing w:after="0" w:line="262" w:lineRule="auto"/>
        <w:tabs>
          <w:tab w:leader="none" w:pos="660" w:val="left"/>
        </w:tabs>
        <w:numPr>
          <w:ilvl w:val="1"/>
          <w:numId w:val="12"/>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3" w:lineRule="exact"/>
        <w:rPr>
          <w:rFonts w:ascii="Arial" w:cs="Arial" w:eastAsia="Arial" w:hAnsi="Arial"/>
          <w:sz w:val="18"/>
          <w:szCs w:val="18"/>
          <w:color w:val="auto"/>
        </w:rPr>
      </w:pPr>
    </w:p>
    <w:p>
      <w:pPr>
        <w:ind w:left="660" w:right="20" w:hanging="329"/>
        <w:spacing w:after="0" w:line="306" w:lineRule="auto"/>
        <w:tabs>
          <w:tab w:leader="none" w:pos="660" w:val="left"/>
        </w:tabs>
        <w:numPr>
          <w:ilvl w:val="1"/>
          <w:numId w:val="12"/>
        </w:numPr>
        <w:rPr>
          <w:rFonts w:ascii="Arial" w:cs="Arial" w:eastAsia="Arial" w:hAnsi="Arial"/>
          <w:sz w:val="17"/>
          <w:szCs w:val="17"/>
          <w:color w:val="auto"/>
        </w:rPr>
      </w:pPr>
      <w:r>
        <w:rPr>
          <w:rFonts w:ascii="Arial" w:cs="Arial" w:eastAsia="Arial" w:hAnsi="Arial"/>
          <w:sz w:val="17"/>
          <w:szCs w:val="17"/>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47" w:lineRule="exact"/>
        <w:rPr>
          <w:rFonts w:ascii="Arial" w:cs="Arial" w:eastAsia="Arial" w:hAnsi="Arial"/>
          <w:sz w:val="17"/>
          <w:szCs w:val="17"/>
          <w:color w:val="auto"/>
        </w:rPr>
      </w:pPr>
    </w:p>
    <w:p>
      <w:pPr>
        <w:jc w:val="both"/>
        <w:ind w:left="660" w:hanging="329"/>
        <w:spacing w:after="0" w:line="262" w:lineRule="auto"/>
        <w:tabs>
          <w:tab w:leader="none" w:pos="660" w:val="left"/>
        </w:tabs>
        <w:numPr>
          <w:ilvl w:val="1"/>
          <w:numId w:val="12"/>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quarter in the case of an annual report) that has materially affected, or is reasonably likely to materially affect, the registrant’s internal control over financial reporting; and</w:t>
      </w:r>
    </w:p>
    <w:p>
      <w:pPr>
        <w:spacing w:after="0" w:line="183" w:lineRule="exact"/>
        <w:rPr>
          <w:rFonts w:ascii="Arial" w:cs="Arial" w:eastAsia="Arial" w:hAnsi="Arial"/>
          <w:sz w:val="18"/>
          <w:szCs w:val="18"/>
          <w:color w:val="auto"/>
        </w:rPr>
      </w:pPr>
    </w:p>
    <w:p>
      <w:pPr>
        <w:ind w:left="340" w:hanging="332"/>
        <w:spacing w:after="0" w:line="306" w:lineRule="auto"/>
        <w:tabs>
          <w:tab w:leader="none" w:pos="340" w:val="left"/>
        </w:tabs>
        <w:numPr>
          <w:ilvl w:val="0"/>
          <w:numId w:val="12"/>
        </w:numPr>
        <w:rPr>
          <w:rFonts w:ascii="Arial" w:cs="Arial" w:eastAsia="Arial" w:hAnsi="Arial"/>
          <w:sz w:val="17"/>
          <w:szCs w:val="17"/>
          <w:color w:val="auto"/>
        </w:rPr>
      </w:pPr>
      <w:r>
        <w:rPr>
          <w:rFonts w:ascii="Arial" w:cs="Arial" w:eastAsia="Arial" w:hAnsi="Arial"/>
          <w:sz w:val="17"/>
          <w:szCs w:val="17"/>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47" w:lineRule="exact"/>
        <w:rPr>
          <w:rFonts w:ascii="Arial" w:cs="Arial" w:eastAsia="Arial" w:hAnsi="Arial"/>
          <w:sz w:val="17"/>
          <w:szCs w:val="17"/>
          <w:color w:val="auto"/>
        </w:rPr>
      </w:pPr>
    </w:p>
    <w:p>
      <w:pPr>
        <w:ind w:left="660" w:right="20" w:hanging="329"/>
        <w:spacing w:after="0" w:line="276" w:lineRule="auto"/>
        <w:tabs>
          <w:tab w:leader="none" w:pos="660" w:val="left"/>
        </w:tabs>
        <w:numPr>
          <w:ilvl w:val="1"/>
          <w:numId w:val="12"/>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69" w:lineRule="exact"/>
        <w:rPr>
          <w:rFonts w:ascii="Arial" w:cs="Arial" w:eastAsia="Arial" w:hAnsi="Arial"/>
          <w:sz w:val="18"/>
          <w:szCs w:val="18"/>
          <w:color w:val="auto"/>
        </w:rPr>
      </w:pPr>
    </w:p>
    <w:p>
      <w:pPr>
        <w:ind w:left="660" w:hanging="329"/>
        <w:spacing w:after="0" w:line="276" w:lineRule="auto"/>
        <w:tabs>
          <w:tab w:leader="none" w:pos="660" w:val="left"/>
        </w:tabs>
        <w:numPr>
          <w:ilvl w:val="1"/>
          <w:numId w:val="12"/>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385" w:lineRule="exact"/>
        <w:rPr>
          <w:sz w:val="20"/>
          <w:szCs w:val="20"/>
          <w:color w:val="auto"/>
        </w:rPr>
      </w:pPr>
    </w:p>
    <w:p>
      <w:pPr>
        <w:spacing w:after="0"/>
        <w:rPr>
          <w:sz w:val="20"/>
          <w:szCs w:val="20"/>
          <w:color w:val="auto"/>
        </w:rPr>
      </w:pPr>
      <w:r>
        <w:rPr>
          <w:rFonts w:ascii="Arial" w:cs="Arial" w:eastAsia="Arial" w:hAnsi="Arial"/>
          <w:sz w:val="18"/>
          <w:szCs w:val="18"/>
          <w:color w:val="auto"/>
        </w:rPr>
        <w:t>March 28, 2018</w:t>
      </w:r>
    </w:p>
    <w:p>
      <w:pPr>
        <w:spacing w:after="0" w:line="200" w:lineRule="exact"/>
        <w:rPr>
          <w:sz w:val="20"/>
          <w:szCs w:val="20"/>
          <w:color w:val="auto"/>
        </w:rPr>
      </w:pPr>
    </w:p>
    <w:p>
      <w:pPr>
        <w:spacing w:after="0" w:line="239" w:lineRule="exact"/>
        <w:rPr>
          <w:sz w:val="20"/>
          <w:szCs w:val="20"/>
          <w:color w:val="auto"/>
        </w:rPr>
      </w:pPr>
    </w:p>
    <w:p>
      <w:pPr>
        <w:spacing w:after="0"/>
        <w:rPr>
          <w:sz w:val="20"/>
          <w:szCs w:val="20"/>
          <w:color w:val="auto"/>
        </w:rPr>
      </w:pPr>
      <w:r>
        <w:rPr>
          <w:rFonts w:ascii="Arial" w:cs="Arial" w:eastAsia="Arial" w:hAnsi="Arial"/>
          <w:sz w:val="18"/>
          <w:szCs w:val="18"/>
          <w:color w:val="auto"/>
        </w:rPr>
        <w:t>/s/_______</w:t>
      </w:r>
      <w:r>
        <w:rPr>
          <w:rFonts w:ascii="Arial" w:cs="Arial" w:eastAsia="Arial" w:hAnsi="Arial"/>
          <w:sz w:val="18"/>
          <w:szCs w:val="18"/>
          <w:u w:val="single" w:color="auto"/>
          <w:color w:val="auto"/>
        </w:rPr>
        <w:t>J. M</w:t>
      </w:r>
      <w:r>
        <w:rPr>
          <w:rFonts w:ascii="Arial" w:cs="Arial" w:eastAsia="Arial" w:hAnsi="Arial"/>
          <w:sz w:val="12"/>
          <w:szCs w:val="12"/>
          <w:u w:val="single" w:color="auto"/>
          <w:color w:val="auto"/>
        </w:rPr>
        <w:t>ICHAEL</w:t>
      </w:r>
      <w:r>
        <w:rPr>
          <w:rFonts w:ascii="Arial" w:cs="Arial" w:eastAsia="Arial" w:hAnsi="Arial"/>
          <w:sz w:val="18"/>
          <w:szCs w:val="18"/>
          <w:color w:val="auto"/>
        </w:rPr>
        <w:t xml:space="preserve"> </w:t>
      </w:r>
      <w:r>
        <w:rPr>
          <w:rFonts w:ascii="Arial" w:cs="Arial" w:eastAsia="Arial" w:hAnsi="Arial"/>
          <w:sz w:val="18"/>
          <w:szCs w:val="18"/>
          <w:u w:val="single" w:color="auto"/>
          <w:color w:val="auto"/>
        </w:rPr>
        <w:t>D</w:t>
      </w:r>
      <w:r>
        <w:rPr>
          <w:rFonts w:ascii="Arial" w:cs="Arial" w:eastAsia="Arial" w:hAnsi="Arial"/>
          <w:sz w:val="12"/>
          <w:szCs w:val="12"/>
          <w:u w:val="single" w:color="auto"/>
          <w:color w:val="auto"/>
        </w:rPr>
        <w:t>ANIEL</w:t>
      </w:r>
      <w:r>
        <w:rPr>
          <w:rFonts w:ascii="Arial" w:cs="Arial" w:eastAsia="Arial" w:hAnsi="Arial"/>
          <w:sz w:val="18"/>
          <w:szCs w:val="18"/>
          <w:color w:val="auto"/>
        </w:rPr>
        <w:t>_ _____________</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1393825</wp:posOffset>
            </wp:positionH>
            <wp:positionV relativeFrom="paragraph">
              <wp:posOffset>-10795</wp:posOffset>
            </wp:positionV>
            <wp:extent cx="28575" cy="82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5">
                      <a:extLst>
                        <a:ext uri="{28A0092B-C50C-407E-A947-70E740481C1C}"/>
                      </a:extLst>
                    </a:blip>
                    <a:srcRect/>
                    <a:stretch>
                      <a:fillRect/>
                    </a:stretch>
                  </pic:blipFill>
                  <pic:spPr bwMode="auto">
                    <a:xfrm>
                      <a:off x="0" y="0"/>
                      <a:ext cx="28575" cy="8255"/>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J. Michael Daniel</w:t>
      </w:r>
    </w:p>
    <w:p>
      <w:pPr>
        <w:spacing w:after="0" w:line="8" w:lineRule="exact"/>
        <w:rPr>
          <w:sz w:val="20"/>
          <w:szCs w:val="20"/>
          <w:color w:val="auto"/>
        </w:rPr>
      </w:pPr>
    </w:p>
    <w:p>
      <w:pPr>
        <w:spacing w:after="0"/>
        <w:rPr>
          <w:sz w:val="20"/>
          <w:szCs w:val="20"/>
          <w:color w:val="auto"/>
        </w:rPr>
      </w:pPr>
      <w:r>
        <w:rPr>
          <w:rFonts w:ascii="Arial" w:cs="Arial" w:eastAsia="Arial" w:hAnsi="Arial"/>
          <w:sz w:val="18"/>
          <w:szCs w:val="18"/>
          <w:color w:val="auto"/>
        </w:rPr>
        <w:t>Senior Vice President and Chief Financial Officer</w:t>
      </w:r>
    </w:p>
    <w:p>
      <w:pPr>
        <w:sectPr>
          <w:pgSz w:w="11900" w:h="16838" w:orient="portrait"/>
          <w:cols w:equalWidth="0" w:num="1">
            <w:col w:w="11420"/>
          </w:cols>
          <w:pgMar w:left="240" w:top="125" w:right="239" w:bottom="1440" w:gutter="0" w:footer="0" w:header="0"/>
        </w:sectPr>
      </w:pPr>
    </w:p>
    <w:bookmarkStart w:id="41" w:name="page42"/>
    <w:bookmarkEnd w:id="41"/>
    <w:p>
      <w:pPr>
        <w:jc w:val="right"/>
        <w:spacing w:after="0"/>
        <w:rPr>
          <w:sz w:val="20"/>
          <w:szCs w:val="20"/>
          <w:color w:val="auto"/>
        </w:rPr>
      </w:pPr>
      <w:r>
        <w:rPr>
          <w:rFonts w:ascii="Arial" w:cs="Arial" w:eastAsia="Arial" w:hAnsi="Arial"/>
          <w:sz w:val="18"/>
          <w:szCs w:val="18"/>
          <w:color w:val="auto"/>
        </w:rPr>
        <w:t>Exhibit 32a</w:t>
      </w:r>
    </w:p>
    <w:p>
      <w:pPr>
        <w:spacing w:after="0" w:line="224" w:lineRule="exact"/>
        <w:rPr>
          <w:sz w:val="20"/>
          <w:szCs w:val="20"/>
          <w:color w:val="auto"/>
        </w:rPr>
      </w:pPr>
    </w:p>
    <w:p>
      <w:pPr>
        <w:jc w:val="center"/>
        <w:ind w:right="580"/>
        <w:spacing w:after="0"/>
        <w:rPr>
          <w:sz w:val="20"/>
          <w:szCs w:val="20"/>
          <w:color w:val="auto"/>
        </w:rPr>
      </w:pPr>
      <w:r>
        <w:rPr>
          <w:rFonts w:ascii="Arial" w:cs="Arial" w:eastAsia="Arial" w:hAnsi="Arial"/>
          <w:sz w:val="18"/>
          <w:szCs w:val="18"/>
          <w:color w:val="auto"/>
        </w:rPr>
        <w:t>CERTIFICATION PURSUANT TO 18 U.S.C. SECTION 1350,</w:t>
      </w:r>
    </w:p>
    <w:p>
      <w:pPr>
        <w:spacing w:after="0" w:line="23" w:lineRule="exact"/>
        <w:rPr>
          <w:sz w:val="20"/>
          <w:szCs w:val="20"/>
          <w:color w:val="auto"/>
        </w:rPr>
      </w:pPr>
    </w:p>
    <w:p>
      <w:pPr>
        <w:jc w:val="center"/>
        <w:ind w:right="580"/>
        <w:spacing w:after="0"/>
        <w:rPr>
          <w:sz w:val="20"/>
          <w:szCs w:val="20"/>
          <w:color w:val="auto"/>
        </w:rPr>
      </w:pPr>
      <w:r>
        <w:rPr>
          <w:rFonts w:ascii="Arial" w:cs="Arial" w:eastAsia="Arial" w:hAnsi="Arial"/>
          <w:sz w:val="18"/>
          <w:szCs w:val="18"/>
          <w:color w:val="auto"/>
        </w:rPr>
        <w:t>AS ADOPTED PURSUANT TO SECTION 906</w:t>
      </w:r>
    </w:p>
    <w:p>
      <w:pPr>
        <w:spacing w:after="0" w:line="8" w:lineRule="exact"/>
        <w:rPr>
          <w:sz w:val="20"/>
          <w:szCs w:val="20"/>
          <w:color w:val="auto"/>
        </w:rPr>
      </w:pPr>
    </w:p>
    <w:p>
      <w:pPr>
        <w:jc w:val="center"/>
        <w:ind w:right="580"/>
        <w:spacing w:after="0"/>
        <w:rPr>
          <w:sz w:val="20"/>
          <w:szCs w:val="20"/>
          <w:color w:val="auto"/>
        </w:rPr>
      </w:pPr>
      <w:r>
        <w:rPr>
          <w:rFonts w:ascii="Arial" w:cs="Arial" w:eastAsia="Arial" w:hAnsi="Arial"/>
          <w:sz w:val="18"/>
          <w:szCs w:val="18"/>
          <w:color w:val="auto"/>
        </w:rPr>
        <w:t>OF THE SARBANES-OXLEY ACT OF 2002</w:t>
      </w:r>
    </w:p>
    <w:p>
      <w:pPr>
        <w:spacing w:after="0" w:line="200" w:lineRule="exact"/>
        <w:rPr>
          <w:sz w:val="20"/>
          <w:szCs w:val="20"/>
          <w:color w:val="auto"/>
        </w:rPr>
      </w:pPr>
    </w:p>
    <w:p>
      <w:pPr>
        <w:spacing w:after="0" w:line="225" w:lineRule="exact"/>
        <w:rPr>
          <w:sz w:val="20"/>
          <w:szCs w:val="20"/>
          <w:color w:val="auto"/>
        </w:rPr>
      </w:pPr>
    </w:p>
    <w:p>
      <w:pPr>
        <w:jc w:val="both"/>
        <w:ind w:right="700"/>
        <w:spacing w:after="0" w:line="310" w:lineRule="auto"/>
        <w:rPr>
          <w:sz w:val="20"/>
          <w:szCs w:val="20"/>
          <w:color w:val="auto"/>
        </w:rPr>
      </w:pPr>
      <w:r>
        <w:rPr>
          <w:rFonts w:ascii="Arial" w:cs="Arial" w:eastAsia="Arial" w:hAnsi="Arial"/>
          <w:sz w:val="16"/>
          <w:szCs w:val="16"/>
          <w:color w:val="auto"/>
        </w:rPr>
        <w:t>In connection with the Quarterly Report of Bassett Furniture Industries, Incorporated (the “Company”) on Form 10-Q for the period ending February 24, 2018, as filed with the Securities and Exchange Commission on the date hereof (the “Report”), I, Robert H. Spilman, Jr., Chief Executive Officer of the Company, certify, pursuant to 18 U.S.C. ss.1350, as adopted pursuant to ss.906 of the Sarbanes-Oxley Act of 2002, that:</w:t>
      </w:r>
    </w:p>
    <w:p>
      <w:pPr>
        <w:spacing w:after="0" w:line="148" w:lineRule="exact"/>
        <w:rPr>
          <w:sz w:val="20"/>
          <w:szCs w:val="20"/>
          <w:color w:val="auto"/>
        </w:rPr>
      </w:pPr>
    </w:p>
    <w:p>
      <w:pPr>
        <w:ind w:left="340" w:hanging="332"/>
        <w:spacing w:after="0"/>
        <w:tabs>
          <w:tab w:leader="none" w:pos="3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Sections 13(a) or 15(d) of the Securities Exchange Act of 1934; and</w:t>
      </w:r>
    </w:p>
    <w:p>
      <w:pPr>
        <w:spacing w:after="0" w:line="223" w:lineRule="exact"/>
        <w:rPr>
          <w:rFonts w:ascii="Arial" w:cs="Arial" w:eastAsia="Arial" w:hAnsi="Arial"/>
          <w:sz w:val="18"/>
          <w:szCs w:val="18"/>
          <w:color w:val="auto"/>
        </w:rPr>
      </w:pPr>
    </w:p>
    <w:p>
      <w:pPr>
        <w:ind w:right="740" w:firstLine="8"/>
        <w:spacing w:after="0" w:line="525" w:lineRule="auto"/>
        <w:tabs>
          <w:tab w:leader="none" w:pos="323"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the Company. March 28, 2018</w:t>
      </w:r>
    </w:p>
    <w:p>
      <w:pPr>
        <w:spacing w:after="0" w:line="171" w:lineRule="exact"/>
        <w:rPr>
          <w:sz w:val="20"/>
          <w:szCs w:val="20"/>
          <w:color w:val="auto"/>
        </w:rPr>
      </w:pPr>
    </w:p>
    <w:p>
      <w:pPr>
        <w:spacing w:after="0"/>
        <w:tabs>
          <w:tab w:leader="none" w:pos="600" w:val="left"/>
        </w:tabs>
        <w:rPr>
          <w:sz w:val="20"/>
          <w:szCs w:val="20"/>
          <w:color w:val="auto"/>
        </w:rPr>
      </w:pPr>
      <w:r>
        <w:rPr>
          <w:rFonts w:ascii="Arial" w:cs="Arial" w:eastAsia="Arial" w:hAnsi="Arial"/>
          <w:sz w:val="18"/>
          <w:szCs w:val="18"/>
          <w:color w:val="auto"/>
        </w:rPr>
        <w:t>/s/</w:t>
      </w:r>
      <w:r>
        <w:rPr>
          <w:sz w:val="20"/>
          <w:szCs w:val="20"/>
          <w:color w:val="auto"/>
        </w:rPr>
        <w:tab/>
      </w:r>
      <w:r>
        <w:rPr>
          <w:rFonts w:ascii="Arial" w:cs="Arial" w:eastAsia="Arial" w:hAnsi="Arial"/>
          <w:sz w:val="18"/>
          <w:szCs w:val="18"/>
          <w:color w:val="auto"/>
        </w:rPr>
        <w:t>R</w:t>
      </w:r>
      <w:r>
        <w:rPr>
          <w:rFonts w:ascii="Arial" w:cs="Arial" w:eastAsia="Arial" w:hAnsi="Arial"/>
          <w:sz w:val="12"/>
          <w:szCs w:val="12"/>
          <w:color w:val="auto"/>
        </w:rPr>
        <w:t>OBERT</w:t>
      </w:r>
      <w:r>
        <w:rPr>
          <w:rFonts w:ascii="Arial" w:cs="Arial" w:eastAsia="Arial" w:hAnsi="Arial"/>
          <w:sz w:val="18"/>
          <w:szCs w:val="18"/>
          <w:color w:val="auto"/>
        </w:rPr>
        <w:t xml:space="preserve"> H. S</w:t>
      </w:r>
      <w:r>
        <w:rPr>
          <w:rFonts w:ascii="Arial" w:cs="Arial" w:eastAsia="Arial" w:hAnsi="Arial"/>
          <w:sz w:val="12"/>
          <w:szCs w:val="12"/>
          <w:color w:val="auto"/>
        </w:rPr>
        <w:t>PILMAN</w:t>
      </w:r>
      <w:r>
        <w:rPr>
          <w:rFonts w:ascii="Arial" w:cs="Arial" w:eastAsia="Arial" w:hAnsi="Arial"/>
          <w:sz w:val="18"/>
          <w:szCs w:val="18"/>
          <w:color w:val="auto"/>
        </w:rPr>
        <w:t>, J</w:t>
      </w:r>
      <w:r>
        <w:rPr>
          <w:rFonts w:ascii="Arial" w:cs="Arial" w:eastAsia="Arial" w:hAnsi="Arial"/>
          <w:sz w:val="12"/>
          <w:szCs w:val="12"/>
          <w:color w:val="auto"/>
        </w:rPr>
        <w:t>R</w:t>
      </w:r>
      <w:r>
        <w:rPr>
          <w:rFonts w:ascii="Arial" w:cs="Arial" w:eastAsia="Arial" w:hAnsi="Arial"/>
          <w:sz w:val="18"/>
          <w:szCs w:val="18"/>
          <w:color w:val="auto"/>
        </w:rPr>
        <w:t>_______</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112395</wp:posOffset>
            </wp:positionH>
            <wp:positionV relativeFrom="paragraph">
              <wp:posOffset>-10795</wp:posOffset>
            </wp:positionV>
            <wp:extent cx="2254250" cy="825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6">
                      <a:extLst>
                        <a:ext uri="{28A0092B-C50C-407E-A947-70E740481C1C}"/>
                      </a:extLst>
                    </a:blip>
                    <a:srcRect/>
                    <a:stretch>
                      <a:fillRect/>
                    </a:stretch>
                  </pic:blipFill>
                  <pic:spPr bwMode="auto">
                    <a:xfrm>
                      <a:off x="0" y="0"/>
                      <a:ext cx="2254250" cy="8255"/>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Robert H. Spilman, Jr.</w:t>
      </w:r>
    </w:p>
    <w:p>
      <w:pPr>
        <w:spacing w:after="0" w:line="8" w:lineRule="exact"/>
        <w:rPr>
          <w:sz w:val="20"/>
          <w:szCs w:val="20"/>
          <w:color w:val="auto"/>
        </w:rPr>
      </w:pPr>
    </w:p>
    <w:p>
      <w:pPr>
        <w:spacing w:after="0"/>
        <w:rPr>
          <w:sz w:val="20"/>
          <w:szCs w:val="20"/>
          <w:color w:val="auto"/>
        </w:rPr>
      </w:pPr>
      <w:r>
        <w:rPr>
          <w:rFonts w:ascii="Arial" w:cs="Arial" w:eastAsia="Arial" w:hAnsi="Arial"/>
          <w:sz w:val="18"/>
          <w:szCs w:val="18"/>
          <w:color w:val="auto"/>
        </w:rPr>
        <w:t>Chairman and Chief Executive Officer</w:t>
      </w:r>
    </w:p>
    <w:p>
      <w:pPr>
        <w:spacing w:after="0" w:line="200" w:lineRule="exact"/>
        <w:rPr>
          <w:sz w:val="20"/>
          <w:szCs w:val="20"/>
          <w:color w:val="auto"/>
        </w:rPr>
      </w:pPr>
    </w:p>
    <w:p>
      <w:pPr>
        <w:spacing w:after="0" w:line="225" w:lineRule="exact"/>
        <w:rPr>
          <w:sz w:val="20"/>
          <w:szCs w:val="20"/>
          <w:color w:val="auto"/>
        </w:rPr>
      </w:pPr>
    </w:p>
    <w:p>
      <w:pPr>
        <w:ind w:right="1160"/>
        <w:spacing w:after="0" w:line="340" w:lineRule="auto"/>
        <w:rPr>
          <w:sz w:val="20"/>
          <w:szCs w:val="20"/>
          <w:color w:val="auto"/>
        </w:rPr>
      </w:pPr>
      <w:r>
        <w:rPr>
          <w:rFonts w:ascii="Arial" w:cs="Arial" w:eastAsia="Arial" w:hAnsi="Arial"/>
          <w:sz w:val="16"/>
          <w:szCs w:val="16"/>
          <w:i w:val="1"/>
          <w:iCs w:val="1"/>
          <w:color w:val="auto"/>
        </w:rPr>
        <w:t>A signed original of this written statement required by Section 906 has been provided to Bassett Furniture Industries, Incorporated and will be retained by Bassett Furniture Industries, Incorporated and furnished to the Securities and Exchange Commission or its staff upon request.</w:t>
      </w:r>
    </w:p>
    <w:p>
      <w:pPr>
        <w:sectPr>
          <w:pgSz w:w="11900" w:h="16838" w:orient="portrait"/>
          <w:cols w:equalWidth="0" w:num="1">
            <w:col w:w="11420"/>
          </w:cols>
          <w:pgMar w:left="240" w:top="125" w:right="239" w:bottom="1440" w:gutter="0" w:footer="0" w:header="0"/>
        </w:sectPr>
      </w:pPr>
    </w:p>
    <w:bookmarkStart w:id="42" w:name="page43"/>
    <w:bookmarkEnd w:id="42"/>
    <w:p>
      <w:pPr>
        <w:jc w:val="right"/>
        <w:spacing w:after="0"/>
        <w:rPr>
          <w:sz w:val="20"/>
          <w:szCs w:val="20"/>
          <w:color w:val="auto"/>
        </w:rPr>
      </w:pPr>
      <w:r>
        <w:rPr>
          <w:rFonts w:ascii="Arial" w:cs="Arial" w:eastAsia="Arial" w:hAnsi="Arial"/>
          <w:sz w:val="18"/>
          <w:szCs w:val="18"/>
          <w:color w:val="auto"/>
        </w:rPr>
        <w:t>Exhibit 32b</w:t>
      </w:r>
    </w:p>
    <w:p>
      <w:pPr>
        <w:spacing w:after="0" w:line="224" w:lineRule="exact"/>
        <w:rPr>
          <w:sz w:val="20"/>
          <w:szCs w:val="20"/>
          <w:color w:val="auto"/>
        </w:rPr>
      </w:pPr>
    </w:p>
    <w:p>
      <w:pPr>
        <w:jc w:val="center"/>
        <w:ind w:right="580"/>
        <w:spacing w:after="0"/>
        <w:rPr>
          <w:sz w:val="20"/>
          <w:szCs w:val="20"/>
          <w:color w:val="auto"/>
        </w:rPr>
      </w:pPr>
      <w:r>
        <w:rPr>
          <w:rFonts w:ascii="Arial" w:cs="Arial" w:eastAsia="Arial" w:hAnsi="Arial"/>
          <w:sz w:val="18"/>
          <w:szCs w:val="18"/>
          <w:color w:val="auto"/>
        </w:rPr>
        <w:t>CERTIFICATION PURSUANT TO 18 U.S.C. SECTION 1350,</w:t>
      </w:r>
    </w:p>
    <w:p>
      <w:pPr>
        <w:spacing w:after="0" w:line="23" w:lineRule="exact"/>
        <w:rPr>
          <w:sz w:val="20"/>
          <w:szCs w:val="20"/>
          <w:color w:val="auto"/>
        </w:rPr>
      </w:pPr>
    </w:p>
    <w:p>
      <w:pPr>
        <w:jc w:val="center"/>
        <w:ind w:right="580"/>
        <w:spacing w:after="0"/>
        <w:rPr>
          <w:sz w:val="20"/>
          <w:szCs w:val="20"/>
          <w:color w:val="auto"/>
        </w:rPr>
      </w:pPr>
      <w:r>
        <w:rPr>
          <w:rFonts w:ascii="Arial" w:cs="Arial" w:eastAsia="Arial" w:hAnsi="Arial"/>
          <w:sz w:val="18"/>
          <w:szCs w:val="18"/>
          <w:color w:val="auto"/>
        </w:rPr>
        <w:t>AS ADOPTED PURSUANT TO SECTION 906</w:t>
      </w:r>
    </w:p>
    <w:p>
      <w:pPr>
        <w:spacing w:after="0" w:line="8" w:lineRule="exact"/>
        <w:rPr>
          <w:sz w:val="20"/>
          <w:szCs w:val="20"/>
          <w:color w:val="auto"/>
        </w:rPr>
      </w:pPr>
    </w:p>
    <w:p>
      <w:pPr>
        <w:jc w:val="center"/>
        <w:ind w:right="580"/>
        <w:spacing w:after="0"/>
        <w:rPr>
          <w:sz w:val="20"/>
          <w:szCs w:val="20"/>
          <w:color w:val="auto"/>
        </w:rPr>
      </w:pPr>
      <w:r>
        <w:rPr>
          <w:rFonts w:ascii="Arial" w:cs="Arial" w:eastAsia="Arial" w:hAnsi="Arial"/>
          <w:sz w:val="18"/>
          <w:szCs w:val="18"/>
          <w:color w:val="auto"/>
        </w:rPr>
        <w:t>OF THE SARBANES-OXLEY ACT OF 2002</w:t>
      </w:r>
    </w:p>
    <w:p>
      <w:pPr>
        <w:spacing w:after="0" w:line="200" w:lineRule="exact"/>
        <w:rPr>
          <w:sz w:val="20"/>
          <w:szCs w:val="20"/>
          <w:color w:val="auto"/>
        </w:rPr>
      </w:pPr>
    </w:p>
    <w:p>
      <w:pPr>
        <w:spacing w:after="0" w:line="225" w:lineRule="exact"/>
        <w:rPr>
          <w:sz w:val="20"/>
          <w:szCs w:val="20"/>
          <w:color w:val="auto"/>
        </w:rPr>
      </w:pPr>
    </w:p>
    <w:p>
      <w:pPr>
        <w:jc w:val="both"/>
        <w:ind w:right="700"/>
        <w:spacing w:after="0" w:line="310" w:lineRule="auto"/>
        <w:rPr>
          <w:sz w:val="20"/>
          <w:szCs w:val="20"/>
          <w:color w:val="auto"/>
        </w:rPr>
      </w:pPr>
      <w:r>
        <w:rPr>
          <w:rFonts w:ascii="Arial" w:cs="Arial" w:eastAsia="Arial" w:hAnsi="Arial"/>
          <w:sz w:val="16"/>
          <w:szCs w:val="16"/>
          <w:color w:val="auto"/>
        </w:rPr>
        <w:t>In connection with the Quarterly Report of Bassett Furniture Industries, Incorporated (the “Company”) on Form 10-Q for the period ending February 24, 2018, as filed with the Securities and Exchange Commission on the date hereof (the “Report”), I, J. Michael Daniel, Chief Accounting Officer of the Company, certify, pursuant to 18 U.S.C. ss.1350, as adopted pursuant to ss.906 of the Sarbanes-Oxley Act of 2002, that:</w:t>
      </w:r>
    </w:p>
    <w:p>
      <w:pPr>
        <w:spacing w:after="0" w:line="148" w:lineRule="exact"/>
        <w:rPr>
          <w:sz w:val="20"/>
          <w:szCs w:val="20"/>
          <w:color w:val="auto"/>
        </w:rPr>
      </w:pPr>
    </w:p>
    <w:p>
      <w:pPr>
        <w:ind w:left="660" w:hanging="329"/>
        <w:spacing w:after="0"/>
        <w:tabs>
          <w:tab w:leader="none" w:pos="6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Sections 13(a) or 15(d) of the Securities Exchange Act of 1934; and</w:t>
      </w:r>
    </w:p>
    <w:p>
      <w:pPr>
        <w:spacing w:after="0" w:line="250" w:lineRule="exact"/>
        <w:rPr>
          <w:rFonts w:ascii="Arial" w:cs="Arial" w:eastAsia="Arial" w:hAnsi="Arial"/>
          <w:sz w:val="18"/>
          <w:szCs w:val="18"/>
          <w:color w:val="auto"/>
        </w:rPr>
      </w:pPr>
    </w:p>
    <w:p>
      <w:pPr>
        <w:ind w:left="660" w:right="2440" w:hanging="329"/>
        <w:spacing w:after="0" w:line="276" w:lineRule="auto"/>
        <w:tabs>
          <w:tab w:leader="none" w:pos="6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the Company.</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March 28, 2018</w:t>
      </w:r>
    </w:p>
    <w:p>
      <w:pPr>
        <w:spacing w:after="0" w:line="200" w:lineRule="exact"/>
        <w:rPr>
          <w:sz w:val="20"/>
          <w:szCs w:val="20"/>
          <w:color w:val="auto"/>
        </w:rPr>
      </w:pPr>
    </w:p>
    <w:p>
      <w:pPr>
        <w:spacing w:after="0" w:line="239" w:lineRule="exact"/>
        <w:rPr>
          <w:sz w:val="20"/>
          <w:szCs w:val="20"/>
          <w:color w:val="auto"/>
        </w:rPr>
      </w:pPr>
    </w:p>
    <w:p>
      <w:pPr>
        <w:spacing w:after="0"/>
        <w:rPr>
          <w:sz w:val="20"/>
          <w:szCs w:val="20"/>
          <w:color w:val="auto"/>
        </w:rPr>
      </w:pPr>
      <w:r>
        <w:rPr>
          <w:rFonts w:ascii="Arial" w:cs="Arial" w:eastAsia="Arial" w:hAnsi="Arial"/>
          <w:sz w:val="18"/>
          <w:szCs w:val="18"/>
          <w:color w:val="auto"/>
        </w:rPr>
        <w:t>/s/__ J. M</w:t>
      </w:r>
      <w:r>
        <w:rPr>
          <w:rFonts w:ascii="Arial" w:cs="Arial" w:eastAsia="Arial" w:hAnsi="Arial"/>
          <w:sz w:val="12"/>
          <w:szCs w:val="12"/>
          <w:color w:val="auto"/>
        </w:rPr>
        <w:t>ICHAEL</w:t>
      </w:r>
      <w:r>
        <w:rPr>
          <w:rFonts w:ascii="Arial" w:cs="Arial" w:eastAsia="Arial" w:hAnsi="Arial"/>
          <w:sz w:val="18"/>
          <w:szCs w:val="18"/>
          <w:color w:val="auto"/>
        </w:rPr>
        <w:t xml:space="preserve"> D</w:t>
      </w:r>
      <w:r>
        <w:rPr>
          <w:rFonts w:ascii="Arial" w:cs="Arial" w:eastAsia="Arial" w:hAnsi="Arial"/>
          <w:sz w:val="12"/>
          <w:szCs w:val="12"/>
          <w:color w:val="auto"/>
        </w:rPr>
        <w:t>ANIEL</w:t>
      </w:r>
      <w:r>
        <w:rPr>
          <w:rFonts w:ascii="Arial" w:cs="Arial" w:eastAsia="Arial" w:hAnsi="Arial"/>
          <w:sz w:val="18"/>
          <w:szCs w:val="18"/>
          <w:color w:val="auto"/>
        </w:rPr>
        <w:t>____________</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226060</wp:posOffset>
            </wp:positionH>
            <wp:positionV relativeFrom="paragraph">
              <wp:posOffset>-10795</wp:posOffset>
            </wp:positionV>
            <wp:extent cx="854075" cy="825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7">
                      <a:extLst>
                        <a:ext uri="{28A0092B-C50C-407E-A947-70E740481C1C}"/>
                      </a:extLst>
                    </a:blip>
                    <a:srcRect/>
                    <a:stretch>
                      <a:fillRect/>
                    </a:stretch>
                  </pic:blipFill>
                  <pic:spPr bwMode="auto">
                    <a:xfrm>
                      <a:off x="0" y="0"/>
                      <a:ext cx="854075" cy="8255"/>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J. Michael Daniel</w:t>
      </w:r>
    </w:p>
    <w:p>
      <w:pPr>
        <w:spacing w:after="0" w:line="8" w:lineRule="exact"/>
        <w:rPr>
          <w:sz w:val="20"/>
          <w:szCs w:val="20"/>
          <w:color w:val="auto"/>
        </w:rPr>
      </w:pPr>
    </w:p>
    <w:p>
      <w:pPr>
        <w:spacing w:after="0"/>
        <w:rPr>
          <w:sz w:val="20"/>
          <w:szCs w:val="20"/>
          <w:color w:val="auto"/>
        </w:rPr>
      </w:pPr>
      <w:r>
        <w:rPr>
          <w:rFonts w:ascii="Arial" w:cs="Arial" w:eastAsia="Arial" w:hAnsi="Arial"/>
          <w:sz w:val="18"/>
          <w:szCs w:val="18"/>
          <w:color w:val="auto"/>
        </w:rPr>
        <w:t>Senior Vice President and Chief Financial Officer</w:t>
      </w:r>
    </w:p>
    <w:p>
      <w:pPr>
        <w:spacing w:after="0" w:line="200" w:lineRule="exact"/>
        <w:rPr>
          <w:sz w:val="20"/>
          <w:szCs w:val="20"/>
          <w:color w:val="auto"/>
        </w:rPr>
      </w:pPr>
    </w:p>
    <w:p>
      <w:pPr>
        <w:spacing w:after="0" w:line="225" w:lineRule="exact"/>
        <w:rPr>
          <w:sz w:val="20"/>
          <w:szCs w:val="20"/>
          <w:color w:val="auto"/>
        </w:rPr>
      </w:pPr>
    </w:p>
    <w:p>
      <w:pPr>
        <w:ind w:right="1160"/>
        <w:spacing w:after="0" w:line="340" w:lineRule="auto"/>
        <w:rPr>
          <w:sz w:val="20"/>
          <w:szCs w:val="20"/>
          <w:color w:val="auto"/>
        </w:rPr>
      </w:pPr>
      <w:r>
        <w:rPr>
          <w:rFonts w:ascii="Arial" w:cs="Arial" w:eastAsia="Arial" w:hAnsi="Arial"/>
          <w:sz w:val="16"/>
          <w:szCs w:val="16"/>
          <w:i w:val="1"/>
          <w:iCs w:val="1"/>
          <w:color w:val="auto"/>
        </w:rPr>
        <w:t>A signed original of this written statement required by Section 906 has been provided to Bassett Furniture Industries, Incorporated and will be retained by Bassett Furniture Industries, Incorporated and furnished to the Securities and Exchange Commission or its staff upon request.</w:t>
      </w:r>
    </w:p>
    <w:sectPr>
      <w:pgSz w:w="11900" w:h="16838" w:orient="portrait"/>
      <w:cols w:equalWidth="0" w:num="1">
        <w:col w:w="11420"/>
      </w:cols>
      <w:pgMar w:left="240" w:top="125"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79E2A9E3"/>
    <w:multiLevelType w:val="hybridMultilevel"/>
    <w:lvl w:ilvl="0">
      <w:lvlJc w:val="left"/>
      <w:lvlText w:val="[%1]"/>
      <w:numFmt w:val="upperLetter"/>
      <w:start w:val="24"/>
    </w:lvl>
  </w:abstractNum>
  <w:abstractNum w:abstractNumId="1">
    <w:nsid w:val="7545E146"/>
    <w:multiLevelType w:val="hybridMultilevel"/>
    <w:lvl w:ilvl="0">
      <w:lvlJc w:val="left"/>
      <w:lvlText w:val="["/>
      <w:numFmt w:val="bullet"/>
      <w:start w:val="1"/>
    </w:lvl>
  </w:abstractNum>
  <w:abstractNum w:abstractNumId="2">
    <w:nsid w:val="515F007C"/>
    <w:multiLevelType w:val="hybridMultilevel"/>
    <w:lvl w:ilvl="0">
      <w:lvlJc w:val="left"/>
      <w:lvlText w:val="%1."/>
      <w:numFmt w:val="decimal"/>
      <w:start w:val="1"/>
    </w:lvl>
  </w:abstractNum>
  <w:abstractNum w:abstractNumId="3">
    <w:nsid w:val="5BD062C2"/>
    <w:multiLevelType w:val="hybridMultilevel"/>
    <w:lvl w:ilvl="0">
      <w:lvlJc w:val="left"/>
      <w:lvlText w:val="●"/>
      <w:numFmt w:val="bullet"/>
      <w:start w:val="1"/>
    </w:lvl>
  </w:abstractNum>
  <w:abstractNum w:abstractNumId="4">
    <w:nsid w:val="12200854"/>
    <w:multiLevelType w:val="hybridMultilevel"/>
    <w:lvl w:ilvl="0">
      <w:lvlJc w:val="left"/>
      <w:lvlText w:val="%1."/>
      <w:numFmt w:val="decimal"/>
      <w:start w:val="718"/>
    </w:lvl>
  </w:abstractNum>
  <w:abstractNum w:abstractNumId="5">
    <w:nsid w:val="4DB127F8"/>
    <w:multiLevelType w:val="hybridMultilevel"/>
    <w:lvl w:ilvl="0">
      <w:lvlJc w:val="left"/>
      <w:lvlText w:val="(%1)"/>
      <w:numFmt w:val="decimal"/>
      <w:start w:val="1"/>
    </w:lvl>
  </w:abstractNum>
  <w:abstractNum w:abstractNumId="6">
    <w:nsid w:val="216231B"/>
    <w:multiLevelType w:val="hybridMultilevel"/>
    <w:lvl w:ilvl="0">
      <w:lvlJc w:val="left"/>
      <w:lvlText w:val="†"/>
      <w:numFmt w:val="bullet"/>
      <w:start w:val="1"/>
    </w:lvl>
  </w:abstractNum>
  <w:abstractNum w:abstractNumId="7">
    <w:nsid w:val="1F16E9E8"/>
    <w:multiLevelType w:val="hybridMultilevel"/>
    <w:lvl w:ilvl="0">
      <w:lvlJc w:val="left"/>
      <w:lvlText w:val="•"/>
      <w:numFmt w:val="bullet"/>
      <w:start w:val="1"/>
    </w:lvl>
  </w:abstractNum>
  <w:abstractNum w:abstractNumId="8">
    <w:nsid w:val="1190CDE7"/>
    <w:multiLevelType w:val="hybridMultilevel"/>
    <w:lvl w:ilvl="0">
      <w:lvlJc w:val="left"/>
      <w:lvlText w:val="(%1)"/>
      <w:numFmt w:val="decimal"/>
      <w:start w:val="1"/>
    </w:lvl>
  </w:abstractNum>
  <w:abstractNum w:abstractNumId="9">
    <w:nsid w:val="66EF438D"/>
    <w:multiLevelType w:val="hybridMultilevel"/>
    <w:lvl w:ilvl="0">
      <w:lvlJc w:val="left"/>
      <w:lvlText w:val="%1."/>
      <w:numFmt w:val="lowerLetter"/>
      <w:start w:val="1"/>
    </w:lvl>
  </w:abstractNum>
  <w:abstractNum w:abstractNumId="10">
    <w:nsid w:val="140E0F76"/>
    <w:multiLevelType w:val="hybridMultilevel"/>
    <w:lvl w:ilvl="0">
      <w:lvlJc w:val="left"/>
      <w:lvlText w:val="%1."/>
      <w:numFmt w:val="decimal"/>
      <w:start w:val="1"/>
    </w:lvl>
    <w:lvl w:ilvl="1">
      <w:lvlJc w:val="left"/>
      <w:lvlText w:val="%2)"/>
      <w:numFmt w:val="lowerLetter"/>
      <w:start w:val="1"/>
    </w:lvl>
  </w:abstractNum>
  <w:abstractNum w:abstractNumId="11">
    <w:nsid w:val="3352255A"/>
    <w:multiLevelType w:val="hybridMultilevel"/>
    <w:lvl w:ilvl="0">
      <w:lvlJc w:val="left"/>
      <w:lvlText w:val="%1."/>
      <w:numFmt w:val="decimal"/>
      <w:start w:val="1"/>
    </w:lvl>
    <w:lvl w:ilvl="1">
      <w:lvlJc w:val="left"/>
      <w:lvlText w:val="%2)"/>
      <w:numFmt w:val="lowerLetter"/>
      <w:start w:val="1"/>
    </w:lvl>
  </w:abstractNum>
  <w:abstractNum w:abstractNumId="12">
    <w:nsid w:val="109CF92E"/>
    <w:multiLevelType w:val="hybridMultilevel"/>
    <w:lvl w:ilvl="0">
      <w:lvlJc w:val="left"/>
      <w:lvlText w:val="%1."/>
      <w:numFmt w:val="decimal"/>
      <w:start w:val="1"/>
    </w:lvl>
  </w:abstractNum>
  <w:abstractNum w:abstractNumId="13">
    <w:nsid w:val="DED7263"/>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1" Type="http://schemas.openxmlformats.org/officeDocument/2006/relationships/image" Target="media/image33.png"/><Relationship Id="rId42" Type="http://schemas.openxmlformats.org/officeDocument/2006/relationships/image" Target="media/image34.png"/><Relationship Id="rId43" Type="http://schemas.openxmlformats.org/officeDocument/2006/relationships/image" Target="media/image35.png"/><Relationship Id="rId44" Type="http://schemas.openxmlformats.org/officeDocument/2006/relationships/image" Target="media/image36.png"/><Relationship Id="rId45" Type="http://schemas.openxmlformats.org/officeDocument/2006/relationships/image" Target="media/image37.png"/><Relationship Id="rId46" Type="http://schemas.openxmlformats.org/officeDocument/2006/relationships/image" Target="media/image38.png"/><Relationship Id="rId47" Type="http://schemas.openxmlformats.org/officeDocument/2006/relationships/image" Target="media/image39.png"/><Relationship Id="rId40" Type="http://schemas.openxmlformats.org/officeDocument/2006/relationships/hyperlink" Target="http://www.sec.gov/Archives/edgar/data/10329/000143774918004488/ex_107779.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2019-12-28T23:15:47Z</dcterms:created>
  <dcterms:modified xsi:type="dcterms:W3CDTF">2019-12-28T23:15:47Z</dcterms:modified>
</cp:coreProperties>
</file>