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UNITED STATES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5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ANNUAL STATEMENT OF CHANGES IN BENEFICIAL OWNERSHIP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Check box if no longer subject to Section 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 or Form 5 obligations may continue. See Instructions 1(b).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3 Holdings Reported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4 Transactions Reported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6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MCGLOTHLIN, JAMES W UNITED COMPANY BOX 1280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72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GLENWAY AVENUE BRISTOL, VA 24203 USA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20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for Month/Year 11-30-96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(Month/Year)</w:t>
      </w:r>
    </w:p>
    <w:p>
      <w:pPr>
        <w:spacing w:after="0" w:line="172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320" w:firstLine="7"/>
        <w:spacing w:after="0" w:line="255" w:lineRule="auto"/>
        <w:tabs>
          <w:tab w:leader="none" w:pos="604" w:val="left"/>
        </w:tabs>
        <w:numPr>
          <w:ilvl w:val="1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 ( ) 10% Owner ( ) Officer (give title below) ( ) Other (specify below)</w:t>
      </w:r>
    </w:p>
    <w:p>
      <w:pPr>
        <w:spacing w:after="0" w:line="159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Individual or Joint/Group Reporting (Check Applicable Line)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620" w:hanging="353"/>
        <w:spacing w:after="0"/>
        <w:tabs>
          <w:tab w:leader="none" w:pos="620" w:val="left"/>
        </w:tabs>
        <w:numPr>
          <w:ilvl w:val="1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filed by One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24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|4.Securities Acquired (A)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|5.Amount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|6.Dir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|7.Nature of Indirect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|Transaction|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or Disposed of (D)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Beneficial Ownership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|(D)or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A/|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 at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 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 |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Price  |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End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Year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|ect(I)|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|5-24-9|P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|4,000</w:t>
            </w:r>
          </w:p>
        </w:tc>
        <w:tc>
          <w:tcPr>
            <w:tcW w:w="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|25.75</w:t>
            </w:r>
          </w:p>
        </w:tc>
        <w:tc>
          <w:tcPr>
            <w:tcW w:w="13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|4,468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2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99"/>
              </w:rPr>
              <w:t>|2.Con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|5.Number of De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|6.Date Exer|7.Title and Amount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|8.Price|9.Number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|10.|11.Nature of|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|version</w:t>
            </w:r>
          </w:p>
        </w:tc>
        <w:tc>
          <w:tcPr>
            <w:tcW w:w="23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 rivative Secu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|cisable and|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|of Deri|of Deriva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|Dir|Indirect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Exer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 rities Acqui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|Expiration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|ect|Beneficial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red(A) or Dis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|Date(Month/|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|Securities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|(D)|Ownership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posed of(D)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|Day/Year)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|Benefi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|Deriva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 |Expir|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|ficially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A/|Exer-|ation|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 and Number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|Owned at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|ire|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|cisa-|Date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|End of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|ct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Amount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|ble  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|Year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|(I)|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*options (right to buy) |27.75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|10-01|3-31-|common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860" w:type="dxa"/>
            <w:vAlign w:val="bottom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|2004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8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*options (right to buy) |26.50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|10-03|4-02-|common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860" w:type="dxa"/>
            <w:vAlign w:val="bottom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|-95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|2005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8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*options (right to buy) |25.75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|10-02|4-02-|common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860" w:type="dxa"/>
            <w:vAlign w:val="bottom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|-96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|2006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8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*GRANTED UNDER THE 1993</w:t>
        <w:tab/>
        <w:t>STOCK PLAN FOR NON-EMPLOYEE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DIRECTORS.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JAMES W. MCGLOTHLIN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11-27-96</w:t>
      </w:r>
    </w:p>
    <w:sectPr>
      <w:pgSz w:w="11900" w:h="16838" w:orient="portrait"/>
      <w:cols w:equalWidth="0" w:num="1">
        <w:col w:w="11540"/>
      </w:cols>
      <w:pgMar w:left="220" w:top="230" w:right="1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upperLetter"/>
      <w:start w:val="24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2019-12-23T17:53:54Z</dcterms:created>
  <dcterms:modified xsi:type="dcterms:W3CDTF">2019-12-23T17:53:54Z</dcterms:modified>
</cp:coreProperties>
</file>