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Cohenour Bruce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3525 FAIRYSTONE PARK HWY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01/17/2019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SVP, Sales &amp; Merchandising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4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01/17/2019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18.76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7"/>
                <w:vertAlign w:val="superscript"/>
              </w:rPr>
              <w:t>(2)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24,363.14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(3)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8,496.43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2"/>
          </w:tcPr>
          <w:p>
            <w:pPr>
              <w:jc w:val="center"/>
              <w:ind w:lef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6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93"/>
              </w:rPr>
              <w:t>1. Restriction on sale and risk of forfeiture until vesting (2021-01-17) or earlier upon death or disability. Also subject to stock ownership guidelines.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4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2. Price of Bassett Furniture Industries Stock at the close of business 01/17/2019.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6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6"/>
              </w:rPr>
              <w:t>3. Includes shares acquired under the 2000 and 2017 Employee Stock Purchase Plans in transactions exempt under Rule 16-3(A).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/s/ Bruce R. Cohenour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01/22/2019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2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7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94019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2019-12-24T07:27:57Z</dcterms:created>
  <dcterms:modified xsi:type="dcterms:W3CDTF">2019-12-24T07:27:57Z</dcterms:modified>
</cp:coreProperties>
</file>