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SCHEDULE 13G</w:t>
      </w:r>
    </w:p>
    <w:p>
      <w:pPr>
        <w:spacing w:after="0" w:line="30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19)*</w:t>
      </w:r>
    </w:p>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BASSETT FURNITURE INDS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of Issuer)</w:t>
      </w:r>
    </w:p>
    <w:p>
      <w:pPr>
        <w:spacing w:after="0" w:line="12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(Title of Class of Securities)</w:t>
      </w: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070203104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2620645</wp:posOffset>
            </wp:positionH>
            <wp:positionV relativeFrom="paragraph">
              <wp:posOffset>76200</wp:posOffset>
            </wp:positionV>
            <wp:extent cx="20154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(CUSIP Number)</w:t>
      </w:r>
    </w:p>
    <w:p>
      <w:pPr>
        <w:spacing w:after="0" w:line="14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ind w:left="4100"/>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141"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58"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58"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157" w:lineRule="exact"/>
        <w:rPr>
          <w:rFonts w:ascii="MS PGothic" w:cs="MS PGothic" w:eastAsia="MS PGothic" w:hAnsi="MS PGothic"/>
          <w:sz w:val="18"/>
          <w:szCs w:val="18"/>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158" w:lineRule="exact"/>
        <w:rPr>
          <w:sz w:val="24"/>
          <w:szCs w:val="24"/>
          <w:color w:val="auto"/>
        </w:rPr>
      </w:pPr>
    </w:p>
    <w:p>
      <w:pPr>
        <w:ind w:left="220" w:right="80" w:hanging="212"/>
        <w:spacing w:after="0" w:line="268" w:lineRule="auto"/>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18" w:lineRule="exact"/>
        <w:rPr>
          <w:sz w:val="24"/>
          <w:szCs w:val="24"/>
          <w:color w:val="auto"/>
        </w:rPr>
      </w:pPr>
    </w:p>
    <w:p>
      <w:pPr>
        <w:ind w:right="300"/>
        <w:spacing w:after="0" w:line="259"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CUSIP No. 070203104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9" w:lineRule="exact"/>
        <w:rPr>
          <w:sz w:val="24"/>
          <w:szCs w:val="24"/>
          <w:color w:val="auto"/>
        </w:rPr>
      </w:pPr>
    </w:p>
    <w:p>
      <w:pPr>
        <w:ind w:left="380" w:hanging="284"/>
        <w:spacing w:after="0"/>
        <w:tabs>
          <w:tab w:leader="none" w:pos="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15" w:lineRule="exact"/>
        <w:rPr>
          <w:rFonts w:ascii="Arial" w:cs="Arial" w:eastAsia="Arial" w:hAnsi="Arial"/>
          <w:sz w:val="18"/>
          <w:szCs w:val="18"/>
          <w:color w:val="auto"/>
        </w:rPr>
      </w:pPr>
    </w:p>
    <w:p>
      <w:pPr>
        <w:ind w:left="38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06"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Dimensional Fund Advisors LP (Tax ID: 30-0447847)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15"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6"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25"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-408305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Delaware Limited Partnership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240"/>
        <w:spacing w:after="0"/>
        <w:rPr>
          <w:sz w:val="20"/>
          <w:szCs w:val="20"/>
          <w:color w:val="auto"/>
        </w:rPr>
      </w:pPr>
      <w:r>
        <w:rPr>
          <w:rFonts w:ascii="Arial" w:cs="Arial" w:eastAsia="Arial" w:hAnsi="Arial"/>
          <w:sz w:val="18"/>
          <w:szCs w:val="18"/>
          <w:color w:val="auto"/>
        </w:rPr>
        <w:t>5. Sole Voting Power</w:t>
      </w:r>
    </w:p>
    <w:p>
      <w:pPr>
        <w:spacing w:after="0" w:line="212" w:lineRule="exact"/>
        <w:rPr>
          <w:sz w:val="24"/>
          <w:szCs w:val="24"/>
          <w:color w:val="auto"/>
        </w:rPr>
      </w:pPr>
    </w:p>
    <w:tbl>
      <w:tblPr>
        <w:tblLayout w:type="fixed"/>
        <w:tblInd w:w="0" w:type="dxa"/>
        <w:tblCellMar>
          <w:top w:w="0" w:type="dxa"/>
          <w:left w:w="0" w:type="dxa"/>
          <w:bottom w:w="0" w:type="dxa"/>
          <w:right w:w="0" w:type="dxa"/>
        </w:tblCellMar>
      </w:tblPr>
      <w:tr>
        <w:trPr>
          <w:trHeight w:val="278"/>
        </w:trPr>
        <w:tc>
          <w:tcPr>
            <w:tcW w:w="1040" w:type="dxa"/>
            <w:vAlign w:val="bottom"/>
          </w:tcPr>
          <w:p>
            <w:pPr>
              <w:spacing w:after="0"/>
              <w:rPr>
                <w:sz w:val="20"/>
                <w:szCs w:val="20"/>
                <w:color w:val="auto"/>
              </w:rPr>
            </w:pPr>
            <w:r>
              <w:rPr>
                <w:rFonts w:ascii="Arial" w:cs="Arial" w:eastAsia="Arial" w:hAnsi="Arial"/>
                <w:sz w:val="18"/>
                <w:szCs w:val="18"/>
                <w:color w:val="auto"/>
              </w:rPr>
              <w:t>Number of</w:t>
            </w:r>
          </w:p>
        </w:tc>
        <w:tc>
          <w:tcPr>
            <w:tcW w:w="360" w:type="dxa"/>
            <w:vAlign w:val="bottom"/>
            <w:tcBorders>
              <w:bottom w:val="single" w:sz="8" w:color="auto"/>
            </w:tcBorders>
          </w:tcPr>
          <w:p>
            <w:pPr>
              <w:spacing w:after="0"/>
              <w:rPr>
                <w:sz w:val="24"/>
                <w:szCs w:val="24"/>
                <w:color w:val="auto"/>
              </w:rPr>
            </w:pPr>
          </w:p>
        </w:tc>
        <w:tc>
          <w:tcPr>
            <w:tcW w:w="10020" w:type="dxa"/>
            <w:vAlign w:val="bottom"/>
            <w:tcBorders>
              <w:bottom w:val="single" w:sz="8" w:color="auto"/>
            </w:tcBorders>
          </w:tcPr>
          <w:p>
            <w:pPr>
              <w:ind w:left="400"/>
              <w:spacing w:after="0"/>
              <w:rPr>
                <w:sz w:val="20"/>
                <w:szCs w:val="20"/>
                <w:color w:val="auto"/>
              </w:rPr>
            </w:pPr>
            <w:r>
              <w:rPr>
                <w:rFonts w:ascii="Arial" w:cs="Arial" w:eastAsia="Arial" w:hAnsi="Arial"/>
                <w:sz w:val="22"/>
                <w:szCs w:val="22"/>
                <w:color w:val="auto"/>
              </w:rPr>
              <w:t>829673 **see Note 1**</w:t>
            </w:r>
          </w:p>
        </w:tc>
        <w:tc>
          <w:tcPr>
            <w:tcW w:w="0" w:type="dxa"/>
            <w:vAlign w:val="bottom"/>
          </w:tcPr>
          <w:p>
            <w:pPr>
              <w:spacing w:after="0"/>
              <w:rPr>
                <w:sz w:val="1"/>
                <w:szCs w:val="1"/>
                <w:color w:val="auto"/>
              </w:rPr>
            </w:pPr>
          </w:p>
        </w:tc>
      </w:tr>
      <w:tr>
        <w:trPr>
          <w:trHeight w:val="242"/>
        </w:trPr>
        <w:tc>
          <w:tcPr>
            <w:tcW w:w="1040" w:type="dxa"/>
            <w:vAlign w:val="bottom"/>
          </w:tcPr>
          <w:p>
            <w:pPr>
              <w:spacing w:after="0"/>
              <w:rPr>
                <w:sz w:val="20"/>
                <w:szCs w:val="20"/>
                <w:color w:val="auto"/>
              </w:rPr>
            </w:pPr>
            <w:r>
              <w:rPr>
                <w:rFonts w:ascii="Arial" w:cs="Arial" w:eastAsia="Arial" w:hAnsi="Arial"/>
                <w:sz w:val="18"/>
                <w:szCs w:val="18"/>
                <w:color w:val="auto"/>
              </w:rPr>
              <w:t>Shares</w:t>
            </w:r>
          </w:p>
        </w:tc>
        <w:tc>
          <w:tcPr>
            <w:tcW w:w="360" w:type="dxa"/>
            <w:vAlign w:val="bottom"/>
          </w:tcPr>
          <w:p>
            <w:pPr>
              <w:jc w:val="right"/>
              <w:spacing w:after="0"/>
              <w:rPr>
                <w:sz w:val="20"/>
                <w:szCs w:val="20"/>
                <w:color w:val="auto"/>
              </w:rPr>
            </w:pPr>
            <w:r>
              <w:rPr>
                <w:rFonts w:ascii="Arial" w:cs="Arial" w:eastAsia="Arial" w:hAnsi="Arial"/>
                <w:sz w:val="18"/>
                <w:szCs w:val="18"/>
                <w:color w:val="auto"/>
              </w:rPr>
              <w:t>6.</w:t>
            </w:r>
          </w:p>
        </w:tc>
        <w:tc>
          <w:tcPr>
            <w:tcW w:w="10020" w:type="dxa"/>
            <w:vAlign w:val="bottom"/>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Beneficially</w:t>
            </w:r>
          </w:p>
        </w:tc>
        <w:tc>
          <w:tcPr>
            <w:tcW w:w="360" w:type="dxa"/>
            <w:vAlign w:val="bottom"/>
          </w:tcPr>
          <w:p>
            <w:pPr>
              <w:spacing w:after="0"/>
              <w:rPr>
                <w:sz w:val="18"/>
                <w:szCs w:val="18"/>
                <w:color w:val="auto"/>
              </w:rPr>
            </w:pPr>
          </w:p>
        </w:tc>
        <w:tc>
          <w:tcPr>
            <w:tcW w:w="10020" w:type="dxa"/>
            <w:vAlign w:val="bottom"/>
            <w:vMerge w:val="restart"/>
          </w:tcPr>
          <w:p>
            <w:pPr>
              <w:ind w:left="4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Owned by</w:t>
            </w:r>
          </w:p>
        </w:tc>
        <w:tc>
          <w:tcPr>
            <w:tcW w:w="360" w:type="dxa"/>
            <w:vAlign w:val="bottom"/>
            <w:tcBorders>
              <w:bottom w:val="single" w:sz="8" w:color="auto"/>
            </w:tcBorders>
          </w:tcPr>
          <w:p>
            <w:pPr>
              <w:spacing w:after="0"/>
              <w:rPr>
                <w:sz w:val="19"/>
                <w:szCs w:val="19"/>
                <w:color w:val="auto"/>
              </w:rPr>
            </w:pPr>
          </w:p>
        </w:tc>
        <w:tc>
          <w:tcPr>
            <w:tcW w:w="100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40" w:type="dxa"/>
            <w:vAlign w:val="bottom"/>
          </w:tcPr>
          <w:p>
            <w:pPr>
              <w:spacing w:after="0" w:line="190" w:lineRule="exact"/>
              <w:rPr>
                <w:sz w:val="20"/>
                <w:szCs w:val="20"/>
                <w:color w:val="auto"/>
              </w:rPr>
            </w:pPr>
            <w:r>
              <w:rPr>
                <w:rFonts w:ascii="Arial" w:cs="Arial" w:eastAsia="Arial" w:hAnsi="Arial"/>
                <w:sz w:val="18"/>
                <w:szCs w:val="18"/>
                <w:color w:val="auto"/>
              </w:rPr>
              <w:t>Each</w:t>
            </w:r>
          </w:p>
        </w:tc>
        <w:tc>
          <w:tcPr>
            <w:tcW w:w="360" w:type="dxa"/>
            <w:vAlign w:val="bottom"/>
          </w:tcPr>
          <w:p>
            <w:pPr>
              <w:jc w:val="right"/>
              <w:spacing w:after="0" w:line="190" w:lineRule="exact"/>
              <w:rPr>
                <w:sz w:val="20"/>
                <w:szCs w:val="20"/>
                <w:color w:val="auto"/>
              </w:rPr>
            </w:pPr>
            <w:r>
              <w:rPr>
                <w:rFonts w:ascii="Arial" w:cs="Arial" w:eastAsia="Arial" w:hAnsi="Arial"/>
                <w:sz w:val="18"/>
                <w:szCs w:val="18"/>
                <w:color w:val="auto"/>
              </w:rPr>
              <w:t>7.</w:t>
            </w:r>
          </w:p>
        </w:tc>
        <w:tc>
          <w:tcPr>
            <w:tcW w:w="10020" w:type="dxa"/>
            <w:vAlign w:val="bottom"/>
          </w:tcPr>
          <w:p>
            <w:pPr>
              <w:ind w:left="20"/>
              <w:spacing w:after="0" w:line="190"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Reporting</w:t>
            </w:r>
          </w:p>
        </w:tc>
        <w:tc>
          <w:tcPr>
            <w:tcW w:w="360" w:type="dxa"/>
            <w:vAlign w:val="bottom"/>
          </w:tcPr>
          <w:p>
            <w:pPr>
              <w:spacing w:after="0"/>
              <w:rPr>
                <w:sz w:val="18"/>
                <w:szCs w:val="18"/>
                <w:color w:val="auto"/>
              </w:rPr>
            </w:pPr>
          </w:p>
        </w:tc>
        <w:tc>
          <w:tcPr>
            <w:tcW w:w="10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Person</w:t>
            </w:r>
          </w:p>
        </w:tc>
        <w:tc>
          <w:tcPr>
            <w:tcW w:w="360" w:type="dxa"/>
            <w:vAlign w:val="bottom"/>
          </w:tcPr>
          <w:p>
            <w:pPr>
              <w:spacing w:after="0"/>
              <w:rPr>
                <w:sz w:val="18"/>
                <w:szCs w:val="18"/>
                <w:color w:val="auto"/>
              </w:rPr>
            </w:pPr>
          </w:p>
        </w:tc>
        <w:tc>
          <w:tcPr>
            <w:tcW w:w="10020" w:type="dxa"/>
            <w:vAlign w:val="bottom"/>
          </w:tcPr>
          <w:p>
            <w:pPr>
              <w:ind w:left="400"/>
              <w:spacing w:after="0" w:line="217" w:lineRule="exact"/>
              <w:rPr>
                <w:sz w:val="20"/>
                <w:szCs w:val="20"/>
                <w:color w:val="auto"/>
              </w:rPr>
            </w:pPr>
            <w:r>
              <w:rPr>
                <w:rFonts w:ascii="Arial" w:cs="Arial" w:eastAsia="Arial" w:hAnsi="Arial"/>
                <w:sz w:val="22"/>
                <w:szCs w:val="22"/>
                <w:color w:val="auto"/>
              </w:rPr>
              <w:t>854806 **see Note 1**</w:t>
            </w:r>
          </w:p>
        </w:tc>
        <w:tc>
          <w:tcPr>
            <w:tcW w:w="0" w:type="dxa"/>
            <w:vAlign w:val="bottom"/>
          </w:tcPr>
          <w:p>
            <w:pPr>
              <w:spacing w:after="0"/>
              <w:rPr>
                <w:sz w:val="1"/>
                <w:szCs w:val="1"/>
                <w:color w:val="auto"/>
              </w:rPr>
            </w:pPr>
          </w:p>
        </w:tc>
      </w:tr>
      <w:tr>
        <w:trPr>
          <w:trHeight w:val="62"/>
        </w:trPr>
        <w:tc>
          <w:tcPr>
            <w:tcW w:w="1040" w:type="dxa"/>
            <w:vAlign w:val="bottom"/>
            <w:vMerge w:val="restart"/>
          </w:tcPr>
          <w:p>
            <w:pPr>
              <w:spacing w:after="0"/>
              <w:rPr>
                <w:sz w:val="20"/>
                <w:szCs w:val="20"/>
                <w:color w:val="auto"/>
              </w:rPr>
            </w:pPr>
            <w:r>
              <w:rPr>
                <w:rFonts w:ascii="Arial" w:cs="Arial" w:eastAsia="Arial" w:hAnsi="Arial"/>
                <w:sz w:val="18"/>
                <w:szCs w:val="18"/>
                <w:color w:val="auto"/>
              </w:rPr>
              <w:t>With</w:t>
            </w:r>
          </w:p>
        </w:tc>
        <w:tc>
          <w:tcPr>
            <w:tcW w:w="360" w:type="dxa"/>
            <w:vAlign w:val="bottom"/>
            <w:tcBorders>
              <w:bottom w:val="single" w:sz="8" w:color="auto"/>
            </w:tcBorders>
          </w:tcPr>
          <w:p>
            <w:pPr>
              <w:spacing w:after="0"/>
              <w:rPr>
                <w:sz w:val="5"/>
                <w:szCs w:val="5"/>
                <w:color w:val="auto"/>
              </w:rPr>
            </w:pPr>
          </w:p>
        </w:tc>
        <w:tc>
          <w:tcPr>
            <w:tcW w:w="10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040" w:type="dxa"/>
            <w:vAlign w:val="bottom"/>
            <w:vMerge w:val="continue"/>
          </w:tcPr>
          <w:p>
            <w:pPr>
              <w:spacing w:after="0"/>
              <w:rPr>
                <w:sz w:val="12"/>
                <w:szCs w:val="12"/>
                <w:color w:val="auto"/>
              </w:rPr>
            </w:pPr>
          </w:p>
        </w:tc>
        <w:tc>
          <w:tcPr>
            <w:tcW w:w="36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0020" w:type="dxa"/>
            <w:vAlign w:val="bottom"/>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76"/>
        </w:trPr>
        <w:tc>
          <w:tcPr>
            <w:tcW w:w="104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100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188" w:lineRule="exact"/>
        <w:rPr>
          <w:sz w:val="24"/>
          <w:szCs w:val="24"/>
          <w:color w:val="auto"/>
        </w:rPr>
      </w:pPr>
    </w:p>
    <w:p>
      <w:pPr>
        <w:ind w:left="1800"/>
        <w:spacing w:after="0"/>
        <w:rPr>
          <w:sz w:val="20"/>
          <w:szCs w:val="20"/>
          <w:color w:val="auto"/>
        </w:rPr>
      </w:pPr>
      <w:r>
        <w:rPr>
          <w:rFonts w:ascii="Arial" w:cs="Arial" w:eastAsia="Arial" w:hAnsi="Arial"/>
          <w:sz w:val="22"/>
          <w:szCs w:val="22"/>
          <w:color w:val="auto"/>
        </w:rPr>
        <w:t>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00"/>
        <w:spacing w:after="0"/>
        <w:tabs>
          <w:tab w:leader="none" w:pos="360" w:val="left"/>
        </w:tabs>
        <w:rPr>
          <w:sz w:val="20"/>
          <w:szCs w:val="20"/>
          <w:color w:val="auto"/>
        </w:rPr>
      </w:pPr>
      <w:r>
        <w:rPr>
          <w:rFonts w:ascii="Arial" w:cs="Arial" w:eastAsia="Arial" w:hAnsi="Arial"/>
          <w:sz w:val="18"/>
          <w:szCs w:val="18"/>
          <w:color w:val="auto"/>
        </w:rPr>
        <w:t>9.</w:t>
      </w:r>
      <w:r>
        <w:rPr>
          <w:sz w:val="20"/>
          <w:szCs w:val="20"/>
          <w:color w:val="auto"/>
        </w:rPr>
        <w:tab/>
      </w:r>
      <w:r>
        <w:rPr>
          <w:rFonts w:ascii="Arial" w:cs="Arial" w:eastAsia="Arial" w:hAnsi="Arial"/>
          <w:sz w:val="16"/>
          <w:szCs w:val="16"/>
          <w:color w:val="auto"/>
        </w:rPr>
        <w:t>Aggregate Amount Beneficially Owned by Each Reporting Person</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854806 **see Note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10.</w:t>
      </w:r>
      <w:r>
        <w:rPr>
          <w:sz w:val="20"/>
          <w:szCs w:val="20"/>
          <w:color w:val="auto"/>
        </w:rPr>
        <w:tab/>
      </w:r>
      <w:r>
        <w:rPr>
          <w:rFonts w:ascii="Arial" w:cs="Arial" w:eastAsia="Arial" w:hAnsi="Arial"/>
          <w:sz w:val="15"/>
          <w:szCs w:val="15"/>
          <w:color w:val="auto"/>
        </w:rPr>
        <w:t>Check if the Aggregate Amount in Row (9) Excludes Certain Shares (See Instructions)</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5"/>
          <w:szCs w:val="15"/>
          <w:color w:val="auto"/>
        </w:rPr>
        <w:t>Percent of Class Represented by Amount in Row (9)</w:t>
      </w:r>
    </w:p>
    <w:p>
      <w:pPr>
        <w:sectPr>
          <w:pgSz w:w="11900" w:h="16838" w:orient="portrait"/>
          <w:cols w:equalWidth="0" w:num="1">
            <w:col w:w="11420"/>
          </w:cols>
          <w:pgMar w:left="240" w:top="666" w:right="239" w:bottom="0" w:gutter="0" w:footer="0" w:header="0"/>
        </w:sectPr>
      </w:pPr>
    </w:p>
    <w:bookmarkStart w:id="1" w:name="page2"/>
    <w:bookmarkEnd w:id="1"/>
    <w:p>
      <w:pPr>
        <w:ind w:left="1020"/>
        <w:spacing w:after="0"/>
        <w:rPr>
          <w:sz w:val="20"/>
          <w:szCs w:val="20"/>
          <w:color w:val="auto"/>
        </w:rPr>
      </w:pPr>
      <w:r>
        <w:rPr>
          <w:rFonts w:ascii="Arial" w:cs="Arial" w:eastAsia="Arial" w:hAnsi="Arial"/>
          <w:sz w:val="22"/>
          <w:szCs w:val="22"/>
          <w:color w:val="auto"/>
        </w:rPr>
        <w:t>8.46%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5"/>
          <w:szCs w:val="15"/>
          <w:color w:val="auto"/>
        </w:rPr>
        <w:t>Type of Reporting Person (See Instructions)</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86" w:right="1440"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Item 1.</w:t>
      </w:r>
    </w:p>
    <w:p>
      <w:pPr>
        <w:spacing w:after="0" w:line="117" w:lineRule="exact"/>
        <w:rPr>
          <w:sz w:val="20"/>
          <w:szCs w:val="20"/>
          <w:color w:val="auto"/>
        </w:rPr>
      </w:pPr>
    </w:p>
    <w:p>
      <w:pPr>
        <w:ind w:left="1320" w:hanging="434"/>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200" w:lineRule="exact"/>
        <w:rPr>
          <w:sz w:val="20"/>
          <w:szCs w:val="20"/>
          <w:color w:val="auto"/>
        </w:rPr>
      </w:pPr>
    </w:p>
    <w:p>
      <w:pPr>
        <w:spacing w:after="0" w:line="214" w:lineRule="exact"/>
        <w:rPr>
          <w:sz w:val="20"/>
          <w:szCs w:val="20"/>
          <w:color w:val="auto"/>
        </w:rPr>
      </w:pPr>
    </w:p>
    <w:p>
      <w:pPr>
        <w:ind w:left="1320" w:hanging="43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7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3525 Fairystone Park Highway,PO Box 626, Bassett,VA,24055</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Item 2.</w:t>
      </w:r>
    </w:p>
    <w:p>
      <w:pPr>
        <w:spacing w:after="0" w:line="117" w:lineRule="exact"/>
        <w:rPr>
          <w:sz w:val="20"/>
          <w:szCs w:val="20"/>
          <w:color w:val="auto"/>
        </w:rPr>
      </w:pPr>
    </w:p>
    <w:p>
      <w:pPr>
        <w:ind w:left="1320" w:hanging="434"/>
        <w:spacing w:after="0"/>
        <w:tabs>
          <w:tab w:leader="none" w:pos="1320" w:val="left"/>
        </w:tabs>
        <w:numPr>
          <w:ilvl w:val="0"/>
          <w:numId w:val="8"/>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00" w:lineRule="exact"/>
        <w:rPr>
          <w:sz w:val="20"/>
          <w:szCs w:val="20"/>
          <w:color w:val="auto"/>
        </w:rPr>
      </w:pPr>
    </w:p>
    <w:p>
      <w:pPr>
        <w:spacing w:after="0" w:line="214" w:lineRule="exact"/>
        <w:rPr>
          <w:sz w:val="20"/>
          <w:szCs w:val="20"/>
          <w:color w:val="auto"/>
        </w:rPr>
      </w:pPr>
    </w:p>
    <w:p>
      <w:pPr>
        <w:ind w:left="1320" w:hanging="434"/>
        <w:spacing w:after="0"/>
        <w:tabs>
          <w:tab w:leader="none" w:pos="1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320" w:hanging="434"/>
        <w:spacing w:after="0"/>
        <w:tabs>
          <w:tab w:leader="none" w:pos="1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00" w:lineRule="exact"/>
        <w:rPr>
          <w:sz w:val="20"/>
          <w:szCs w:val="20"/>
          <w:color w:val="auto"/>
        </w:rPr>
      </w:pPr>
    </w:p>
    <w:p>
      <w:pPr>
        <w:spacing w:after="0" w:line="214" w:lineRule="exact"/>
        <w:rPr>
          <w:sz w:val="20"/>
          <w:szCs w:val="20"/>
          <w:color w:val="auto"/>
        </w:rPr>
      </w:pPr>
    </w:p>
    <w:p>
      <w:pPr>
        <w:ind w:left="1760" w:right="8020" w:hanging="874"/>
        <w:spacing w:after="0" w:line="405" w:lineRule="auto"/>
        <w:tabs>
          <w:tab w:leader="none" w:pos="1328" w:val="left"/>
        </w:tabs>
        <w:numPr>
          <w:ilvl w:val="0"/>
          <w:numId w:val="11"/>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ind w:left="1760" w:right="8660" w:hanging="874"/>
        <w:spacing w:after="0" w:line="432" w:lineRule="auto"/>
        <w:tabs>
          <w:tab w:leader="none" w:pos="1328" w:val="left"/>
        </w:tabs>
        <w:numPr>
          <w:ilvl w:val="0"/>
          <w:numId w:val="11"/>
        </w:numPr>
        <w:rPr>
          <w:rFonts w:ascii="Arial" w:cs="Arial" w:eastAsia="Arial" w:hAnsi="Arial"/>
          <w:sz w:val="15"/>
          <w:szCs w:val="15"/>
          <w:color w:val="auto"/>
        </w:rPr>
      </w:pPr>
      <w:r>
        <w:rPr>
          <w:rFonts w:ascii="Arial" w:cs="Arial" w:eastAsia="Arial" w:hAnsi="Arial"/>
          <w:sz w:val="15"/>
          <w:szCs w:val="15"/>
          <w:color w:val="auto"/>
        </w:rPr>
        <w:t>CUSIP Number 070203104</w:t>
      </w:r>
    </w:p>
    <w:p>
      <w:pPr>
        <w:spacing w:after="0"/>
        <w:tabs>
          <w:tab w:leader="none" w:pos="860" w:val="left"/>
        </w:tabs>
        <w:rPr>
          <w:sz w:val="20"/>
          <w:szCs w:val="20"/>
          <w:color w:val="auto"/>
        </w:rPr>
      </w:pPr>
      <w:r>
        <w:rPr>
          <w:rFonts w:ascii="Arial" w:cs="Arial" w:eastAsia="Arial" w:hAnsi="Arial"/>
          <w:sz w:val="18"/>
          <w:szCs w:val="18"/>
          <w:color w:val="auto"/>
        </w:rPr>
        <w:t>Item 3.</w:t>
      </w:r>
      <w:r>
        <w:rPr>
          <w:sz w:val="20"/>
          <w:szCs w:val="20"/>
          <w:color w:val="auto"/>
        </w:rPr>
        <w:tab/>
      </w:r>
      <w:r>
        <w:rPr>
          <w:rFonts w:ascii="Arial" w:cs="Arial" w:eastAsia="Arial" w:hAnsi="Arial"/>
          <w:sz w:val="16"/>
          <w:szCs w:val="16"/>
          <w:color w:val="auto"/>
        </w:rPr>
        <w:t>If this statement is filed pursuant to Sec. 240.13d-1(b) or 240.13d-2(b) or (c), check whether the person filing is a:</w:t>
      </w:r>
    </w:p>
    <w:p>
      <w:pPr>
        <w:spacing w:after="0" w:line="85" w:lineRule="exact"/>
        <w:rPr>
          <w:sz w:val="20"/>
          <w:szCs w:val="20"/>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Sec. 240.13d-1(b)(1)(ii)(E);</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Sec. 240.13d-1(b)(1)(ii)(F);</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Sec. 240.13d-1(b)(1)(ii)(G);</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17" w:lineRule="exact"/>
        <w:rPr>
          <w:rFonts w:ascii="Arial" w:cs="Arial" w:eastAsia="Arial" w:hAnsi="Arial"/>
          <w:sz w:val="18"/>
          <w:szCs w:val="18"/>
          <w:color w:val="auto"/>
        </w:rPr>
      </w:pPr>
    </w:p>
    <w:p>
      <w:pPr>
        <w:ind w:left="1700" w:hanging="814"/>
        <w:spacing w:after="0" w:line="236" w:lineRule="exact"/>
        <w:tabs>
          <w:tab w:leader="none" w:pos="1322"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9"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Sec. 240.13d-1(b)(1)(ii)(J);</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Sec. 240.13d-1(b)(1)(ii)(J).</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117" w:lineRule="exact"/>
        <w:rPr>
          <w:sz w:val="20"/>
          <w:szCs w:val="20"/>
          <w:color w:val="auto"/>
        </w:rPr>
      </w:pPr>
    </w:p>
    <w:p>
      <w:pPr>
        <w:ind w:left="1760" w:right="7780" w:hanging="874"/>
        <w:spacing w:after="0" w:line="405" w:lineRule="auto"/>
        <w:tabs>
          <w:tab w:leader="none" w:pos="1328" w:val="left"/>
        </w:tabs>
        <w:numPr>
          <w:ilvl w:val="0"/>
          <w:numId w:val="13"/>
        </w:numPr>
        <w:rPr>
          <w:rFonts w:ascii="Arial" w:cs="Arial" w:eastAsia="Arial" w:hAnsi="Arial"/>
          <w:sz w:val="16"/>
          <w:szCs w:val="16"/>
          <w:color w:val="auto"/>
        </w:rPr>
      </w:pPr>
      <w:r>
        <w:rPr>
          <w:rFonts w:ascii="Arial" w:cs="Arial" w:eastAsia="Arial" w:hAnsi="Arial"/>
          <w:sz w:val="16"/>
          <w:szCs w:val="16"/>
          <w:color w:val="auto"/>
        </w:rPr>
        <w:t>Amount beneficially owned: 854806 **see Note 1**</w:t>
      </w:r>
    </w:p>
    <w:p>
      <w:pPr>
        <w:ind w:left="1320" w:hanging="434"/>
        <w:spacing w:after="0"/>
        <w:tabs>
          <w:tab w:leader="none" w:pos="13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7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8.46%</w:t>
      </w:r>
    </w:p>
    <w:p>
      <w:pPr>
        <w:sectPr>
          <w:pgSz w:w="11900" w:h="16838" w:orient="portrait"/>
          <w:cols w:equalWidth="0" w:num="1">
            <w:col w:w="11200"/>
          </w:cols>
          <w:pgMar w:left="240" w:top="131" w:right="459" w:bottom="1440" w:gutter="0" w:footer="0" w:header="0"/>
        </w:sectPr>
      </w:pPr>
    </w:p>
    <w:bookmarkStart w:id="3" w:name="page4"/>
    <w:bookmarkEnd w:id="3"/>
    <w:p>
      <w:pPr>
        <w:ind w:left="1680" w:hanging="781"/>
        <w:spacing w:after="0"/>
        <w:tabs>
          <w:tab w:leader="none" w:pos="16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17" w:lineRule="exact"/>
        <w:rPr>
          <w:rFonts w:ascii="Arial" w:cs="Arial" w:eastAsia="Arial" w:hAnsi="Arial"/>
          <w:sz w:val="18"/>
          <w:szCs w:val="18"/>
          <w:color w:val="auto"/>
        </w:rPr>
      </w:pPr>
    </w:p>
    <w:p>
      <w:pPr>
        <w:ind w:left="2500" w:right="654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Sole power to vote or to direct the vote: 829673 **see Note 1**</w:t>
      </w:r>
    </w:p>
    <w:p>
      <w:pPr>
        <w:spacing w:after="0" w:line="24" w:lineRule="exact"/>
        <w:rPr>
          <w:rFonts w:ascii="Arial" w:cs="Arial" w:eastAsia="Arial" w:hAnsi="Arial"/>
          <w:sz w:val="18"/>
          <w:szCs w:val="18"/>
          <w:color w:val="auto"/>
        </w:rPr>
      </w:pPr>
    </w:p>
    <w:p>
      <w:pPr>
        <w:ind w:left="2500" w:right="638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Shared power to vote or to direct the vote: 0</w:t>
      </w:r>
    </w:p>
    <w:p>
      <w:pPr>
        <w:spacing w:after="0" w:line="24" w:lineRule="exact"/>
        <w:rPr>
          <w:rFonts w:ascii="Arial" w:cs="Arial" w:eastAsia="Arial" w:hAnsi="Arial"/>
          <w:sz w:val="18"/>
          <w:szCs w:val="18"/>
          <w:color w:val="auto"/>
        </w:rPr>
      </w:pPr>
    </w:p>
    <w:p>
      <w:pPr>
        <w:ind w:left="2500" w:right="566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854806 **see Note 1**</w:t>
      </w:r>
    </w:p>
    <w:p>
      <w:pPr>
        <w:spacing w:after="0" w:line="24" w:lineRule="exact"/>
        <w:rPr>
          <w:rFonts w:ascii="Arial" w:cs="Arial" w:eastAsia="Arial" w:hAnsi="Arial"/>
          <w:sz w:val="18"/>
          <w:szCs w:val="18"/>
          <w:color w:val="auto"/>
        </w:rPr>
      </w:pPr>
    </w:p>
    <w:p>
      <w:pPr>
        <w:ind w:left="2500" w:right="5500" w:hanging="817"/>
        <w:spacing w:after="0" w:line="346" w:lineRule="auto"/>
        <w:tabs>
          <w:tab w:leader="none" w:pos="2068" w:val="left"/>
        </w:tabs>
        <w:numPr>
          <w:ilvl w:val="2"/>
          <w:numId w:val="14"/>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w:t>
      </w:r>
    </w:p>
    <w:p>
      <w:pPr>
        <w:spacing w:after="0" w:line="64" w:lineRule="exact"/>
        <w:rPr>
          <w:rFonts w:ascii="Arial" w:cs="Arial" w:eastAsia="Arial" w:hAnsi="Arial"/>
          <w:sz w:val="18"/>
          <w:szCs w:val="18"/>
          <w:color w:val="auto"/>
        </w:rPr>
      </w:pPr>
    </w:p>
    <w:p>
      <w:pPr>
        <w:ind w:left="920" w:firstLine="1"/>
        <w:spacing w:after="0" w:line="287" w:lineRule="auto"/>
        <w:tabs>
          <w:tab w:leader="none" w:pos="1139" w:val="left"/>
        </w:tabs>
        <w:numPr>
          <w:ilvl w:val="1"/>
          <w:numId w:val="14"/>
        </w:numPr>
        <w:rPr>
          <w:rFonts w:ascii="Arial" w:cs="Arial" w:eastAsia="Arial" w:hAnsi="Arial"/>
          <w:sz w:val="16"/>
          <w:szCs w:val="16"/>
          <w:color w:val="auto"/>
        </w:rPr>
      </w:pPr>
      <w:r>
        <w:rPr>
          <w:rFonts w:ascii="Arial" w:cs="Arial" w:eastAsia="Arial" w:hAnsi="Arial"/>
          <w:sz w:val="16"/>
          <w:szCs w:val="16"/>
          <w:color w:val="auto"/>
        </w:rPr>
        <w:t>Note 1 **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w:t>
      </w:r>
    </w:p>
    <w:p>
      <w:pPr>
        <w:spacing w:after="0" w:line="10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5"/>
          <w:szCs w:val="15"/>
          <w:color w:val="auto"/>
        </w:rPr>
        <w:t>Ownership of Five Percent or Less of a Class</w:t>
      </w:r>
    </w:p>
    <w:p>
      <w:pPr>
        <w:spacing w:after="0" w:line="117"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7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color w:val="auto"/>
        </w:rPr>
        <w:t>Ownership of More than Five Percent on Behalf of Another Person</w:t>
      </w:r>
    </w:p>
    <w:p>
      <w:pPr>
        <w:spacing w:after="0" w:line="117" w:lineRule="exact"/>
        <w:rPr>
          <w:sz w:val="20"/>
          <w:szCs w:val="20"/>
          <w:color w:val="auto"/>
        </w:rPr>
      </w:pPr>
    </w:p>
    <w:p>
      <w:pPr>
        <w:jc w:val="both"/>
        <w:ind w:left="920" w:right="80"/>
        <w:spacing w:after="0" w:line="306" w:lineRule="auto"/>
        <w:rPr>
          <w:sz w:val="20"/>
          <w:szCs w:val="20"/>
          <w:color w:val="auto"/>
        </w:rPr>
      </w:pPr>
      <w:r>
        <w:rPr>
          <w:rFonts w:ascii="Arial" w:cs="Arial" w:eastAsia="Arial" w:hAnsi="Arial"/>
          <w:sz w:val="16"/>
          <w:szCs w:val="16"/>
          <w:color w:val="auto"/>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p>
      <w:pPr>
        <w:spacing w:after="0" w:line="53" w:lineRule="exact"/>
        <w:rPr>
          <w:sz w:val="20"/>
          <w:szCs w:val="20"/>
          <w:color w:val="auto"/>
        </w:rPr>
      </w:pPr>
    </w:p>
    <w:p>
      <w:pPr>
        <w:ind w:left="920" w:right="400" w:hanging="917"/>
        <w:spacing w:after="0" w:line="268" w:lineRule="auto"/>
        <w:tabs>
          <w:tab w:leader="none" w:pos="90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8"/>
          <w:szCs w:val="18"/>
          <w:color w:val="auto"/>
        </w:rPr>
        <w:t>Identification and Classification of the Subsidiary Which Acquired the Security Being Reported on By the Parent Holding Company or Control Person.</w:t>
      </w:r>
    </w:p>
    <w:p>
      <w:pPr>
        <w:spacing w:after="0" w:line="7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color w:val="auto"/>
        </w:rPr>
        <w:t>Identification and Classification of Members of the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color w:val="auto"/>
        </w:rPr>
        <w:t>Notice of Dissolution of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color w:val="auto"/>
        </w:rPr>
        <w:t>Certification</w:t>
      </w:r>
    </w:p>
    <w:p>
      <w:pPr>
        <w:spacing w:after="0" w:line="117" w:lineRule="exact"/>
        <w:rPr>
          <w:sz w:val="20"/>
          <w:szCs w:val="20"/>
          <w:color w:val="auto"/>
        </w:rPr>
      </w:pPr>
    </w:p>
    <w:p>
      <w:pPr>
        <w:ind w:left="1360" w:right="100"/>
        <w:spacing w:after="0" w:line="298"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Sec. 240.14a-11.</w:t>
      </w:r>
    </w:p>
    <w:p>
      <w:pPr>
        <w:sectPr>
          <w:pgSz w:w="11900" w:h="16838" w:orient="portrait"/>
          <w:cols w:equalWidth="0" w:num="1">
            <w:col w:w="11400"/>
          </w:cols>
          <w:pgMar w:left="240" w:top="239" w:right="259" w:bottom="1440" w:gutter="0" w:footer="0" w:header="0"/>
        </w:sectPr>
      </w:pPr>
    </w:p>
    <w:bookmarkStart w:id="4" w:name="page5"/>
    <w:bookmarkEnd w:id="4"/>
    <w:p>
      <w:pPr>
        <w:ind w:left="5200"/>
        <w:spacing w:after="0"/>
        <w:rPr>
          <w:sz w:val="20"/>
          <w:szCs w:val="20"/>
          <w:color w:val="auto"/>
        </w:rPr>
      </w:pPr>
      <w:r>
        <w:rPr>
          <w:rFonts w:ascii="Arial" w:cs="Arial" w:eastAsia="Arial" w:hAnsi="Arial"/>
          <w:sz w:val="18"/>
          <w:szCs w:val="18"/>
          <w:b w:val="1"/>
          <w:bCs w:val="1"/>
          <w:color w:val="auto"/>
        </w:rPr>
        <w:t>SIGNATURE</w:t>
      </w:r>
    </w:p>
    <w:p>
      <w:pPr>
        <w:spacing w:after="0" w:line="164"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DIMENSIONAL FUND ADVISORS LP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February 12,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17475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Date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Dimensional Holdings Inc., General Partner</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Christopher Crossan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46621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Global 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75831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7583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sectPr>
      <w:pgSz w:w="11900" w:h="16838" w:orient="portrait"/>
      <w:cols w:equalWidth="0" w:num="1">
        <w:col w:w="10780"/>
      </w:cols>
      <w:pgMar w:left="240" w:top="125"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1."/>
      <w:numFmt w:val="decimal"/>
      <w:start w:val="1"/>
    </w:lvl>
  </w:abstractNum>
  <w:abstractNum w:abstractNumId="4">
    <w:nsid w:val="12200854"/>
    <w:multiLevelType w:val="hybridMultilevel"/>
    <w:lvl w:ilvl="0">
      <w:lvlJc w:val="left"/>
      <w:lvlText w:val="%1."/>
      <w:numFmt w:val="decimal"/>
      <w:start w:val="2"/>
    </w:lvl>
    <w:lvl w:ilvl="1">
      <w:lvlJc w:val="left"/>
      <w:lvlText w:val="(%2)"/>
      <w:numFmt w:val="lowerLetter"/>
      <w:start w:val="1"/>
    </w:lvl>
  </w:abstractNum>
  <w:abstractNum w:abstractNumId="5">
    <w:nsid w:val="4DB127F8"/>
    <w:multiLevelType w:val="hybridMultilevel"/>
    <w:lvl w:ilvl="0">
      <w:lvlJc w:val="left"/>
      <w:lvlText w:val="(%1)"/>
      <w:numFmt w:val="lowerLetter"/>
      <w:start w:val="1"/>
    </w:lvl>
  </w:abstractNum>
  <w:abstractNum w:abstractNumId="6">
    <w:nsid w:val="216231B"/>
    <w:multiLevelType w:val="hybridMultilevel"/>
    <w:lvl w:ilvl="0">
      <w:lvlJc w:val="left"/>
      <w:lvlText w:val="(%1)"/>
      <w:numFmt w:val="lowerLetter"/>
      <w:start w:val="2"/>
    </w:lvl>
  </w:abstractNum>
  <w:abstractNum w:abstractNumId="7">
    <w:nsid w:val="1F16E9E8"/>
    <w:multiLevelType w:val="hybridMultilevel"/>
    <w:lvl w:ilvl="0">
      <w:lvlJc w:val="left"/>
      <w:lvlText w:val="(%1)"/>
      <w:numFmt w:val="lowerLetter"/>
      <w:start w:val="1"/>
    </w:lvl>
  </w:abstractNum>
  <w:abstractNum w:abstractNumId="8">
    <w:nsid w:val="1190CDE7"/>
    <w:multiLevelType w:val="hybridMultilevel"/>
    <w:lvl w:ilvl="0">
      <w:lvlJc w:val="left"/>
      <w:lvlText w:val="(%1)"/>
      <w:numFmt w:val="lowerLetter"/>
      <w:start w:val="2"/>
    </w:lvl>
  </w:abstractNum>
  <w:abstractNum w:abstractNumId="9">
    <w:nsid w:val="66EF438D"/>
    <w:multiLevelType w:val="hybridMultilevel"/>
    <w:lvl w:ilvl="0">
      <w:lvlJc w:val="left"/>
      <w:lvlText w:val="(%1)"/>
      <w:numFmt w:val="lowerLetter"/>
      <w:start w:val="3"/>
    </w:lvl>
  </w:abstractNum>
  <w:abstractNum w:abstractNumId="10">
    <w:nsid w:val="140E0F76"/>
    <w:multiLevelType w:val="hybridMultilevel"/>
    <w:lvl w:ilvl="0">
      <w:lvlJc w:val="left"/>
      <w:lvlText w:val="(%1)"/>
      <w:numFmt w:val="lowerLetter"/>
      <w:start w:val="4"/>
    </w:lvl>
  </w:abstractNum>
  <w:abstractNum w:abstractNumId="11">
    <w:nsid w:val="3352255A"/>
    <w:multiLevelType w:val="hybridMultilevel"/>
    <w:lvl w:ilvl="0">
      <w:lvlJc w:val="left"/>
      <w:lvlText w:val="(%1)"/>
      <w:numFmt w:val="lowerLetter"/>
      <w:start w:val="1"/>
    </w:lvl>
  </w:abstractNum>
  <w:abstractNum w:abstractNumId="12">
    <w:nsid w:val="109CF92E"/>
    <w:multiLevelType w:val="hybridMultilevel"/>
    <w:lvl w:ilvl="0">
      <w:lvlJc w:val="left"/>
      <w:lvlText w:val="(%1)"/>
      <w:numFmt w:val="lowerLetter"/>
      <w:start w:val="1"/>
    </w:lvl>
  </w:abstractNum>
  <w:abstractNum w:abstractNumId="13">
    <w:nsid w:val="DED7263"/>
    <w:multiLevelType w:val="hybridMultilevel"/>
    <w:lvl w:ilvl="0">
      <w:lvlJc w:val="left"/>
      <w:lvlText w:val="(%1)"/>
      <w:numFmt w:val="lowerLetter"/>
      <w:start w:val="3"/>
    </w:lvl>
    <w:lvl w:ilvl="1">
      <w:lvlJc w:val="left"/>
      <w:lvlText w:val="**"/>
      <w:numFmt w:val="bullet"/>
      <w:start w:val="1"/>
    </w:lvl>
    <w:lvl w:ilvl="2">
      <w:lvlJc w:val="left"/>
      <w:lvlText w:val="(%3)"/>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2020-02-12T09:32:52Z</dcterms:created>
  <dcterms:modified xsi:type="dcterms:W3CDTF">2020-02-12T09:32:52Z</dcterms:modified>
</cp:coreProperties>
</file>