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10-Q</w:t>
      </w:r>
    </w:p>
    <w:p>
      <w:pPr>
        <w:spacing w:after="0" w:line="225" w:lineRule="exact"/>
        <w:rPr>
          <w:sz w:val="24"/>
          <w:szCs w:val="24"/>
          <w:color w:val="auto"/>
        </w:rPr>
      </w:pPr>
    </w:p>
    <w:p>
      <w:pPr>
        <w:ind w:left="3860" w:right="2860" w:hanging="983"/>
        <w:spacing w:after="0" w:line="286" w:lineRule="auto"/>
        <w:tabs>
          <w:tab w:leader="none" w:pos="3181" w:val="left"/>
        </w:tabs>
        <w:numPr>
          <w:ilvl w:val="0"/>
          <w:numId w:val="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QUARTERLY REPORT PURSUANT TO SECTION 13 OR 15(d) OF THE SECURITIES EXCHANGE ACT OF 1934</w:t>
      </w:r>
    </w:p>
    <w:p>
      <w:pPr>
        <w:spacing w:after="0" w:line="15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 the quarterly period ended March 2, 2019</w:t>
      </w:r>
    </w:p>
    <w:p>
      <w:pPr>
        <w:spacing w:after="0" w:line="22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OR</w:t>
      </w:r>
    </w:p>
    <w:p>
      <w:pPr>
        <w:spacing w:after="0" w:line="221" w:lineRule="exact"/>
        <w:rPr>
          <w:sz w:val="24"/>
          <w:szCs w:val="24"/>
          <w:color w:val="auto"/>
        </w:rPr>
      </w:pPr>
    </w:p>
    <w:p>
      <w:pPr>
        <w:ind w:left="3860" w:right="2880" w:hanging="969"/>
        <w:spacing w:after="0" w:line="286" w:lineRule="auto"/>
        <w:tabs>
          <w:tab w:leader="none" w:pos="3050" w:val="left"/>
        </w:tabs>
        <w:numPr>
          <w:ilvl w:val="0"/>
          <w:numId w:val="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TRANSITION REPORT PURSUANT TO SECTION 13 OR 15(d) OF THE SECURITIES EXCHANGE ACT OF 1934</w:t>
      </w:r>
    </w:p>
    <w:p>
      <w:pPr>
        <w:spacing w:after="0" w:line="159" w:lineRule="exact"/>
        <w:rPr>
          <w:sz w:val="24"/>
          <w:szCs w:val="24"/>
          <w:color w:val="auto"/>
        </w:rPr>
      </w:pPr>
    </w:p>
    <w:p>
      <w:pPr>
        <w:ind w:left="2160"/>
        <w:spacing w:after="0"/>
        <w:rPr>
          <w:sz w:val="20"/>
          <w:szCs w:val="20"/>
          <w:color w:val="auto"/>
        </w:rPr>
      </w:pPr>
      <w:r>
        <w:rPr>
          <w:rFonts w:ascii="Times New Roman" w:cs="Times New Roman" w:eastAsia="Times New Roman" w:hAnsi="Times New Roman"/>
          <w:sz w:val="18"/>
          <w:szCs w:val="18"/>
          <w:color w:val="auto"/>
        </w:rPr>
        <w:t>For the transition period from _____________________________ to _______________________</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Commission File No. 000-00209</w:t>
      </w:r>
    </w:p>
    <w:p>
      <w:pPr>
        <w:spacing w:after="0" w:line="200" w:lineRule="exact"/>
        <w:rPr>
          <w:sz w:val="24"/>
          <w:szCs w:val="24"/>
          <w:color w:val="auto"/>
        </w:rPr>
      </w:pPr>
    </w:p>
    <w:p>
      <w:pPr>
        <w:spacing w:after="0" w:line="24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BASSETT FURNITURE INDUSTRIES, INCORPORATED</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7" w:lineRule="exact"/>
        <w:rPr>
          <w:sz w:val="24"/>
          <w:szCs w:val="24"/>
          <w:color w:val="auto"/>
        </w:rPr>
      </w:pPr>
    </w:p>
    <w:tbl>
      <w:tblPr>
        <w:tblLayout w:type="fixed"/>
        <w:tblInd w:w="2300" w:type="dxa"/>
        <w:tblCellMar>
          <w:top w:w="0" w:type="dxa"/>
          <w:left w:w="0" w:type="dxa"/>
          <w:bottom w:w="0" w:type="dxa"/>
          <w:right w:w="0" w:type="dxa"/>
        </w:tblCellMar>
      </w:tblPr>
      <w:tr>
        <w:trPr>
          <w:trHeight w:val="234"/>
        </w:trPr>
        <w:tc>
          <w:tcPr>
            <w:tcW w:w="1940" w:type="dxa"/>
            <w:vAlign w:val="bottom"/>
          </w:tcPr>
          <w:p>
            <w:pPr>
              <w:spacing w:after="0"/>
              <w:rPr>
                <w:sz w:val="20"/>
                <w:szCs w:val="20"/>
                <w:color w:val="auto"/>
              </w:rPr>
            </w:pPr>
            <w:r>
              <w:rPr>
                <w:rFonts w:ascii="Times New Roman" w:cs="Times New Roman" w:eastAsia="Times New Roman" w:hAnsi="Times New Roman"/>
                <w:sz w:val="18"/>
                <w:szCs w:val="18"/>
                <w:color w:val="auto"/>
              </w:rPr>
              <w:t>Virginia</w:t>
            </w:r>
          </w:p>
        </w:tc>
        <w:tc>
          <w:tcPr>
            <w:tcW w:w="4920" w:type="dxa"/>
            <w:vAlign w:val="bottom"/>
            <w:gridSpan w:val="6"/>
          </w:tcPr>
          <w:p>
            <w:pPr>
              <w:jc w:val="right"/>
              <w:ind w:right="20"/>
              <w:spacing w:after="0"/>
              <w:rPr>
                <w:sz w:val="20"/>
                <w:szCs w:val="20"/>
                <w:color w:val="auto"/>
              </w:rPr>
            </w:pPr>
            <w:r>
              <w:rPr>
                <w:rFonts w:ascii="Times New Roman" w:cs="Times New Roman" w:eastAsia="Times New Roman" w:hAnsi="Times New Roman"/>
                <w:sz w:val="18"/>
                <w:szCs w:val="18"/>
                <w:color w:val="auto"/>
              </w:rPr>
              <w:t>54-0135270</w:t>
            </w:r>
          </w:p>
        </w:tc>
        <w:tc>
          <w:tcPr>
            <w:tcW w:w="0" w:type="dxa"/>
            <w:vAlign w:val="bottom"/>
          </w:tcPr>
          <w:p>
            <w:pPr>
              <w:spacing w:after="0"/>
              <w:rPr>
                <w:sz w:val="1"/>
                <w:szCs w:val="1"/>
                <w:color w:val="auto"/>
              </w:rPr>
            </w:pPr>
          </w:p>
        </w:tc>
      </w:tr>
      <w:tr>
        <w:trPr>
          <w:trHeight w:val="191"/>
        </w:trPr>
        <w:tc>
          <w:tcPr>
            <w:tcW w:w="194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(State or other jurisdiction</w:t>
            </w:r>
          </w:p>
        </w:tc>
        <w:tc>
          <w:tcPr>
            <w:tcW w:w="340" w:type="dxa"/>
            <w:vAlign w:val="bottom"/>
            <w:tcBorders>
              <w:top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280" w:type="dxa"/>
            <w:vAlign w:val="bottom"/>
            <w:tcBorders>
              <w:top w:val="single" w:sz="8" w:color="auto"/>
            </w:tcBorders>
          </w:tcPr>
          <w:p>
            <w:pPr>
              <w:jc w:val="right"/>
              <w:spacing w:after="0" w:line="191" w:lineRule="exact"/>
              <w:rPr>
                <w:sz w:val="20"/>
                <w:szCs w:val="20"/>
                <w:color w:val="auto"/>
              </w:rPr>
            </w:pPr>
            <w:r>
              <w:rPr>
                <w:rFonts w:ascii="Times New Roman" w:cs="Times New Roman" w:eastAsia="Times New Roman" w:hAnsi="Times New Roman"/>
                <w:sz w:val="18"/>
                <w:szCs w:val="18"/>
                <w:color w:val="auto"/>
              </w:rPr>
              <w:t>(I.R.S. Employer</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Times New Roman" w:cs="Times New Roman" w:eastAsia="Times New Roman" w:hAnsi="Times New Roman"/>
                <w:sz w:val="18"/>
                <w:szCs w:val="18"/>
                <w:color w:val="auto"/>
              </w:rPr>
              <w:t>of incorporation or</w:t>
            </w:r>
          </w:p>
        </w:tc>
        <w:tc>
          <w:tcPr>
            <w:tcW w:w="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30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color w:val="auto"/>
              </w:rPr>
              <w:t>Identification No.)</w:t>
            </w:r>
          </w:p>
        </w:tc>
        <w:tc>
          <w:tcPr>
            <w:tcW w:w="0" w:type="dxa"/>
            <w:vAlign w:val="bottom"/>
          </w:tcPr>
          <w:p>
            <w:pPr>
              <w:spacing w:after="0"/>
              <w:rPr>
                <w:sz w:val="1"/>
                <w:szCs w:val="1"/>
                <w:color w:val="auto"/>
              </w:rPr>
            </w:pPr>
          </w:p>
        </w:tc>
      </w:tr>
      <w:tr>
        <w:trPr>
          <w:trHeight w:val="126"/>
        </w:trPr>
        <w:tc>
          <w:tcPr>
            <w:tcW w:w="194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organization)</w:t>
            </w:r>
          </w:p>
        </w:tc>
        <w:tc>
          <w:tcPr>
            <w:tcW w:w="3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30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1940" w:type="dxa"/>
            <w:vAlign w:val="bottom"/>
            <w:vMerge w:val="continue"/>
          </w:tcPr>
          <w:p>
            <w:pPr>
              <w:spacing w:after="0"/>
              <w:rPr>
                <w:sz w:val="9"/>
                <w:szCs w:val="9"/>
                <w:color w:val="auto"/>
              </w:rPr>
            </w:pPr>
          </w:p>
        </w:tc>
        <w:tc>
          <w:tcPr>
            <w:tcW w:w="34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00" w:type="dxa"/>
            <w:vAlign w:val="bottom"/>
          </w:tcPr>
          <w:p>
            <w:pPr>
              <w:spacing w:after="0"/>
              <w:rPr>
                <w:sz w:val="9"/>
                <w:szCs w:val="9"/>
                <w:color w:val="auto"/>
              </w:rPr>
            </w:pPr>
          </w:p>
        </w:tc>
        <w:tc>
          <w:tcPr>
            <w:tcW w:w="300" w:type="dxa"/>
            <w:vAlign w:val="bottom"/>
          </w:tcPr>
          <w:p>
            <w:pPr>
              <w:spacing w:after="0"/>
              <w:rPr>
                <w:sz w:val="9"/>
                <w:szCs w:val="9"/>
                <w:color w:val="auto"/>
              </w:rPr>
            </w:pPr>
          </w:p>
        </w:tc>
        <w:tc>
          <w:tcPr>
            <w:tcW w:w="22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14"/>
        </w:trPr>
        <w:tc>
          <w:tcPr>
            <w:tcW w:w="19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580" w:type="dxa"/>
            <w:vAlign w:val="bottom"/>
            <w:gridSpan w:val="5"/>
          </w:tcPr>
          <w:p>
            <w:pPr>
              <w:jc w:val="center"/>
              <w:ind w:right="2300"/>
              <w:spacing w:after="0"/>
              <w:rPr>
                <w:sz w:val="20"/>
                <w:szCs w:val="20"/>
                <w:color w:val="auto"/>
              </w:rPr>
            </w:pPr>
            <w:r>
              <w:rPr>
                <w:rFonts w:ascii="Times New Roman" w:cs="Times New Roman" w:eastAsia="Times New Roman" w:hAnsi="Times New Roman"/>
                <w:sz w:val="18"/>
                <w:szCs w:val="18"/>
                <w:color w:val="auto"/>
                <w:w w:val="99"/>
              </w:rPr>
              <w:t>3525 Fairystone Park Highway</w:t>
            </w:r>
          </w:p>
        </w:tc>
        <w:tc>
          <w:tcPr>
            <w:tcW w:w="0" w:type="dxa"/>
            <w:vAlign w:val="bottom"/>
          </w:tcPr>
          <w:p>
            <w:pPr>
              <w:spacing w:after="0"/>
              <w:rPr>
                <w:sz w:val="1"/>
                <w:szCs w:val="1"/>
                <w:color w:val="auto"/>
              </w:rPr>
            </w:pPr>
          </w:p>
        </w:tc>
      </w:tr>
      <w:tr>
        <w:trPr>
          <w:trHeight w:val="194"/>
        </w:trPr>
        <w:tc>
          <w:tcPr>
            <w:tcW w:w="19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700" w:type="dxa"/>
            <w:vAlign w:val="bottom"/>
            <w:tcBorders>
              <w:bottom w:val="single" w:sz="8" w:color="auto"/>
            </w:tcBorders>
          </w:tcPr>
          <w:p>
            <w:pPr>
              <w:jc w:val="center"/>
              <w:spacing w:after="0" w:line="194" w:lineRule="exact"/>
              <w:rPr>
                <w:sz w:val="20"/>
                <w:szCs w:val="20"/>
                <w:color w:val="auto"/>
              </w:rPr>
            </w:pPr>
            <w:r>
              <w:rPr>
                <w:rFonts w:ascii="Times New Roman" w:cs="Times New Roman" w:eastAsia="Times New Roman" w:hAnsi="Times New Roman"/>
                <w:sz w:val="18"/>
                <w:szCs w:val="18"/>
                <w:color w:val="auto"/>
                <w:w w:val="99"/>
              </w:rPr>
              <w:t>Bassett, Virginia 24055</w:t>
            </w:r>
          </w:p>
        </w:tc>
        <w:tc>
          <w:tcPr>
            <w:tcW w:w="2600" w:type="dxa"/>
            <w:vAlign w:val="bottom"/>
            <w:gridSpan w:val="3"/>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1940" w:type="dxa"/>
            <w:vAlign w:val="bottom"/>
          </w:tcPr>
          <w:p>
            <w:pPr>
              <w:spacing w:after="0"/>
              <w:rPr>
                <w:sz w:val="18"/>
                <w:szCs w:val="18"/>
                <w:color w:val="auto"/>
              </w:rPr>
            </w:pPr>
          </w:p>
        </w:tc>
        <w:tc>
          <w:tcPr>
            <w:tcW w:w="4920" w:type="dxa"/>
            <w:vAlign w:val="bottom"/>
            <w:gridSpan w:val="6"/>
          </w:tcPr>
          <w:p>
            <w:pPr>
              <w:jc w:val="center"/>
              <w:ind w:right="198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0" w:type="dxa"/>
            <w:vAlign w:val="bottom"/>
          </w:tcPr>
          <w:p>
            <w:pPr>
              <w:spacing w:after="0"/>
              <w:rPr>
                <w:sz w:val="1"/>
                <w:szCs w:val="1"/>
                <w:color w:val="auto"/>
              </w:rPr>
            </w:pPr>
          </w:p>
        </w:tc>
      </w:tr>
      <w:tr>
        <w:trPr>
          <w:trHeight w:val="234"/>
        </w:trPr>
        <w:tc>
          <w:tcPr>
            <w:tcW w:w="19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300" w:type="dxa"/>
            <w:vAlign w:val="bottom"/>
            <w:gridSpan w:val="4"/>
          </w:tcPr>
          <w:p>
            <w:pPr>
              <w:jc w:val="center"/>
              <w:ind w:right="2580"/>
              <w:spacing w:after="0"/>
              <w:rPr>
                <w:sz w:val="20"/>
                <w:szCs w:val="20"/>
                <w:color w:val="auto"/>
              </w:rPr>
            </w:pPr>
            <w:r>
              <w:rPr>
                <w:rFonts w:ascii="Times New Roman" w:cs="Times New Roman" w:eastAsia="Times New Roman" w:hAnsi="Times New Roman"/>
                <w:sz w:val="18"/>
                <w:szCs w:val="18"/>
                <w:color w:val="auto"/>
              </w:rPr>
              <w:t>(Zip Code)</w:t>
            </w:r>
          </w:p>
        </w:tc>
        <w:tc>
          <w:tcPr>
            <w:tcW w:w="0" w:type="dxa"/>
            <w:vAlign w:val="bottom"/>
          </w:tcPr>
          <w:p>
            <w:pPr>
              <w:spacing w:after="0"/>
              <w:rPr>
                <w:sz w:val="1"/>
                <w:szCs w:val="1"/>
                <w:color w:val="auto"/>
              </w:rPr>
            </w:pPr>
          </w:p>
        </w:tc>
      </w:tr>
    </w:tbl>
    <w:p>
      <w:pPr>
        <w:spacing w:after="0" w:line="19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(276) 629-6000</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207" w:lineRule="exact"/>
        <w:rPr>
          <w:sz w:val="24"/>
          <w:szCs w:val="24"/>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(1) has filed all reports required to be filed by Section 13 or 15(d) of the Securities Exchange Act of 1934 during the preceding 12 months, and (2) has been subject to such filing requirements for the past 90 days. Yes X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5053330</wp:posOffset>
            </wp:positionH>
            <wp:positionV relativeFrom="paragraph">
              <wp:posOffset>-47625</wp:posOffset>
            </wp:positionV>
            <wp:extent cx="87947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879475" cy="8890"/>
                    </a:xfrm>
                    <a:prstGeom prst="rect">
                      <a:avLst/>
                    </a:prstGeom>
                    <a:noFill/>
                  </pic:spPr>
                </pic:pic>
              </a:graphicData>
            </a:graphic>
          </wp:anchor>
        </w:drawing>
      </w:r>
    </w:p>
    <w:p>
      <w:pPr>
        <w:spacing w:after="0" w:line="142" w:lineRule="exact"/>
        <w:rPr>
          <w:sz w:val="24"/>
          <w:szCs w:val="24"/>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X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200025</wp:posOffset>
            </wp:positionH>
            <wp:positionV relativeFrom="paragraph">
              <wp:posOffset>-38735</wp:posOffset>
            </wp:positionV>
            <wp:extent cx="7366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36600" cy="8890"/>
                    </a:xfrm>
                    <a:prstGeom prst="rect">
                      <a:avLst/>
                    </a:prstGeom>
                    <a:noFill/>
                  </pic:spPr>
                </pic:pic>
              </a:graphicData>
            </a:graphic>
          </wp:anchor>
        </w:drawing>
      </w:r>
    </w:p>
    <w:p>
      <w:pPr>
        <w:spacing w:after="0" w:line="156" w:lineRule="exact"/>
        <w:rPr>
          <w:sz w:val="24"/>
          <w:szCs w:val="24"/>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6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288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580" w:type="dxa"/>
            <w:vAlign w:val="bottom"/>
            <w:tcBorders>
              <w:bottom w:val="single" w:sz="8" w:color="auto"/>
            </w:tcBorders>
          </w:tcPr>
          <w:p>
            <w:pPr>
              <w:spacing w:after="0"/>
              <w:rPr>
                <w:sz w:val="18"/>
                <w:szCs w:val="18"/>
                <w:color w:val="auto"/>
              </w:rPr>
            </w:pPr>
          </w:p>
        </w:tc>
        <w:tc>
          <w:tcPr>
            <w:tcW w:w="5120" w:type="dxa"/>
            <w:vAlign w:val="bottom"/>
          </w:tcPr>
          <w:p>
            <w:pPr>
              <w:ind w:left="2260"/>
              <w:spacing w:after="0"/>
              <w:rPr>
                <w:sz w:val="20"/>
                <w:szCs w:val="20"/>
                <w:color w:val="auto"/>
              </w:rPr>
            </w:pPr>
            <w:r>
              <w:rPr>
                <w:rFonts w:ascii="Times New Roman" w:cs="Times New Roman" w:eastAsia="Times New Roman" w:hAnsi="Times New Roman"/>
                <w:sz w:val="18"/>
                <w:szCs w:val="18"/>
                <w:color w:val="auto"/>
              </w:rPr>
              <w:t>Accelerated Filer</w:t>
            </w:r>
          </w:p>
        </w:tc>
        <w:tc>
          <w:tcPr>
            <w:tcW w:w="58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X</w:t>
            </w:r>
          </w:p>
        </w:tc>
      </w:tr>
      <w:tr>
        <w:trPr>
          <w:trHeight w:val="196"/>
        </w:trPr>
        <w:tc>
          <w:tcPr>
            <w:tcW w:w="288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Non-accelerated Filer</w:t>
            </w:r>
          </w:p>
        </w:tc>
        <w:tc>
          <w:tcPr>
            <w:tcW w:w="580" w:type="dxa"/>
            <w:vAlign w:val="bottom"/>
            <w:tcBorders>
              <w:bottom w:val="single" w:sz="8" w:color="auto"/>
            </w:tcBorders>
          </w:tcPr>
          <w:p>
            <w:pPr>
              <w:spacing w:after="0"/>
              <w:rPr>
                <w:sz w:val="17"/>
                <w:szCs w:val="17"/>
                <w:color w:val="auto"/>
              </w:rPr>
            </w:pPr>
          </w:p>
        </w:tc>
        <w:tc>
          <w:tcPr>
            <w:tcW w:w="5120" w:type="dxa"/>
            <w:vAlign w:val="bottom"/>
          </w:tcPr>
          <w:p>
            <w:pPr>
              <w:ind w:left="2260"/>
              <w:spacing w:after="0" w:line="196" w:lineRule="exact"/>
              <w:rPr>
                <w:sz w:val="20"/>
                <w:szCs w:val="20"/>
                <w:color w:val="auto"/>
              </w:rPr>
            </w:pPr>
            <w:r>
              <w:rPr>
                <w:rFonts w:ascii="Times New Roman" w:cs="Times New Roman" w:eastAsia="Times New Roman" w:hAnsi="Times New Roman"/>
                <w:sz w:val="18"/>
                <w:szCs w:val="18"/>
                <w:color w:val="auto"/>
              </w:rPr>
              <w:t>Smaller Reporting Company</w:t>
            </w:r>
          </w:p>
        </w:tc>
        <w:tc>
          <w:tcPr>
            <w:tcW w:w="580" w:type="dxa"/>
            <w:vAlign w:val="bottom"/>
            <w:tcBorders>
              <w:bottom w:val="single" w:sz="8" w:color="auto"/>
            </w:tcBorders>
          </w:tcPr>
          <w:p>
            <w:pPr>
              <w:spacing w:after="0"/>
              <w:rPr>
                <w:sz w:val="17"/>
                <w:szCs w:val="17"/>
                <w:color w:val="auto"/>
              </w:rPr>
            </w:pPr>
          </w:p>
        </w:tc>
      </w:tr>
      <w:tr>
        <w:trPr>
          <w:trHeight w:val="196"/>
        </w:trPr>
        <w:tc>
          <w:tcPr>
            <w:tcW w:w="28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120" w:type="dxa"/>
            <w:vAlign w:val="bottom"/>
          </w:tcPr>
          <w:p>
            <w:pPr>
              <w:ind w:left="2260"/>
              <w:spacing w:after="0" w:line="196" w:lineRule="exact"/>
              <w:rPr>
                <w:sz w:val="20"/>
                <w:szCs w:val="20"/>
                <w:color w:val="auto"/>
              </w:rPr>
            </w:pPr>
            <w:r>
              <w:rPr>
                <w:rFonts w:ascii="Times New Roman" w:cs="Times New Roman" w:eastAsia="Times New Roman" w:hAnsi="Times New Roman"/>
                <w:sz w:val="18"/>
                <w:szCs w:val="18"/>
                <w:color w:val="auto"/>
              </w:rPr>
              <w:t>Emerging Growth Company</w:t>
            </w:r>
          </w:p>
        </w:tc>
        <w:tc>
          <w:tcPr>
            <w:tcW w:w="580" w:type="dxa"/>
            <w:vAlign w:val="bottom"/>
            <w:tcBorders>
              <w:bottom w:val="single" w:sz="8" w:color="auto"/>
            </w:tcBorders>
          </w:tcPr>
          <w:p>
            <w:pPr>
              <w:spacing w:after="0"/>
              <w:rPr>
                <w:sz w:val="17"/>
                <w:szCs w:val="17"/>
                <w:color w:val="auto"/>
              </w:rPr>
            </w:pPr>
          </w:p>
        </w:tc>
      </w:tr>
    </w:tbl>
    <w:p>
      <w:pPr>
        <w:spacing w:after="0" w:line="225" w:lineRule="exact"/>
        <w:rPr>
          <w:sz w:val="24"/>
          <w:szCs w:val="24"/>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________</w:t>
      </w:r>
    </w:p>
    <w:p>
      <w:pPr>
        <w:spacing w:after="0" w:line="149"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8540" w:type="dxa"/>
            <w:vAlign w:val="bottom"/>
          </w:tcPr>
          <w:p>
            <w:pPr>
              <w:spacing w:after="0"/>
              <w:rPr>
                <w:sz w:val="20"/>
                <w:szCs w:val="20"/>
                <w:color w:val="auto"/>
              </w:rPr>
            </w:pPr>
            <w:r>
              <w:rPr>
                <w:rFonts w:ascii="Times New Roman" w:cs="Times New Roman" w:eastAsia="Times New Roman" w:hAnsi="Times New Roman"/>
                <w:sz w:val="18"/>
                <w:szCs w:val="18"/>
                <w:color w:val="auto"/>
              </w:rPr>
              <w:t>Indicate by check mark whether the registrant is a shell company (as defined in Rule 12b-2 of the Exchange Act). Yes</w:t>
            </w:r>
          </w:p>
        </w:tc>
        <w:tc>
          <w:tcPr>
            <w:tcW w:w="580" w:type="dxa"/>
            <w:vAlign w:val="bottom"/>
          </w:tcPr>
          <w:p>
            <w:pPr>
              <w:spacing w:after="0"/>
              <w:rPr>
                <w:sz w:val="18"/>
                <w:szCs w:val="18"/>
                <w:color w:val="auto"/>
              </w:rPr>
            </w:pPr>
          </w:p>
        </w:tc>
        <w:tc>
          <w:tcPr>
            <w:tcW w:w="23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   X</w:t>
            </w:r>
          </w:p>
        </w:tc>
      </w:tr>
      <w:tr>
        <w:trPr>
          <w:trHeight w:val="453"/>
        </w:trPr>
        <w:tc>
          <w:tcPr>
            <w:tcW w:w="8540" w:type="dxa"/>
            <w:vAlign w:val="bottom"/>
          </w:tcPr>
          <w:p>
            <w:pPr>
              <w:spacing w:after="0"/>
              <w:rPr>
                <w:sz w:val="20"/>
                <w:szCs w:val="20"/>
                <w:color w:val="auto"/>
              </w:rPr>
            </w:pPr>
            <w:r>
              <w:rPr>
                <w:rFonts w:ascii="Times New Roman" w:cs="Times New Roman" w:eastAsia="Times New Roman" w:hAnsi="Times New Roman"/>
                <w:sz w:val="18"/>
                <w:szCs w:val="18"/>
                <w:color w:val="auto"/>
              </w:rPr>
              <w:t>At March 28, 2019, 10,519,640 shares of common stock of the Registrant were outstanding.</w:t>
            </w:r>
          </w:p>
        </w:tc>
        <w:tc>
          <w:tcPr>
            <w:tcW w:w="580" w:type="dxa"/>
            <w:vAlign w:val="bottom"/>
            <w:tcBorders>
              <w:top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tcBorders>
              <w:top w:val="single" w:sz="8" w:color="auto"/>
            </w:tcBorders>
          </w:tcPr>
          <w:p>
            <w:pPr>
              <w:spacing w:after="0"/>
              <w:rPr>
                <w:sz w:val="24"/>
                <w:szCs w:val="24"/>
                <w:color w:val="auto"/>
              </w:rPr>
            </w:pPr>
          </w:p>
        </w:tc>
        <w:tc>
          <w:tcPr>
            <w:tcW w:w="1460" w:type="dxa"/>
            <w:vAlign w:val="bottom"/>
          </w:tcPr>
          <w:p>
            <w:pPr>
              <w:spacing w:after="0"/>
              <w:rPr>
                <w:sz w:val="24"/>
                <w:szCs w:val="24"/>
                <w:color w:val="auto"/>
              </w:rPr>
            </w:pPr>
          </w:p>
        </w:tc>
      </w:tr>
      <w:tr>
        <w:trPr>
          <w:trHeight w:val="432"/>
        </w:trPr>
        <w:tc>
          <w:tcPr>
            <w:tcW w:w="8540" w:type="dxa"/>
            <w:vAlign w:val="bottom"/>
          </w:tcPr>
          <w:p>
            <w:pPr>
              <w:ind w:left="5460"/>
              <w:spacing w:after="0"/>
              <w:rPr>
                <w:sz w:val="20"/>
                <w:szCs w:val="20"/>
                <w:color w:val="auto"/>
              </w:rPr>
            </w:pPr>
            <w:r>
              <w:rPr>
                <w:rFonts w:ascii="Times New Roman" w:cs="Times New Roman" w:eastAsia="Times New Roman" w:hAnsi="Times New Roman"/>
                <w:sz w:val="18"/>
                <w:szCs w:val="18"/>
                <w:color w:val="auto"/>
              </w:rPr>
              <w:t>1 of 37</w:t>
            </w:r>
          </w:p>
        </w:tc>
        <w:tc>
          <w:tcPr>
            <w:tcW w:w="5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60" w:type="dxa"/>
            <w:vAlign w:val="bottom"/>
          </w:tcPr>
          <w:p>
            <w:pPr>
              <w:spacing w:after="0"/>
              <w:rPr>
                <w:sz w:val="24"/>
                <w:szCs w:val="24"/>
                <w:color w:val="auto"/>
              </w:rPr>
            </w:pPr>
          </w:p>
        </w:tc>
      </w:tr>
      <w:tr>
        <w:trPr>
          <w:trHeight w:val="115"/>
        </w:trPr>
        <w:tc>
          <w:tcPr>
            <w:tcW w:w="8540" w:type="dxa"/>
            <w:vAlign w:val="bottom"/>
            <w:tcBorders>
              <w:bottom w:val="single" w:sz="8" w:color="auto"/>
            </w:tcBorders>
          </w:tcPr>
          <w:p>
            <w:pPr>
              <w:spacing w:after="0"/>
              <w:rPr>
                <w:sz w:val="10"/>
                <w:szCs w:val="10"/>
                <w:color w:val="auto"/>
              </w:rPr>
            </w:pPr>
          </w:p>
        </w:tc>
        <w:tc>
          <w:tcPr>
            <w:tcW w:w="58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580" w:type="dxa"/>
            <w:vAlign w:val="bottom"/>
            <w:tcBorders>
              <w:bottom w:val="single" w:sz="8" w:color="auto"/>
            </w:tcBorders>
          </w:tcPr>
          <w:p>
            <w:pPr>
              <w:spacing w:after="0"/>
              <w:rPr>
                <w:sz w:val="10"/>
                <w:szCs w:val="10"/>
                <w:color w:val="auto"/>
              </w:rPr>
            </w:pPr>
          </w:p>
        </w:tc>
        <w:tc>
          <w:tcPr>
            <w:tcW w:w="1460" w:type="dxa"/>
            <w:vAlign w:val="bottom"/>
            <w:tcBorders>
              <w:bottom w:val="single" w:sz="8" w:color="auto"/>
            </w:tcBorders>
          </w:tcPr>
          <w:p>
            <w:pPr>
              <w:spacing w:after="0"/>
              <w:rPr>
                <w:sz w:val="10"/>
                <w:szCs w:val="10"/>
                <w:color w:val="auto"/>
              </w:rPr>
            </w:pPr>
          </w:p>
        </w:tc>
      </w:tr>
    </w:tbl>
    <w:p>
      <w:pPr>
        <w:sectPr>
          <w:pgSz w:w="11900" w:h="16838" w:orient="portrait"/>
          <w:cols w:equalWidth="0" w:num="1">
            <w:col w:w="11420"/>
          </w:cols>
          <w:pgMar w:left="240" w:top="684" w:right="239" w:bottom="1440" w:gutter="0" w:footer="0" w:header="0"/>
        </w:sectPr>
      </w:pPr>
    </w:p>
    <w:bookmarkStart w:id="1" w:name="page2"/>
    <w:bookmarkEnd w:id="1"/>
    <w:p>
      <w:pPr>
        <w:jc w:val="center"/>
        <w:spacing w:after="0"/>
        <w:rPr>
          <w:sz w:val="20"/>
          <w:szCs w:val="20"/>
          <w:color w:val="auto"/>
        </w:rPr>
      </w:pPr>
      <w:r>
        <w:rPr>
          <w:rFonts w:ascii="Times New Roman" w:cs="Times New Roman" w:eastAsia="Times New Roman" w:hAnsi="Times New Roman"/>
          <w:sz w:val="18"/>
          <w:szCs w:val="18"/>
          <w:color w:val="auto"/>
        </w:rPr>
        <w:t>BASSETT FURNITURE INDUSTRIES, INCORPORATED AND SUBSIDIARIES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41" w:lineRule="exact"/>
        <w:rPr>
          <w:sz w:val="20"/>
          <w:szCs w:val="20"/>
          <w:color w:val="auto"/>
        </w:rPr>
      </w:pPr>
    </w:p>
    <w:p>
      <w:pPr>
        <w:spacing w:after="0"/>
        <w:tabs>
          <w:tab w:leader="none" w:pos="10940" w:val="left"/>
        </w:tabs>
        <w:rPr>
          <w:sz w:val="20"/>
          <w:szCs w:val="20"/>
          <w:color w:val="auto"/>
        </w:rPr>
      </w:pPr>
      <w:r>
        <w:rPr>
          <w:rFonts w:ascii="Times New Roman" w:cs="Times New Roman" w:eastAsia="Times New Roman" w:hAnsi="Times New Roman"/>
          <w:sz w:val="17"/>
          <w:szCs w:val="17"/>
          <w:color w:val="auto"/>
        </w:rPr>
        <w:t>ITEM</w:t>
      </w:r>
      <w:r>
        <w:rPr>
          <w:sz w:val="20"/>
          <w:szCs w:val="20"/>
          <w:color w:val="auto"/>
        </w:rPr>
        <w:tab/>
      </w:r>
      <w:r>
        <w:rPr>
          <w:rFonts w:ascii="Times New Roman" w:cs="Times New Roman" w:eastAsia="Times New Roman" w:hAnsi="Times New Roman"/>
          <w:sz w:val="17"/>
          <w:szCs w:val="17"/>
          <w:color w:val="auto"/>
        </w:rPr>
        <w:t>PAGE</w:t>
      </w:r>
    </w:p>
    <w:p>
      <w:pPr>
        <w:spacing w:after="0" w:line="2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PART I - FINANCIAL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137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205" w:lineRule="exact"/>
        <w:rPr>
          <w:sz w:val="20"/>
          <w:szCs w:val="20"/>
          <w:color w:val="auto"/>
        </w:rPr>
      </w:pPr>
    </w:p>
    <w:p>
      <w:pPr>
        <w:ind w:left="500" w:right="580" w:hanging="492"/>
        <w:spacing w:after="0" w:line="282" w:lineRule="auto"/>
        <w:tabs>
          <w:tab w:leader="none" w:pos="509"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Condensed Consolidated Financial Statements as of March 2, 2019 (unaudited) and November 24, 2018 and for the three months ended March 2, 2019 (unaudited) and February 24, 2018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-296545</wp:posOffset>
            </wp:positionV>
            <wp:extent cx="7246620" cy="274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96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Condensed Consolidated Statements of Operations</w:t>
            </w:r>
          </w:p>
        </w:tc>
        <w:tc>
          <w:tcPr>
            <w:tcW w:w="2140" w:type="dxa"/>
            <w:vAlign w:val="bottom"/>
            <w:shd w:val="clear" w:color="auto" w:fill="CCEEFF"/>
          </w:tcPr>
          <w:p>
            <w:pPr>
              <w:ind w:left="1680"/>
              <w:spacing w:after="0"/>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96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Condensed Consolidated Statements of Comprehensive Income (Loss)</w:t>
            </w:r>
          </w:p>
        </w:tc>
        <w:tc>
          <w:tcPr>
            <w:tcW w:w="2140" w:type="dxa"/>
            <w:vAlign w:val="bottom"/>
            <w:shd w:val="clear" w:color="auto" w:fill="CCEEFF"/>
          </w:tcPr>
          <w:p>
            <w:pPr>
              <w:ind w:left="1680"/>
              <w:spacing w:after="0"/>
              <w:rPr>
                <w:sz w:val="20"/>
                <w:szCs w:val="20"/>
                <w:color w:val="auto"/>
              </w:rPr>
            </w:pPr>
            <w:r>
              <w:rPr>
                <w:rFonts w:ascii="Times New Roman" w:cs="Times New Roman" w:eastAsia="Times New Roman" w:hAnsi="Times New Roman"/>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96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Condensed Consolidated Balance Sheets</w:t>
            </w:r>
          </w:p>
        </w:tc>
        <w:tc>
          <w:tcPr>
            <w:tcW w:w="2140" w:type="dxa"/>
            <w:vAlign w:val="bottom"/>
            <w:shd w:val="clear" w:color="auto" w:fill="CCEEFF"/>
          </w:tcPr>
          <w:p>
            <w:pPr>
              <w:ind w:left="1680"/>
              <w:spacing w:after="0"/>
              <w:rPr>
                <w:sz w:val="20"/>
                <w:szCs w:val="20"/>
                <w:color w:val="auto"/>
              </w:rPr>
            </w:pPr>
            <w:r>
              <w:rPr>
                <w:rFonts w:ascii="Times New Roman" w:cs="Times New Roman" w:eastAsia="Times New Roman" w:hAnsi="Times New Roman"/>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96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Condensed Consolidated Statements of Cash Flows</w:t>
            </w:r>
          </w:p>
        </w:tc>
        <w:tc>
          <w:tcPr>
            <w:tcW w:w="2140" w:type="dxa"/>
            <w:vAlign w:val="bottom"/>
            <w:shd w:val="clear" w:color="auto" w:fill="CCEEFF"/>
          </w:tcPr>
          <w:p>
            <w:pPr>
              <w:ind w:left="1680"/>
              <w:spacing w:after="0"/>
              <w:rPr>
                <w:sz w:val="20"/>
                <w:szCs w:val="20"/>
                <w:color w:val="auto"/>
              </w:rPr>
            </w:pPr>
            <w:r>
              <w:rPr>
                <w:rFonts w:ascii="Times New Roman" w:cs="Times New Roman" w:eastAsia="Times New Roman" w:hAnsi="Times New Roman"/>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96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Notes to Condensed Consolidated Financial Statements</w:t>
            </w:r>
          </w:p>
        </w:tc>
        <w:tc>
          <w:tcPr>
            <w:tcW w:w="2140" w:type="dxa"/>
            <w:vAlign w:val="bottom"/>
            <w:shd w:val="clear" w:color="auto" w:fill="CCEEFF"/>
          </w:tcPr>
          <w:p>
            <w:pPr>
              <w:ind w:left="1680"/>
              <w:spacing w:after="0"/>
              <w:rPr>
                <w:sz w:val="20"/>
                <w:szCs w:val="20"/>
                <w:color w:val="auto"/>
              </w:rPr>
            </w:pPr>
            <w:r>
              <w:rPr>
                <w:rFonts w:ascii="Times New Roman" w:cs="Times New Roman" w:eastAsia="Times New Roman" w:hAnsi="Times New Roman"/>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0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73"/>
              </w:rPr>
              <w:t>2.</w:t>
            </w:r>
          </w:p>
        </w:tc>
        <w:tc>
          <w:tcPr>
            <w:tcW w:w="89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Management's Discussion and Analysis of Financial Condition and Results of Operations</w:t>
            </w:r>
          </w:p>
        </w:tc>
        <w:tc>
          <w:tcPr>
            <w:tcW w:w="2140" w:type="dxa"/>
            <w:vAlign w:val="bottom"/>
            <w:shd w:val="clear" w:color="auto" w:fill="CCEEFF"/>
          </w:tcPr>
          <w:p>
            <w:pPr>
              <w:ind w:left="1680"/>
              <w:spacing w:after="0"/>
              <w:rPr>
                <w:sz w:val="20"/>
                <w:szCs w:val="20"/>
                <w:color w:val="auto"/>
              </w:rPr>
            </w:pPr>
            <w:r>
              <w:rPr>
                <w:rFonts w:ascii="Times New Roman" w:cs="Times New Roman" w:eastAsia="Times New Roman" w:hAnsi="Times New Roman"/>
                <w:sz w:val="18"/>
                <w:szCs w:val="18"/>
                <w:color w:val="auto"/>
              </w:rPr>
              <w:t>23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0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73"/>
              </w:rPr>
              <w:t>3.</w:t>
            </w:r>
          </w:p>
        </w:tc>
        <w:tc>
          <w:tcPr>
            <w:tcW w:w="89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Quantitative and Qualitative Disclosures About Market Risk</w:t>
            </w:r>
          </w:p>
        </w:tc>
        <w:tc>
          <w:tcPr>
            <w:tcW w:w="2140" w:type="dxa"/>
            <w:vAlign w:val="bottom"/>
            <w:shd w:val="clear" w:color="auto" w:fill="CCEEFF"/>
          </w:tcPr>
          <w:p>
            <w:pPr>
              <w:ind w:left="1680"/>
              <w:spacing w:after="0"/>
              <w:rPr>
                <w:sz w:val="20"/>
                <w:szCs w:val="20"/>
                <w:color w:val="auto"/>
              </w:rPr>
            </w:pPr>
            <w:r>
              <w:rPr>
                <w:rFonts w:ascii="Times New Roman" w:cs="Times New Roman" w:eastAsia="Times New Roman" w:hAnsi="Times New Roman"/>
                <w:sz w:val="18"/>
                <w:szCs w:val="18"/>
                <w:color w:val="auto"/>
              </w:rPr>
              <w:t>33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0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73"/>
              </w:rPr>
              <w:t>4.</w:t>
            </w:r>
          </w:p>
        </w:tc>
        <w:tc>
          <w:tcPr>
            <w:tcW w:w="89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Controls and Procedures</w:t>
            </w:r>
          </w:p>
        </w:tc>
        <w:tc>
          <w:tcPr>
            <w:tcW w:w="2140" w:type="dxa"/>
            <w:vAlign w:val="bottom"/>
            <w:shd w:val="clear" w:color="auto" w:fill="CCEEFF"/>
          </w:tcPr>
          <w:p>
            <w:pPr>
              <w:ind w:left="1680"/>
              <w:spacing w:after="0"/>
              <w:rPr>
                <w:sz w:val="20"/>
                <w:szCs w:val="20"/>
                <w:color w:val="auto"/>
              </w:rPr>
            </w:pPr>
            <w:r>
              <w:rPr>
                <w:rFonts w:ascii="Times New Roman" w:cs="Times New Roman" w:eastAsia="Times New Roman" w:hAnsi="Times New Roman"/>
                <w:sz w:val="18"/>
                <w:szCs w:val="18"/>
                <w:color w:val="auto"/>
              </w:rPr>
              <w:t>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960" w:type="dxa"/>
            <w:vAlign w:val="bottom"/>
            <w:shd w:val="clear" w:color="auto" w:fill="CCEEFF"/>
          </w:tcPr>
          <w:p>
            <w:pPr>
              <w:ind w:left="4080"/>
              <w:spacing w:after="0"/>
              <w:rPr>
                <w:sz w:val="20"/>
                <w:szCs w:val="20"/>
                <w:color w:val="auto"/>
              </w:rPr>
            </w:pPr>
            <w:r>
              <w:rPr>
                <w:rFonts w:ascii="Times New Roman" w:cs="Times New Roman" w:eastAsia="Times New Roman" w:hAnsi="Times New Roman"/>
                <w:sz w:val="18"/>
                <w:szCs w:val="18"/>
                <w:color w:val="auto"/>
              </w:rPr>
              <w:t>PART II - OTHER INFORMATION</w:t>
            </w:r>
          </w:p>
        </w:tc>
        <w:tc>
          <w:tcPr>
            <w:tcW w:w="2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0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73"/>
              </w:rPr>
              <w:t>1.</w:t>
            </w:r>
          </w:p>
        </w:tc>
        <w:tc>
          <w:tcPr>
            <w:tcW w:w="89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Legal Proceedings</w:t>
            </w:r>
          </w:p>
        </w:tc>
        <w:tc>
          <w:tcPr>
            <w:tcW w:w="2140" w:type="dxa"/>
            <w:vAlign w:val="bottom"/>
            <w:shd w:val="clear" w:color="auto" w:fill="CCEEFF"/>
          </w:tcPr>
          <w:p>
            <w:pPr>
              <w:ind w:left="1680"/>
              <w:spacing w:after="0"/>
              <w:rPr>
                <w:sz w:val="20"/>
                <w:szCs w:val="20"/>
                <w:color w:val="auto"/>
              </w:rPr>
            </w:pPr>
            <w:r>
              <w:rPr>
                <w:rFonts w:ascii="Times New Roman" w:cs="Times New Roman" w:eastAsia="Times New Roman" w:hAnsi="Times New Roman"/>
                <w:sz w:val="18"/>
                <w:szCs w:val="18"/>
                <w:color w:val="auto"/>
              </w:rPr>
              <w:t>35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0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73"/>
              </w:rPr>
              <w:t>2.</w:t>
            </w:r>
          </w:p>
        </w:tc>
        <w:tc>
          <w:tcPr>
            <w:tcW w:w="89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Unregistered Sales of Equity Securities, Use of Proceeds and Issuer Purchases of Equity Securities</w:t>
            </w:r>
          </w:p>
        </w:tc>
        <w:tc>
          <w:tcPr>
            <w:tcW w:w="2140" w:type="dxa"/>
            <w:vAlign w:val="bottom"/>
            <w:shd w:val="clear" w:color="auto" w:fill="CCEEFF"/>
          </w:tcPr>
          <w:p>
            <w:pPr>
              <w:ind w:left="1680"/>
              <w:spacing w:after="0"/>
              <w:rPr>
                <w:sz w:val="20"/>
                <w:szCs w:val="20"/>
                <w:color w:val="auto"/>
              </w:rPr>
            </w:pPr>
            <w:r>
              <w:rPr>
                <w:rFonts w:ascii="Times New Roman" w:cs="Times New Roman" w:eastAsia="Times New Roman" w:hAnsi="Times New Roman"/>
                <w:sz w:val="18"/>
                <w:szCs w:val="18"/>
                <w:color w:val="auto"/>
              </w:rPr>
              <w:t>35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0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73"/>
              </w:rPr>
              <w:t>3.</w:t>
            </w:r>
          </w:p>
        </w:tc>
        <w:tc>
          <w:tcPr>
            <w:tcW w:w="89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Defaults Upon Senior Securities</w:t>
            </w:r>
          </w:p>
        </w:tc>
        <w:tc>
          <w:tcPr>
            <w:tcW w:w="2140" w:type="dxa"/>
            <w:vAlign w:val="bottom"/>
            <w:shd w:val="clear" w:color="auto" w:fill="CCEEFF"/>
          </w:tcPr>
          <w:p>
            <w:pPr>
              <w:ind w:left="1680"/>
              <w:spacing w:after="0"/>
              <w:rPr>
                <w:sz w:val="20"/>
                <w:szCs w:val="20"/>
                <w:color w:val="auto"/>
              </w:rPr>
            </w:pPr>
            <w:r>
              <w:rPr>
                <w:rFonts w:ascii="Times New Roman" w:cs="Times New Roman" w:eastAsia="Times New Roman" w:hAnsi="Times New Roman"/>
                <w:sz w:val="18"/>
                <w:szCs w:val="18"/>
                <w:color w:val="auto"/>
              </w:rPr>
              <w:t>35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0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73"/>
              </w:rPr>
              <w:t>6.</w:t>
            </w:r>
          </w:p>
        </w:tc>
        <w:tc>
          <w:tcPr>
            <w:tcW w:w="89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Exhibits</w:t>
            </w:r>
          </w:p>
        </w:tc>
        <w:tc>
          <w:tcPr>
            <w:tcW w:w="2140" w:type="dxa"/>
            <w:vAlign w:val="bottom"/>
            <w:shd w:val="clear" w:color="auto" w:fill="CCEEFF"/>
          </w:tcPr>
          <w:p>
            <w:pPr>
              <w:ind w:left="1680"/>
              <w:spacing w:after="0"/>
              <w:rPr>
                <w:sz w:val="20"/>
                <w:szCs w:val="20"/>
                <w:color w:val="auto"/>
              </w:rPr>
            </w:pPr>
            <w:r>
              <w:rPr>
                <w:rFonts w:ascii="Times New Roman" w:cs="Times New Roman" w:eastAsia="Times New Roman" w:hAnsi="Times New Roman"/>
                <w:sz w:val="18"/>
                <w:szCs w:val="18"/>
                <w:color w:val="auto"/>
              </w:rPr>
              <w:t>35</w:t>
            </w: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960" w:type="dxa"/>
            <w:vAlign w:val="bottom"/>
          </w:tcPr>
          <w:p>
            <w:pPr>
              <w:ind w:left="5140"/>
              <w:spacing w:after="0"/>
              <w:rPr>
                <w:sz w:val="20"/>
                <w:szCs w:val="20"/>
                <w:color w:val="auto"/>
              </w:rPr>
            </w:pPr>
            <w:r>
              <w:rPr>
                <w:rFonts w:ascii="Times New Roman" w:cs="Times New Roman" w:eastAsia="Times New Roman" w:hAnsi="Times New Roman"/>
                <w:sz w:val="18"/>
                <w:szCs w:val="18"/>
                <w:color w:val="auto"/>
              </w:rPr>
              <w:t>2 of 37</w:t>
            </w:r>
          </w:p>
        </w:tc>
        <w:tc>
          <w:tcPr>
            <w:tcW w:w="2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8960" w:type="dxa"/>
            <w:vAlign w:val="bottom"/>
            <w:tcBorders>
              <w:bottom w:val="single" w:sz="8" w:color="auto"/>
            </w:tcBorders>
          </w:tcPr>
          <w:p>
            <w:pPr>
              <w:spacing w:after="0"/>
              <w:rPr>
                <w:sz w:val="10"/>
                <w:szCs w:val="10"/>
                <w:color w:val="auto"/>
              </w:rPr>
            </w:pPr>
          </w:p>
        </w:tc>
        <w:tc>
          <w:tcPr>
            <w:tcW w:w="214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823" w:right="2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u w:val="single" w:color="auto"/>
          <w:color w:val="auto"/>
        </w:rPr>
        <w:t>PART I - FINANCIAL INFORMATION</w:t>
      </w:r>
    </w:p>
    <w:p>
      <w:pPr>
        <w:spacing w:after="0" w:line="225" w:lineRule="exact"/>
        <w:rPr>
          <w:sz w:val="20"/>
          <w:szCs w:val="20"/>
          <w:color w:val="auto"/>
        </w:rPr>
      </w:pPr>
    </w:p>
    <w:p>
      <w:pPr>
        <w:ind w:left="4340"/>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27" w:lineRule="exact"/>
        <w:rPr>
          <w:sz w:val="20"/>
          <w:szCs w:val="20"/>
          <w:color w:val="auto"/>
        </w:rPr>
      </w:pPr>
    </w:p>
    <w:p>
      <w:pPr>
        <w:ind w:left="29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ind w:left="3400"/>
        <w:spacing w:after="0"/>
        <w:rPr>
          <w:sz w:val="20"/>
          <w:szCs w:val="20"/>
          <w:color w:val="auto"/>
        </w:rPr>
      </w:pPr>
      <w:r>
        <w:rPr>
          <w:rFonts w:ascii="Times New Roman" w:cs="Times New Roman" w:eastAsia="Times New Roman" w:hAnsi="Times New Roman"/>
          <w:sz w:val="18"/>
          <w:szCs w:val="18"/>
          <w:u w:val="single" w:color="auto"/>
          <w:color w:val="auto"/>
        </w:rPr>
        <w:t>CONDENSED CONSOLIDATED STATEMENTS OF OPERATIONS</w:t>
      </w:r>
    </w:p>
    <w:p>
      <w:pPr>
        <w:spacing w:after="0" w:line="9" w:lineRule="exact"/>
        <w:rPr>
          <w:sz w:val="20"/>
          <w:szCs w:val="20"/>
          <w:color w:val="auto"/>
        </w:rPr>
      </w:pPr>
    </w:p>
    <w:p>
      <w:pPr>
        <w:ind w:left="2540"/>
        <w:spacing w:after="0"/>
        <w:rPr>
          <w:sz w:val="20"/>
          <w:szCs w:val="20"/>
          <w:color w:val="auto"/>
        </w:rPr>
      </w:pPr>
      <w:r>
        <w:rPr>
          <w:rFonts w:ascii="Times New Roman" w:cs="Times New Roman" w:eastAsia="Times New Roman" w:hAnsi="Times New Roman"/>
          <w:sz w:val="18"/>
          <w:szCs w:val="18"/>
          <w:u w:val="single" w:color="auto"/>
          <w:color w:val="auto"/>
        </w:rPr>
        <w:t>FOR THE PERIODS ENDED MARCH 2, 2019 AND FEBRUARY 24, 2018 – UNAUDITED</w:t>
      </w:r>
    </w:p>
    <w:p>
      <w:pPr>
        <w:spacing w:after="0" w:line="9"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18"/>
          <w:szCs w:val="18"/>
          <w:color w:val="auto"/>
        </w:rPr>
        <w:t>(In thousands except per share data)</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810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940" w:type="dxa"/>
            <w:vAlign w:val="bottom"/>
            <w:tcBorders>
              <w:bottom w:val="single" w:sz="8" w:color="auto"/>
            </w:tcBorders>
            <w:gridSpan w:val="5"/>
          </w:tcPr>
          <w:p>
            <w:pPr>
              <w:jc w:val="right"/>
              <w:ind w:right="93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3"/>
        </w:trPr>
        <w:tc>
          <w:tcPr>
            <w:tcW w:w="20" w:type="dxa"/>
            <w:vAlign w:val="bottom"/>
          </w:tcPr>
          <w:p>
            <w:pPr>
              <w:spacing w:after="0"/>
              <w:rPr>
                <w:sz w:val="24"/>
                <w:szCs w:val="24"/>
                <w:color w:val="auto"/>
              </w:rPr>
            </w:pPr>
          </w:p>
        </w:tc>
        <w:tc>
          <w:tcPr>
            <w:tcW w:w="8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80" w:type="dxa"/>
            <w:vAlign w:val="bottom"/>
            <w:gridSpan w:val="2"/>
          </w:tcPr>
          <w:p>
            <w:pPr>
              <w:jc w:val="right"/>
              <w:ind w:right="540"/>
              <w:spacing w:after="0"/>
              <w:rPr>
                <w:sz w:val="20"/>
                <w:szCs w:val="20"/>
                <w:color w:val="auto"/>
              </w:rPr>
            </w:pPr>
            <w:r>
              <w:rPr>
                <w:rFonts w:ascii="Times New Roman" w:cs="Times New Roman" w:eastAsia="Times New Roman" w:hAnsi="Times New Roman"/>
                <w:sz w:val="18"/>
                <w:szCs w:val="18"/>
                <w:b w:val="1"/>
                <w:bCs w:val="1"/>
                <w:color w:val="auto"/>
              </w:rPr>
              <w:t>March 2,</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2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February 24,</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810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2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Furniture and accessories</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107,357</w:t>
            </w:r>
          </w:p>
        </w:tc>
        <w:tc>
          <w:tcPr>
            <w:tcW w:w="140" w:type="dxa"/>
            <w:vAlign w:val="bottom"/>
          </w:tcPr>
          <w:p>
            <w:pPr>
              <w:spacing w:after="0"/>
              <w:rPr>
                <w:sz w:val="18"/>
                <w:szCs w:val="18"/>
                <w:color w:val="auto"/>
              </w:rPr>
            </w:pPr>
          </w:p>
        </w:tc>
        <w:tc>
          <w:tcPr>
            <w:tcW w:w="2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96,123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Logistics</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13,484</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14,149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tcBorders>
              <w:top w:val="single" w:sz="8" w:color="CCEEFF"/>
            </w:tcBorders>
          </w:tcPr>
          <w:p>
            <w:pPr>
              <w:ind w:left="320"/>
              <w:spacing w:after="0"/>
              <w:rPr>
                <w:sz w:val="20"/>
                <w:szCs w:val="20"/>
                <w:color w:val="auto"/>
              </w:rPr>
            </w:pPr>
            <w:r>
              <w:rPr>
                <w:rFonts w:ascii="Times New Roman" w:cs="Times New Roman" w:eastAsia="Times New Roman" w:hAnsi="Times New Roman"/>
                <w:sz w:val="18"/>
                <w:szCs w:val="18"/>
                <w:color w:val="auto"/>
              </w:rPr>
              <w:t>Total sales revenue</w:t>
            </w:r>
          </w:p>
        </w:tc>
        <w:tc>
          <w:tcPr>
            <w:tcW w:w="26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120,841</w:t>
            </w: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110,272</w:t>
            </w: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260" w:type="dxa"/>
            <w:vAlign w:val="bottom"/>
          </w:tcPr>
          <w:p>
            <w:pPr>
              <w:spacing w:after="0"/>
              <w:rPr>
                <w:sz w:val="18"/>
                <w:szCs w:val="18"/>
                <w:color w:val="auto"/>
              </w:rPr>
            </w:pPr>
          </w:p>
        </w:tc>
        <w:tc>
          <w:tcPr>
            <w:tcW w:w="13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49,177</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43,269</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Selling, general and administrative expenses excluding new store pre-opening costs</w:t>
            </w:r>
          </w:p>
        </w:tc>
        <w:tc>
          <w:tcPr>
            <w:tcW w:w="260" w:type="dxa"/>
            <w:vAlign w:val="bottom"/>
          </w:tcPr>
          <w:p>
            <w:pPr>
              <w:spacing w:after="0"/>
              <w:rPr>
                <w:sz w:val="18"/>
                <w:szCs w:val="18"/>
                <w:color w:val="auto"/>
              </w:rPr>
            </w:pPr>
          </w:p>
        </w:tc>
        <w:tc>
          <w:tcPr>
            <w:tcW w:w="13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69,386</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64,251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26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Early retirement program</w:t>
            </w:r>
          </w:p>
        </w:tc>
        <w:tc>
          <w:tcPr>
            <w:tcW w:w="2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835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Income from operations</w:t>
            </w:r>
          </w:p>
        </w:tc>
        <w:tc>
          <w:tcPr>
            <w:tcW w:w="26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949</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2,050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loss, net</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(123)</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(627)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26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826</w:t>
            </w: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1,423</w:t>
            </w: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Income tax expense</w:t>
            </w:r>
          </w:p>
        </w:tc>
        <w:tc>
          <w:tcPr>
            <w:tcW w:w="26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2,336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Net income (loss)</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608</w:t>
            </w:r>
          </w:p>
        </w:tc>
        <w:tc>
          <w:tcPr>
            <w:tcW w:w="140" w:type="dxa"/>
            <w:vAlign w:val="bottom"/>
          </w:tcPr>
          <w:p>
            <w:pPr>
              <w:spacing w:after="0"/>
              <w:rPr>
                <w:sz w:val="18"/>
                <w:szCs w:val="18"/>
                <w:color w:val="auto"/>
              </w:rPr>
            </w:pPr>
          </w:p>
        </w:tc>
        <w:tc>
          <w:tcPr>
            <w:tcW w:w="2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(913)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8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Basic earnings (loss) per share</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0.06</w:t>
            </w:r>
          </w:p>
        </w:tc>
        <w:tc>
          <w:tcPr>
            <w:tcW w:w="2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(0.09)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8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Diluted earnings (loss) per share</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0.06</w:t>
            </w:r>
          </w:p>
        </w:tc>
        <w:tc>
          <w:tcPr>
            <w:tcW w:w="2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(0.09)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8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Dividends per share</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0.125</w:t>
            </w:r>
          </w:p>
        </w:tc>
        <w:tc>
          <w:tcPr>
            <w:tcW w:w="140" w:type="dxa"/>
            <w:vAlign w:val="bottom"/>
          </w:tcPr>
          <w:p>
            <w:pPr>
              <w:spacing w:after="0"/>
              <w:rPr>
                <w:sz w:val="18"/>
                <w:szCs w:val="18"/>
                <w:color w:val="auto"/>
              </w:rPr>
            </w:pPr>
          </w:p>
        </w:tc>
        <w:tc>
          <w:tcPr>
            <w:tcW w:w="2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0.11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823" w:right="239" w:bottom="1440" w:gutter="0" w:footer="0" w:header="0"/>
        </w:sectPr>
      </w:pPr>
    </w:p>
    <w:bookmarkStart w:id="3" w:name="page4"/>
    <w:bookmarkEnd w:id="3"/>
    <w:p>
      <w:pPr>
        <w:ind w:left="3660"/>
        <w:spacing w:after="0"/>
        <w:rPr>
          <w:sz w:val="20"/>
          <w:szCs w:val="20"/>
          <w:color w:val="auto"/>
        </w:rPr>
      </w:pPr>
      <w:r>
        <w:rPr>
          <w:rFonts w:ascii="Times New Roman" w:cs="Times New Roman" w:eastAsia="Times New Roman" w:hAnsi="Times New Roman"/>
          <w:sz w:val="18"/>
          <w:szCs w:val="18"/>
          <w:u w:val="single" w:color="auto"/>
          <w:color w:val="auto"/>
        </w:rPr>
        <w:t>PART I – FINANCIAL INFORMATION – CONTINUED</w:t>
      </w:r>
    </w:p>
    <w:p>
      <w:pPr>
        <w:spacing w:after="0" w:line="27" w:lineRule="exact"/>
        <w:rPr>
          <w:sz w:val="20"/>
          <w:szCs w:val="20"/>
          <w:color w:val="auto"/>
        </w:rPr>
      </w:pPr>
    </w:p>
    <w:p>
      <w:pPr>
        <w:ind w:left="4340"/>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9" w:lineRule="exact"/>
        <w:rPr>
          <w:sz w:val="20"/>
          <w:szCs w:val="20"/>
          <w:color w:val="auto"/>
        </w:rPr>
      </w:pPr>
    </w:p>
    <w:p>
      <w:pPr>
        <w:ind w:left="292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left="740" w:right="2020"/>
        <w:spacing w:after="0" w:line="255" w:lineRule="auto"/>
        <w:rPr>
          <w:sz w:val="20"/>
          <w:szCs w:val="20"/>
          <w:color w:val="auto"/>
        </w:rPr>
      </w:pPr>
      <w:r>
        <w:rPr>
          <w:rFonts w:ascii="Times New Roman" w:cs="Times New Roman" w:eastAsia="Times New Roman" w:hAnsi="Times New Roman"/>
          <w:sz w:val="18"/>
          <w:szCs w:val="18"/>
          <w:u w:val="single" w:color="auto"/>
          <w:color w:val="auto"/>
        </w:rPr>
        <w:t>CONDENSED CONSOLIDATED STATEMENTS OF COMPREHENSIVE INCOME (LOSS) FOR THE PERIODS ENDED MARCH 2, 2019 AND FEBRUARY 24, 2018 – UNAUDITED (In thousands)</w:t>
      </w:r>
    </w:p>
    <w:p>
      <w:pPr>
        <w:spacing w:after="0" w:line="39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8100" w:type="dxa"/>
            <w:vAlign w:val="bottom"/>
          </w:tcPr>
          <w:p>
            <w:pPr>
              <w:spacing w:after="0"/>
              <w:rPr>
                <w:sz w:val="20"/>
                <w:szCs w:val="20"/>
                <w:color w:val="auto"/>
              </w:rPr>
            </w:pPr>
          </w:p>
        </w:tc>
        <w:tc>
          <w:tcPr>
            <w:tcW w:w="3200" w:type="dxa"/>
            <w:vAlign w:val="bottom"/>
            <w:tcBorders>
              <w:bottom w:val="single" w:sz="8" w:color="auto"/>
            </w:tcBorders>
            <w:gridSpan w:val="6"/>
          </w:tcPr>
          <w:p>
            <w:pPr>
              <w:jc w:val="right"/>
              <w:ind w:right="93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3"/>
        </w:trPr>
        <w:tc>
          <w:tcPr>
            <w:tcW w:w="20" w:type="dxa"/>
            <w:vAlign w:val="bottom"/>
          </w:tcPr>
          <w:p>
            <w:pPr>
              <w:spacing w:after="0"/>
              <w:rPr>
                <w:sz w:val="24"/>
                <w:szCs w:val="24"/>
                <w:color w:val="auto"/>
              </w:rPr>
            </w:pPr>
          </w:p>
        </w:tc>
        <w:tc>
          <w:tcPr>
            <w:tcW w:w="810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March 2,</w:t>
            </w: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2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February 24,</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8100" w:type="dxa"/>
            <w:vAlign w:val="bottom"/>
          </w:tcPr>
          <w:p>
            <w:pPr>
              <w:spacing w:after="0"/>
              <w:rPr>
                <w:sz w:val="20"/>
                <w:szCs w:val="20"/>
                <w:color w:val="auto"/>
              </w:rPr>
            </w:pPr>
          </w:p>
        </w:tc>
        <w:tc>
          <w:tcPr>
            <w:tcW w:w="116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2019</w:t>
            </w:r>
          </w:p>
        </w:tc>
        <w:tc>
          <w:tcPr>
            <w:tcW w:w="340" w:type="dxa"/>
            <w:vAlign w:val="bottom"/>
            <w:tcBorders>
              <w:bottom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8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income (loss)</w:t>
            </w:r>
          </w:p>
        </w:tc>
        <w:tc>
          <w:tcPr>
            <w:tcW w:w="1160" w:type="dxa"/>
            <w:vAlign w:val="bottom"/>
            <w:shd w:val="clear" w:color="auto" w:fill="CCEEFF"/>
          </w:tcPr>
          <w:p>
            <w:pPr>
              <w:jc w:val="right"/>
              <w:ind w:right="970"/>
              <w:spacing w:after="0"/>
              <w:rPr>
                <w:sz w:val="20"/>
                <w:szCs w:val="20"/>
                <w:color w:val="auto"/>
              </w:rPr>
            </w:pPr>
            <w:r>
              <w:rPr>
                <w:rFonts w:ascii="Times New Roman" w:cs="Times New Roman" w:eastAsia="Times New Roman" w:hAnsi="Times New Roman"/>
                <w:sz w:val="18"/>
                <w:szCs w:val="18"/>
                <w:color w:val="auto"/>
                <w:w w:val="88"/>
              </w:rPr>
              <w:t>$</w:t>
            </w: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608</w:t>
            </w:r>
          </w:p>
        </w:tc>
        <w:tc>
          <w:tcPr>
            <w:tcW w:w="14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(913)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w:t>
            </w:r>
          </w:p>
        </w:tc>
        <w:tc>
          <w:tcPr>
            <w:tcW w:w="1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Amortization associated with Long Term Cash Awards (LTCA)</w:t>
            </w:r>
          </w:p>
        </w:tc>
        <w:tc>
          <w:tcPr>
            <w:tcW w:w="116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Income taxes related to LTCA</w:t>
            </w:r>
          </w:p>
        </w:tc>
        <w:tc>
          <w:tcPr>
            <w:tcW w:w="1160" w:type="dxa"/>
            <w:vAlign w:val="bottom"/>
          </w:tcPr>
          <w:p>
            <w:pPr>
              <w:spacing w:after="0"/>
              <w:rPr>
                <w:sz w:val="18"/>
                <w:szCs w:val="18"/>
                <w:color w:val="auto"/>
              </w:rPr>
            </w:pPr>
          </w:p>
        </w:tc>
        <w:tc>
          <w:tcPr>
            <w:tcW w:w="4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(8)</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Amortization associated with supplemental executive retirement defined benefit plan (SERP)</w:t>
            </w:r>
          </w:p>
        </w:tc>
        <w:tc>
          <w:tcPr>
            <w:tcW w:w="116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Income taxes related to SERP</w:t>
            </w:r>
          </w:p>
        </w:tc>
        <w:tc>
          <w:tcPr>
            <w:tcW w:w="1160" w:type="dxa"/>
            <w:vAlign w:val="bottom"/>
          </w:tcPr>
          <w:p>
            <w:pPr>
              <w:spacing w:after="0"/>
              <w:rPr>
                <w:sz w:val="18"/>
                <w:szCs w:val="18"/>
                <w:color w:val="auto"/>
              </w:rPr>
            </w:pPr>
          </w:p>
        </w:tc>
        <w:tc>
          <w:tcPr>
            <w:tcW w:w="4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(12)</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Other comprehensive income, net of tax</w:t>
            </w:r>
          </w:p>
        </w:tc>
        <w:tc>
          <w:tcPr>
            <w:tcW w:w="116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comprehensive income (loss)</w:t>
            </w:r>
          </w:p>
        </w:tc>
        <w:tc>
          <w:tcPr>
            <w:tcW w:w="1160" w:type="dxa"/>
            <w:vAlign w:val="bottom"/>
          </w:tcPr>
          <w:p>
            <w:pPr>
              <w:jc w:val="right"/>
              <w:ind w:right="970"/>
              <w:spacing w:after="0"/>
              <w:rPr>
                <w:sz w:val="20"/>
                <w:szCs w:val="20"/>
                <w:color w:val="auto"/>
              </w:rPr>
            </w:pPr>
            <w:r>
              <w:rPr>
                <w:rFonts w:ascii="Times New Roman" w:cs="Times New Roman" w:eastAsia="Times New Roman" w:hAnsi="Times New Roman"/>
                <w:sz w:val="18"/>
                <w:szCs w:val="18"/>
                <w:color w:val="auto"/>
                <w:w w:val="88"/>
              </w:rPr>
              <w:t>$</w:t>
            </w:r>
          </w:p>
        </w:tc>
        <w:tc>
          <w:tcPr>
            <w:tcW w:w="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665</w:t>
            </w:r>
          </w:p>
        </w:tc>
        <w:tc>
          <w:tcPr>
            <w:tcW w:w="140" w:type="dxa"/>
            <w:vAlign w:val="bottom"/>
          </w:tcPr>
          <w:p>
            <w:pPr>
              <w:spacing w:after="0"/>
              <w:rPr>
                <w:sz w:val="18"/>
                <w:szCs w:val="18"/>
                <w:color w:val="auto"/>
              </w:rPr>
            </w:pPr>
          </w:p>
        </w:tc>
        <w:tc>
          <w:tcPr>
            <w:tcW w:w="2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(833)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823" w:right="239" w:bottom="1440" w:gutter="0" w:footer="0" w:header="0"/>
        </w:sectPr>
      </w:pPr>
    </w:p>
    <w:bookmarkStart w:id="4" w:name="page5"/>
    <w:bookmarkEnd w:id="4"/>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PART I – FINANCIAL INFORMATION – CONTINUED</w:t>
      </w:r>
    </w:p>
    <w:p>
      <w:pPr>
        <w:spacing w:after="0" w:line="27"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u w:val="single" w:color="auto"/>
          <w:color w:val="auto"/>
        </w:rPr>
        <w:t>CONDENSED CONSOLIDATED BALANCE SHEETS</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u w:val="single" w:color="auto"/>
          <w:color w:val="auto"/>
        </w:rPr>
        <w:t>MARCH 2, 2019 AND NOVEMBER 24, 2018</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4020" w:type="dxa"/>
            <w:vAlign w:val="bottom"/>
            <w:gridSpan w:val="2"/>
          </w:tcPr>
          <w:p>
            <w:pPr>
              <w:jc w:val="right"/>
              <w:ind w:right="2010"/>
              <w:spacing w:after="0"/>
              <w:rPr>
                <w:sz w:val="20"/>
                <w:szCs w:val="20"/>
                <w:color w:val="auto"/>
              </w:rPr>
            </w:pPr>
            <w:r>
              <w:rPr>
                <w:rFonts w:ascii="Times New Roman" w:cs="Times New Roman" w:eastAsia="Times New Roman" w:hAnsi="Times New Roman"/>
                <w:sz w:val="18"/>
                <w:szCs w:val="18"/>
                <w:color w:val="auto"/>
              </w:rPr>
              <w:t>(In thousands)</w:t>
            </w:r>
          </w:p>
        </w:tc>
        <w:tc>
          <w:tcPr>
            <w:tcW w:w="1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08"/>
        </w:trPr>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4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(Unaudited)</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March 2,</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November 24,</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38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2019</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4280" w:type="dxa"/>
            <w:vAlign w:val="bottom"/>
            <w:gridSpan w:val="3"/>
            <w:shd w:val="clear" w:color="auto" w:fill="CCEEFF"/>
          </w:tcPr>
          <w:p>
            <w:pPr>
              <w:spacing w:after="0" w:line="170" w:lineRule="exact"/>
              <w:rPr>
                <w:sz w:val="20"/>
                <w:szCs w:val="20"/>
                <w:color w:val="auto"/>
              </w:rPr>
            </w:pPr>
            <w:r>
              <w:rPr>
                <w:rFonts w:ascii="Times New Roman" w:cs="Times New Roman" w:eastAsia="Times New Roman" w:hAnsi="Times New Roman"/>
                <w:sz w:val="18"/>
                <w:szCs w:val="18"/>
                <w:b w:val="1"/>
                <w:bCs w:val="1"/>
                <w:color w:val="auto"/>
              </w:rPr>
              <w:t>Assets</w:t>
            </w:r>
          </w:p>
        </w:tc>
        <w:tc>
          <w:tcPr>
            <w:tcW w:w="38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3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460" w:type="dxa"/>
            <w:vAlign w:val="bottom"/>
            <w:tcBorders>
              <w:top w:val="single" w:sz="8" w:color="auto"/>
            </w:tcBorders>
            <w:shd w:val="clear" w:color="auto" w:fill="CCEEFF"/>
          </w:tcPr>
          <w:p>
            <w:pPr>
              <w:spacing w:after="0" w:line="20" w:lineRule="exact"/>
              <w:rPr>
                <w:sz w:val="1"/>
                <w:szCs w:val="1"/>
                <w:color w:val="auto"/>
              </w:rPr>
            </w:pPr>
          </w:p>
        </w:tc>
        <w:tc>
          <w:tcPr>
            <w:tcW w:w="2300" w:type="dxa"/>
            <w:vAlign w:val="bottom"/>
            <w:tcBorders>
              <w:top w:val="single" w:sz="8" w:color="CCEEFF"/>
            </w:tcBorders>
            <w:shd w:val="clear" w:color="auto" w:fill="CCEEFF"/>
          </w:tcPr>
          <w:p>
            <w:pPr>
              <w:spacing w:after="0" w:line="20" w:lineRule="exact"/>
              <w:rPr>
                <w:sz w:val="1"/>
                <w:szCs w:val="1"/>
                <w:color w:val="auto"/>
              </w:rPr>
            </w:pPr>
          </w:p>
        </w:tc>
        <w:tc>
          <w:tcPr>
            <w:tcW w:w="1520" w:type="dxa"/>
            <w:vAlign w:val="bottom"/>
            <w:tcBorders>
              <w:top w:val="single" w:sz="8" w:color="CCEEFF"/>
            </w:tcBorders>
            <w:shd w:val="clear" w:color="auto" w:fill="CCEEFF"/>
          </w:tcPr>
          <w:p>
            <w:pPr>
              <w:spacing w:after="0" w:line="20" w:lineRule="exact"/>
              <w:rPr>
                <w:sz w:val="1"/>
                <w:szCs w:val="1"/>
                <w:color w:val="auto"/>
              </w:rPr>
            </w:pPr>
          </w:p>
        </w:tc>
        <w:tc>
          <w:tcPr>
            <w:tcW w:w="382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30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3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Current assets</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402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9,986</w:t>
            </w:r>
          </w:p>
        </w:tc>
        <w:tc>
          <w:tcPr>
            <w:tcW w:w="2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33,468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Short-term investments</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22,643</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22,643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Accounts receivable, net</w:t>
            </w:r>
          </w:p>
        </w:tc>
        <w:tc>
          <w:tcPr>
            <w:tcW w:w="3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23,222</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19,055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Inventories</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66,678</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64,192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Other current assets</w:t>
            </w:r>
          </w:p>
        </w:tc>
        <w:tc>
          <w:tcPr>
            <w:tcW w:w="3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14,540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9,189</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300" w:type="dxa"/>
            <w:vAlign w:val="bottom"/>
            <w:shd w:val="clear" w:color="auto" w:fill="CCEEFF"/>
          </w:tcPr>
          <w:p>
            <w:pPr>
              <w:spacing w:after="0" w:line="20" w:lineRule="exact"/>
              <w:rPr>
                <w:sz w:val="1"/>
                <w:szCs w:val="1"/>
                <w:color w:val="auto"/>
              </w:rPr>
            </w:pPr>
          </w:p>
        </w:tc>
        <w:tc>
          <w:tcPr>
            <w:tcW w:w="1520" w:type="dxa"/>
            <w:vAlign w:val="bottom"/>
            <w:shd w:val="clear" w:color="auto" w:fill="CCEEFF"/>
          </w:tcPr>
          <w:p>
            <w:pPr>
              <w:spacing w:after="0" w:line="20" w:lineRule="exact"/>
              <w:rPr>
                <w:sz w:val="1"/>
                <w:szCs w:val="1"/>
                <w:color w:val="auto"/>
              </w:rPr>
            </w:pPr>
          </w:p>
        </w:tc>
        <w:tc>
          <w:tcPr>
            <w:tcW w:w="382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2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current assets</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137,069</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148,547</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382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106,880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104,863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3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Deferred income taxes</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3,228</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Goodwill and other intangible assets</w:t>
            </w:r>
          </w:p>
        </w:tc>
        <w:tc>
          <w:tcPr>
            <w:tcW w:w="3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28,386</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28,480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Other</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6,472</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6,485</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28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long-term assets</w:t>
            </w:r>
          </w:p>
        </w:tc>
        <w:tc>
          <w:tcPr>
            <w:tcW w:w="3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38,086</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38,231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300" w:type="dxa"/>
            <w:vAlign w:val="bottom"/>
            <w:shd w:val="clear" w:color="auto" w:fill="CCEEFF"/>
          </w:tcPr>
          <w:p>
            <w:pPr>
              <w:spacing w:after="0" w:line="20" w:lineRule="exact"/>
              <w:rPr>
                <w:sz w:val="1"/>
                <w:szCs w:val="1"/>
                <w:color w:val="auto"/>
              </w:rPr>
            </w:pPr>
          </w:p>
        </w:tc>
        <w:tc>
          <w:tcPr>
            <w:tcW w:w="1520" w:type="dxa"/>
            <w:vAlign w:val="bottom"/>
            <w:shd w:val="clear" w:color="auto" w:fill="CCEEFF"/>
          </w:tcPr>
          <w:p>
            <w:pPr>
              <w:spacing w:after="0" w:line="20" w:lineRule="exact"/>
              <w:rPr>
                <w:sz w:val="1"/>
                <w:szCs w:val="1"/>
                <w:color w:val="auto"/>
              </w:rPr>
            </w:pPr>
          </w:p>
        </w:tc>
        <w:tc>
          <w:tcPr>
            <w:tcW w:w="382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300" w:type="dxa"/>
            <w:vAlign w:val="bottom"/>
            <w:gridSpan w:val="4"/>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402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282,035</w:t>
            </w:r>
          </w:p>
        </w:tc>
        <w:tc>
          <w:tcPr>
            <w:tcW w:w="2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291,641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2300" w:type="dxa"/>
            <w:vAlign w:val="bottom"/>
            <w:shd w:val="clear" w:color="auto" w:fill="CCEEFF"/>
          </w:tcPr>
          <w:p>
            <w:pPr>
              <w:spacing w:after="0"/>
              <w:rPr>
                <w:sz w:val="17"/>
                <w:szCs w:val="17"/>
                <w:color w:val="auto"/>
              </w:rPr>
            </w:pPr>
          </w:p>
        </w:tc>
        <w:tc>
          <w:tcPr>
            <w:tcW w:w="1520" w:type="dxa"/>
            <w:vAlign w:val="bottom"/>
            <w:shd w:val="clear" w:color="auto" w:fill="CCEEFF"/>
          </w:tcPr>
          <w:p>
            <w:pPr>
              <w:spacing w:after="0"/>
              <w:rPr>
                <w:sz w:val="17"/>
                <w:szCs w:val="17"/>
                <w:color w:val="auto"/>
              </w:rPr>
            </w:pPr>
          </w:p>
        </w:tc>
        <w:tc>
          <w:tcPr>
            <w:tcW w:w="38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20" w:type="dxa"/>
            <w:vAlign w:val="bottom"/>
            <w:vMerge w:val="continue"/>
          </w:tcPr>
          <w:p>
            <w:pPr>
              <w:spacing w:after="0"/>
              <w:rPr>
                <w:sz w:val="15"/>
                <w:szCs w:val="15"/>
                <w:color w:val="auto"/>
              </w:rPr>
            </w:pPr>
          </w:p>
        </w:tc>
        <w:tc>
          <w:tcPr>
            <w:tcW w:w="4280" w:type="dxa"/>
            <w:vAlign w:val="bottom"/>
            <w:gridSpan w:val="3"/>
          </w:tcPr>
          <w:p>
            <w:pPr>
              <w:spacing w:after="0" w:line="176" w:lineRule="exact"/>
              <w:rPr>
                <w:sz w:val="20"/>
                <w:szCs w:val="20"/>
                <w:color w:val="auto"/>
              </w:rPr>
            </w:pPr>
            <w:r>
              <w:rPr>
                <w:rFonts w:ascii="Times New Roman" w:cs="Times New Roman" w:eastAsia="Times New Roman" w:hAnsi="Times New Roman"/>
                <w:sz w:val="18"/>
                <w:szCs w:val="18"/>
                <w:b w:val="1"/>
                <w:bCs w:val="1"/>
                <w:color w:val="auto"/>
              </w:rPr>
              <w:t>Liabilities and Stockholders’ Equity</w:t>
            </w:r>
          </w:p>
        </w:tc>
        <w:tc>
          <w:tcPr>
            <w:tcW w:w="38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460" w:type="dxa"/>
            <w:vAlign w:val="bottom"/>
            <w:tcBorders>
              <w:top w:val="single" w:sz="8" w:color="auto"/>
            </w:tcBorders>
          </w:tcPr>
          <w:p>
            <w:pPr>
              <w:spacing w:after="0" w:line="20" w:lineRule="exact"/>
              <w:rPr>
                <w:sz w:val="1"/>
                <w:szCs w:val="1"/>
                <w:color w:val="auto"/>
              </w:rPr>
            </w:pPr>
          </w:p>
        </w:tc>
        <w:tc>
          <w:tcPr>
            <w:tcW w:w="2300" w:type="dxa"/>
            <w:vAlign w:val="bottom"/>
            <w:tcBorders>
              <w:top w:val="single" w:sz="8" w:color="auto"/>
            </w:tcBorders>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Current liabilities</w:t>
            </w:r>
          </w:p>
        </w:tc>
        <w:tc>
          <w:tcPr>
            <w:tcW w:w="3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Accounts payable</w:t>
            </w:r>
          </w:p>
        </w:tc>
        <w:tc>
          <w:tcPr>
            <w:tcW w:w="402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21,439</w:t>
            </w:r>
          </w:p>
        </w:tc>
        <w:tc>
          <w:tcPr>
            <w:tcW w:w="2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27,407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3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10,876</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12,994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Customer deposits</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24,416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27,157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Other current liabilites and accrued expenses</w:t>
            </w:r>
          </w:p>
        </w:tc>
        <w:tc>
          <w:tcPr>
            <w:tcW w:w="3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16,546</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14,261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300" w:type="dxa"/>
            <w:vAlign w:val="bottom"/>
            <w:shd w:val="clear" w:color="auto" w:fill="CCEEFF"/>
          </w:tcPr>
          <w:p>
            <w:pPr>
              <w:spacing w:after="0" w:line="20" w:lineRule="exact"/>
              <w:rPr>
                <w:sz w:val="1"/>
                <w:szCs w:val="1"/>
                <w:color w:val="auto"/>
              </w:rPr>
            </w:pPr>
          </w:p>
        </w:tc>
        <w:tc>
          <w:tcPr>
            <w:tcW w:w="1520" w:type="dxa"/>
            <w:vAlign w:val="bottom"/>
            <w:shd w:val="clear" w:color="auto" w:fill="CCEEFF"/>
          </w:tcPr>
          <w:p>
            <w:pPr>
              <w:spacing w:after="0" w:line="20" w:lineRule="exact"/>
              <w:rPr>
                <w:sz w:val="1"/>
                <w:szCs w:val="1"/>
                <w:color w:val="auto"/>
              </w:rPr>
            </w:pPr>
          </w:p>
        </w:tc>
        <w:tc>
          <w:tcPr>
            <w:tcW w:w="382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2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current liabilities</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73,277</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81,819</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382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Long-term liabilities</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3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12,853</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13,173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Other long-term liabilities</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6,900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6,340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28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long-term liabilities</w:t>
            </w:r>
          </w:p>
        </w:tc>
        <w:tc>
          <w:tcPr>
            <w:tcW w:w="3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19,753</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19,513</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382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3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Stockholders’ equity</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Common stock</w:t>
            </w:r>
          </w:p>
        </w:tc>
        <w:tc>
          <w:tcPr>
            <w:tcW w:w="3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52,598</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52,638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Retained earnings</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138,687</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140,009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Accumulated other comprehensive loss</w:t>
            </w:r>
          </w:p>
        </w:tc>
        <w:tc>
          <w:tcPr>
            <w:tcW w:w="3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(2,280)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(2,338)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300" w:type="dxa"/>
            <w:vAlign w:val="bottom"/>
            <w:shd w:val="clear" w:color="auto" w:fill="CCEEFF"/>
          </w:tcPr>
          <w:p>
            <w:pPr>
              <w:spacing w:after="0" w:line="20" w:lineRule="exact"/>
              <w:rPr>
                <w:sz w:val="1"/>
                <w:szCs w:val="1"/>
                <w:color w:val="auto"/>
              </w:rPr>
            </w:pPr>
          </w:p>
        </w:tc>
        <w:tc>
          <w:tcPr>
            <w:tcW w:w="1520" w:type="dxa"/>
            <w:vAlign w:val="bottom"/>
            <w:shd w:val="clear" w:color="auto" w:fill="CCEEFF"/>
          </w:tcPr>
          <w:p>
            <w:pPr>
              <w:spacing w:after="0" w:line="20" w:lineRule="exact"/>
              <w:rPr>
                <w:sz w:val="1"/>
                <w:szCs w:val="1"/>
                <w:color w:val="auto"/>
              </w:rPr>
            </w:pPr>
          </w:p>
        </w:tc>
        <w:tc>
          <w:tcPr>
            <w:tcW w:w="3820" w:type="dxa"/>
            <w:vAlign w:val="bottom"/>
            <w:shd w:val="clear" w:color="auto" w:fill="CCEEFF"/>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2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stockholders' equity</w:t>
            </w:r>
          </w:p>
        </w:tc>
        <w:tc>
          <w:tcPr>
            <w:tcW w:w="3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189,005</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190,309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428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liabilities and stockholders’ equity</w:t>
            </w:r>
          </w:p>
        </w:tc>
        <w:tc>
          <w:tcPr>
            <w:tcW w:w="382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282,035</w:t>
            </w:r>
          </w:p>
        </w:tc>
        <w:tc>
          <w:tcPr>
            <w:tcW w:w="2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291,641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 w:type="dxa"/>
            <w:vAlign w:val="bottom"/>
            <w:tcBorders>
              <w:top w:val="single" w:sz="8" w:color="CCEEFF"/>
            </w:tcBorders>
            <w:shd w:val="clear" w:color="auto" w:fill="CCEEFF"/>
          </w:tcPr>
          <w:p>
            <w:pPr>
              <w:spacing w:after="0" w:line="20" w:lineRule="exact"/>
              <w:rPr>
                <w:sz w:val="1"/>
                <w:szCs w:val="1"/>
                <w:color w:val="auto"/>
              </w:rPr>
            </w:pPr>
          </w:p>
        </w:tc>
        <w:tc>
          <w:tcPr>
            <w:tcW w:w="2300" w:type="dxa"/>
            <w:vAlign w:val="bottom"/>
            <w:tcBorders>
              <w:top w:val="single" w:sz="8" w:color="CCEEFF"/>
            </w:tcBorders>
            <w:shd w:val="clear" w:color="auto" w:fill="CCEEFF"/>
          </w:tcPr>
          <w:p>
            <w:pPr>
              <w:spacing w:after="0" w:line="20" w:lineRule="exact"/>
              <w:rPr>
                <w:sz w:val="1"/>
                <w:szCs w:val="1"/>
                <w:color w:val="auto"/>
              </w:rPr>
            </w:pPr>
          </w:p>
        </w:tc>
        <w:tc>
          <w:tcPr>
            <w:tcW w:w="1520" w:type="dxa"/>
            <w:vAlign w:val="bottom"/>
            <w:tcBorders>
              <w:top w:val="single" w:sz="8" w:color="CCEEFF"/>
            </w:tcBorders>
            <w:shd w:val="clear" w:color="auto" w:fill="CCEEFF"/>
          </w:tcPr>
          <w:p>
            <w:pPr>
              <w:spacing w:after="0" w:line="20" w:lineRule="exact"/>
              <w:rPr>
                <w:sz w:val="1"/>
                <w:szCs w:val="1"/>
                <w:color w:val="auto"/>
              </w:rPr>
            </w:pPr>
          </w:p>
        </w:tc>
        <w:tc>
          <w:tcPr>
            <w:tcW w:w="382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3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3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823" w:right="239" w:bottom="1440" w:gutter="0" w:footer="0" w:header="0"/>
        </w:sectPr>
      </w:pPr>
    </w:p>
    <w:bookmarkStart w:id="5" w:name="page6"/>
    <w:bookmarkEnd w:id="5"/>
    <w:p>
      <w:pPr>
        <w:ind w:left="3640"/>
        <w:spacing w:after="0"/>
        <w:rPr>
          <w:sz w:val="20"/>
          <w:szCs w:val="20"/>
          <w:color w:val="auto"/>
        </w:rPr>
      </w:pPr>
      <w:r>
        <w:rPr>
          <w:rFonts w:ascii="Times New Roman" w:cs="Times New Roman" w:eastAsia="Times New Roman" w:hAnsi="Times New Roman"/>
          <w:sz w:val="18"/>
          <w:szCs w:val="18"/>
          <w:u w:val="single" w:color="auto"/>
          <w:color w:val="auto"/>
        </w:rPr>
        <w:t>PART I – FINANCIAL INFORMATION – CONTINUED</w:t>
      </w:r>
    </w:p>
    <w:p>
      <w:pPr>
        <w:spacing w:after="0" w:line="27" w:lineRule="exact"/>
        <w:rPr>
          <w:sz w:val="20"/>
          <w:szCs w:val="20"/>
          <w:color w:val="auto"/>
        </w:rPr>
      </w:pPr>
    </w:p>
    <w:p>
      <w:pPr>
        <w:ind w:left="4340"/>
        <w:spacing w:after="0"/>
        <w:rPr>
          <w:sz w:val="20"/>
          <w:szCs w:val="20"/>
          <w:color w:val="auto"/>
        </w:rPr>
      </w:pPr>
      <w:r>
        <w:rPr>
          <w:rFonts w:ascii="Times New Roman" w:cs="Times New Roman" w:eastAsia="Times New Roman" w:hAnsi="Times New Roman"/>
          <w:sz w:val="18"/>
          <w:szCs w:val="18"/>
          <w:u w:val="single" w:color="auto"/>
          <w:color w:val="auto"/>
        </w:rPr>
        <w:t>ITEM 1. FINANCIAL STATEMENTS</w:t>
      </w:r>
    </w:p>
    <w:p>
      <w:pPr>
        <w:spacing w:after="0" w:line="9" w:lineRule="exact"/>
        <w:rPr>
          <w:sz w:val="20"/>
          <w:szCs w:val="20"/>
          <w:color w:val="auto"/>
        </w:rPr>
      </w:pPr>
    </w:p>
    <w:p>
      <w:pPr>
        <w:ind w:left="270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ind w:left="3160"/>
        <w:spacing w:after="0"/>
        <w:rPr>
          <w:sz w:val="20"/>
          <w:szCs w:val="20"/>
          <w:color w:val="auto"/>
        </w:rPr>
      </w:pPr>
      <w:r>
        <w:rPr>
          <w:rFonts w:ascii="Times New Roman" w:cs="Times New Roman" w:eastAsia="Times New Roman" w:hAnsi="Times New Roman"/>
          <w:sz w:val="18"/>
          <w:szCs w:val="18"/>
          <w:u w:val="single" w:color="auto"/>
          <w:color w:val="auto"/>
        </w:rPr>
        <w:t>CONDENSED CONSOLIDATED STATEMENTS OF CASH FLOWS</w:t>
      </w:r>
    </w:p>
    <w:p>
      <w:pPr>
        <w:spacing w:after="0" w:line="9" w:lineRule="exact"/>
        <w:rPr>
          <w:sz w:val="20"/>
          <w:szCs w:val="20"/>
          <w:color w:val="auto"/>
        </w:rPr>
      </w:pPr>
    </w:p>
    <w:p>
      <w:pPr>
        <w:ind w:left="2540"/>
        <w:spacing w:after="0"/>
        <w:rPr>
          <w:sz w:val="20"/>
          <w:szCs w:val="20"/>
          <w:color w:val="auto"/>
        </w:rPr>
      </w:pPr>
      <w:r>
        <w:rPr>
          <w:rFonts w:ascii="Times New Roman" w:cs="Times New Roman" w:eastAsia="Times New Roman" w:hAnsi="Times New Roman"/>
          <w:sz w:val="18"/>
          <w:szCs w:val="18"/>
          <w:u w:val="single" w:color="auto"/>
          <w:color w:val="auto"/>
        </w:rPr>
        <w:t>FOR THE PERIODS ENDED MARCH 2, 2019 AND FEBRUARY 24, 2018 – UNAUDITED</w:t>
      </w:r>
    </w:p>
    <w:p>
      <w:pPr>
        <w:spacing w:after="0" w:line="9" w:lineRule="exact"/>
        <w:rPr>
          <w:sz w:val="20"/>
          <w:szCs w:val="20"/>
          <w:color w:val="auto"/>
        </w:rPr>
      </w:pPr>
    </w:p>
    <w:p>
      <w:pPr>
        <w:ind w:left="5440"/>
        <w:spacing w:after="0"/>
        <w:rPr>
          <w:sz w:val="20"/>
          <w:szCs w:val="20"/>
          <w:color w:val="auto"/>
        </w:rPr>
      </w:pPr>
      <w:r>
        <w:rPr>
          <w:rFonts w:ascii="Times New Roman" w:cs="Times New Roman" w:eastAsia="Times New Roman" w:hAnsi="Times New Roman"/>
          <w:sz w:val="18"/>
          <w:szCs w:val="18"/>
          <w:color w:val="auto"/>
        </w:rPr>
        <w:t>(In thousands)</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81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280" w:type="dxa"/>
            <w:vAlign w:val="bottom"/>
            <w:tcBorders>
              <w:bottom w:val="single" w:sz="8" w:color="auto"/>
            </w:tcBorders>
            <w:gridSpan w:val="4"/>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7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0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March, 2 2019</w:t>
            </w:r>
          </w:p>
        </w:tc>
        <w:tc>
          <w:tcPr>
            <w:tcW w:w="80" w:type="dxa"/>
            <w:vAlign w:val="bottom"/>
          </w:tcPr>
          <w:p>
            <w:pPr>
              <w:spacing w:after="0"/>
              <w:rPr>
                <w:sz w:val="18"/>
                <w:szCs w:val="18"/>
                <w:color w:val="auto"/>
              </w:rPr>
            </w:pP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February 24, 2018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Operating activities:</w:t>
            </w:r>
          </w:p>
        </w:tc>
        <w:tc>
          <w:tcPr>
            <w:tcW w:w="14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Net income (loss)</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608</w:t>
            </w:r>
          </w:p>
        </w:tc>
        <w:tc>
          <w:tcPr>
            <w:tcW w:w="140" w:type="dxa"/>
            <w:vAlign w:val="bottom"/>
          </w:tcPr>
          <w:p>
            <w:pPr>
              <w:spacing w:after="0"/>
              <w:rPr>
                <w:sz w:val="18"/>
                <w:szCs w:val="18"/>
                <w:color w:val="auto"/>
              </w:rPr>
            </w:pPr>
          </w:p>
        </w:tc>
        <w:tc>
          <w:tcPr>
            <w:tcW w:w="780" w:type="dxa"/>
            <w:vAlign w:val="bottom"/>
            <w:gridSpan w:val="2"/>
          </w:tcPr>
          <w:p>
            <w:pPr>
              <w:jc w:val="right"/>
              <w:ind w:right="53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(913)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Adjustments to reconcile net income (loss) to net cash used in operating activities:</w:t>
            </w:r>
          </w:p>
        </w:tc>
        <w:tc>
          <w:tcPr>
            <w:tcW w:w="14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3,370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3,304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Loss (gain) on sale of property and equipment</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Deferred income taxes</w:t>
            </w:r>
          </w:p>
        </w:tc>
        <w:tc>
          <w:tcPr>
            <w:tcW w:w="1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2,210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Other, net</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(209)</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1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Accounts receivable</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(4,084)</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Inventories</w:t>
            </w:r>
          </w:p>
        </w:tc>
        <w:tc>
          <w:tcPr>
            <w:tcW w:w="140" w:type="dxa"/>
            <w:vAlign w:val="bottom"/>
          </w:tcPr>
          <w:p>
            <w:pPr>
              <w:spacing w:after="0"/>
              <w:rPr>
                <w:sz w:val="18"/>
                <w:szCs w:val="18"/>
                <w:color w:val="auto"/>
              </w:rPr>
            </w:pPr>
          </w:p>
        </w:tc>
        <w:tc>
          <w:tcPr>
            <w:tcW w:w="15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(3,318)</w:t>
            </w: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(5,440)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Other current assets</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(3,163)</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(1,382)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Customer deposits</w:t>
            </w:r>
          </w:p>
        </w:tc>
        <w:tc>
          <w:tcPr>
            <w:tcW w:w="140" w:type="dxa"/>
            <w:vAlign w:val="bottom"/>
          </w:tcPr>
          <w:p>
            <w:pPr>
              <w:spacing w:after="0"/>
              <w:rPr>
                <w:sz w:val="18"/>
                <w:szCs w:val="18"/>
                <w:color w:val="auto"/>
              </w:rPr>
            </w:pPr>
          </w:p>
        </w:tc>
        <w:tc>
          <w:tcPr>
            <w:tcW w:w="15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(2,741)</w:t>
            </w: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Accounts payable and other liabilities</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(6,233)</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1,088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Times New Roman" w:cs="Times New Roman" w:eastAsia="Times New Roman" w:hAnsi="Times New Roman"/>
                <w:sz w:val="18"/>
                <w:szCs w:val="18"/>
                <w:b w:val="1"/>
                <w:bCs w:val="1"/>
                <w:color w:val="auto"/>
              </w:rPr>
              <w:t>Net cash used in operating activities</w:t>
            </w:r>
          </w:p>
        </w:tc>
        <w:tc>
          <w:tcPr>
            <w:tcW w:w="140" w:type="dxa"/>
            <w:vAlign w:val="bottom"/>
          </w:tcPr>
          <w:p>
            <w:pPr>
              <w:spacing w:after="0"/>
              <w:rPr>
                <w:sz w:val="18"/>
                <w:szCs w:val="18"/>
                <w:color w:val="auto"/>
              </w:rPr>
            </w:pPr>
          </w:p>
        </w:tc>
        <w:tc>
          <w:tcPr>
            <w:tcW w:w="15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(15,734)</w:t>
            </w: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(996)</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81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Investing activities:</w:t>
            </w:r>
          </w:p>
        </w:tc>
        <w:tc>
          <w:tcPr>
            <w:tcW w:w="1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Purchases of property and equipment</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(5,552)</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(3,958)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Cash paid for business acquisition</w:t>
            </w:r>
          </w:p>
        </w:tc>
        <w:tc>
          <w:tcPr>
            <w:tcW w:w="1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(15,556)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117</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(481)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tcPr>
          <w:p>
            <w:pPr>
              <w:ind w:left="320"/>
              <w:spacing w:after="0"/>
              <w:rPr>
                <w:sz w:val="20"/>
                <w:szCs w:val="20"/>
                <w:color w:val="auto"/>
              </w:rPr>
            </w:pPr>
            <w:r>
              <w:rPr>
                <w:rFonts w:ascii="Times New Roman" w:cs="Times New Roman" w:eastAsia="Times New Roman" w:hAnsi="Times New Roman"/>
                <w:sz w:val="18"/>
                <w:szCs w:val="18"/>
                <w:b w:val="1"/>
                <w:bCs w:val="1"/>
                <w:color w:val="auto"/>
              </w:rPr>
              <w:t>Net cash used in investing activities</w:t>
            </w:r>
          </w:p>
        </w:tc>
        <w:tc>
          <w:tcPr>
            <w:tcW w:w="140" w:type="dxa"/>
            <w:vAlign w:val="bottom"/>
          </w:tcPr>
          <w:p>
            <w:pPr>
              <w:spacing w:after="0"/>
              <w:rPr>
                <w:sz w:val="18"/>
                <w:szCs w:val="18"/>
                <w:color w:val="auto"/>
              </w:rPr>
            </w:pPr>
          </w:p>
        </w:tc>
        <w:tc>
          <w:tcPr>
            <w:tcW w:w="15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(5,435)</w:t>
            </w: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(19,995)</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810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Financing activities:</w:t>
            </w:r>
          </w:p>
        </w:tc>
        <w:tc>
          <w:tcPr>
            <w:tcW w:w="1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dividends</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(1,291)</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(4,942)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Proceeds from the exercise of stock options</w:t>
            </w:r>
          </w:p>
        </w:tc>
        <w:tc>
          <w:tcPr>
            <w:tcW w:w="1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issuance of common stock</w:t>
            </w:r>
          </w:p>
        </w:tc>
        <w:tc>
          <w:tcPr>
            <w:tcW w:w="14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Repurchases of common stock</w:t>
            </w:r>
          </w:p>
        </w:tc>
        <w:tc>
          <w:tcPr>
            <w:tcW w:w="140" w:type="dxa"/>
            <w:vAlign w:val="bottom"/>
          </w:tcPr>
          <w:p>
            <w:pPr>
              <w:spacing w:after="0"/>
              <w:rPr>
                <w:sz w:val="18"/>
                <w:szCs w:val="18"/>
                <w:color w:val="auto"/>
              </w:rPr>
            </w:pPr>
          </w:p>
        </w:tc>
        <w:tc>
          <w:tcPr>
            <w:tcW w:w="15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(1,012)</w:t>
            </w: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Taxes paid related to net share settlement of equity awards</w:t>
            </w:r>
          </w:p>
        </w:tc>
        <w:tc>
          <w:tcPr>
            <w:tcW w:w="14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color w:val="auto"/>
              </w:rPr>
              <w:t>Repayments of notes payable</w:t>
            </w:r>
          </w:p>
        </w:tc>
        <w:tc>
          <w:tcPr>
            <w:tcW w:w="140" w:type="dxa"/>
            <w:vAlign w:val="bottom"/>
          </w:tcPr>
          <w:p>
            <w:pPr>
              <w:spacing w:after="0"/>
              <w:rPr>
                <w:sz w:val="18"/>
                <w:szCs w:val="18"/>
                <w:color w:val="auto"/>
              </w:rPr>
            </w:pPr>
          </w:p>
        </w:tc>
        <w:tc>
          <w:tcPr>
            <w:tcW w:w="15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(109)</w:t>
            </w: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(3,024)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1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b w:val="1"/>
                <w:bCs w:val="1"/>
                <w:color w:val="auto"/>
              </w:rPr>
              <w:t>Net cash used in financing activities</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(2,313)</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(8,648)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81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81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Change in cash and cash equivalents</w:t>
            </w:r>
          </w:p>
        </w:tc>
        <w:tc>
          <w:tcPr>
            <w:tcW w:w="140" w:type="dxa"/>
            <w:vAlign w:val="bottom"/>
          </w:tcPr>
          <w:p>
            <w:pPr>
              <w:spacing w:after="0"/>
              <w:rPr>
                <w:sz w:val="18"/>
                <w:szCs w:val="18"/>
                <w:color w:val="auto"/>
              </w:rPr>
            </w:pPr>
          </w:p>
        </w:tc>
        <w:tc>
          <w:tcPr>
            <w:tcW w:w="15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(23,482)</w:t>
            </w: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(29,639)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 beginning of period</w:t>
            </w:r>
          </w:p>
        </w:tc>
        <w:tc>
          <w:tcPr>
            <w:tcW w:w="14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33,468</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53,949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1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 end of period</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9,986</w:t>
            </w:r>
          </w:p>
        </w:tc>
        <w:tc>
          <w:tcPr>
            <w:tcW w:w="140" w:type="dxa"/>
            <w:vAlign w:val="bottom"/>
          </w:tcPr>
          <w:p>
            <w:pPr>
              <w:spacing w:after="0"/>
              <w:rPr>
                <w:sz w:val="18"/>
                <w:szCs w:val="18"/>
                <w:color w:val="auto"/>
              </w:rPr>
            </w:pPr>
          </w:p>
        </w:tc>
        <w:tc>
          <w:tcPr>
            <w:tcW w:w="780" w:type="dxa"/>
            <w:vAlign w:val="bottom"/>
            <w:gridSpan w:val="2"/>
          </w:tcPr>
          <w:p>
            <w:pPr>
              <w:jc w:val="right"/>
              <w:ind w:right="53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24,310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to condensed consolidated financial statements are an integral part of the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823" w:right="23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Basis of Presentation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accompanying unaudited condensed consolidated financial statements have been prepared in accordance with the instructions to Form 10-Q and do not include all of the information and footnotes required by accounting principles generally accepted in the United States (“GAAP”) for complete financial statements. In our opinion, all adjustments (consisting of normal recurring adjustments) considered necessary for a fair presentation have been included.</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References to “ASC” included hereinafter refer to the Accounting Standards Codification established by the Financial Accounting Standards Board (“FASB”) as the source of authoritative GAAP.</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condensed consolidated financial statements include the accounts of Bassett Furniture Industries, Incorporated (“Bassett”, “we”, “our”, or the “Company”) and our wholly-owned subsidiaries of which we have a controlling interest. In accordance with ASC Topic 810, we have evaluated our licensees and certain other entities to determine whether they are variable interest entities (“VIEs”) of which we are the primary beneficiary and thus would require consolidation in our financial statements. To date we have concluded that none of our licensees nor any other of our counterparties represent VIEs.</w:t>
      </w:r>
    </w:p>
    <w:p>
      <w:pPr>
        <w:spacing w:after="0" w:line="180"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Revenue from the sale of furniture and accessories is reported in the accompanying condensed consolidated statements of income net of estimates for returns and allowances.</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Revenues from logistical services are generated by our wholly-owned subsidiary, Zenith Freight Lines, LLC (“Zenith”). Sales of logistical services from Zenith to our wholesale and retail segments have been eliminated in consolidation, and Zenith’s operating costs and expenses are included in selling, general and administrative expenses in our condensed consolidated statements of operations.</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fiscal year, which ends on the last Saturday of November, periodically results in a 53-week year instead of the normal 52 weeks. The current fiscal year ending November 30, 2019 is a 53-week year, with the additional week being included in our first fiscal quarter. Accordingly, the information presented below includes 14 weeks of operations for the quarter ended March 2, 2019 as compared with 13 weeks included in the quarter ended February 24, 2018.</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Lane Venture Acquisition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December 21, 2017, we purchased certain assets and assumed certain liabilities of Lane Venture from Heritage Home Group, LLC. Lane Venture is being operated as a component of our wholesale segment (see Note 3, Business Combinations). Results of operations for the Lane Venture business are included in our condensed consolidated statements of operations since the date of acquisition.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Recently Adopted Accounting Pronouncements</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Effective as of the beginning of fiscal 2019, we have adopted Accounting Standards Update No. 2016-15, Statement of Cash Flows (Topic 230): Classification of Certain Cash Receipts and Cash Payments. ASU 2016-15 addresses how certain cash receipts and cash payments are presented and classified in the statement of cash flows with the objective of reducing existing diversity in practice with respect to these items. Among the types of cash flows addressed are payments for costs related to debt prepayments or extinguishments, payments representing accreted interest on discounted debt, payments of contingent consideration after a business combination, proceeds from insurance claims and company-owned life insurance, and distributions from equity method investees, among others. The amendments in ASU 2016-15 are to be adopted retrospectively with comparative amounts in prior period cash flow statements reclassified to conform to the current period presentation. Accordingly, for the three months ended February 24, 2018 we have reclassified investments in Company-owned life insurance of $481 from cash flows from operating activities to cash flows from investing activities, and we have reclassified $78 representing the portion of a debt payment attributable to discount accretion from cash flows from financing activities to cash flows from operating activities.</w:t>
      </w:r>
    </w:p>
    <w:p>
      <w:pPr>
        <w:spacing w:after="0" w:line="18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During the first quarter of 2019, we also adopted Accounting Standards Update No. 2014-09, Revenue – Revenue from Contracts with Customers (Topic 606 or “ASC 606”). Refer to Note 14, Revenue Recognition, for more information regarding the impact of ASC 606 on our financial statements.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Interim Financial Presentation</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All intercompany accounts and transactions have been eliminated in the condensed consolidated financial statements. The results of operations for the three months ended March 4, 2019 are not necessarily indicative of results for the full fiscal year. These interim condensed consolidated financial statements should be read in conjunction with the consolidated financial statements and accompanying notes included in our Annual Report on Form 10-K for the year ended November 24, 2018.</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Income Taxes and Impact of the Tax Cuts and Jobs Act</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December 22, 2017, The Tax Cuts and Jobs Act (the “Act”) was signed into law. The Act reduced the federal statutory corporate income tax rate from 35% to 21% effective January 1, 2018 for all corporate taxpayers. Our effective tax rate for the three months ended March 2, 2019 differs from the federal statutory rate of 21% primarily due to the effects of state income taxes and various permanent differences.</w:t>
      </w:r>
    </w:p>
    <w:p>
      <w:pPr>
        <w:spacing w:after="0" w:line="176"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Because the Act specified the new 21% tax rate beginning on January 1, 2018, we were only subject to the reduced rate for 11 months of 2018. Therefore, we computed our income tax expense for fiscal 2018 using a blended federal statutory rate of 22.2%. However, our effective tax rate for the three months ended February 24, 2018 was 164.2% primarily due to a $2,157 discrete charge to re-measure our deferred tax assets at the lower statutory rate. Other items impacting our effective tax rate for the three months ended February 24, 2018 included the effects of state income taxes and various permanent differences including the favorable impacts of excess tax benefits on stock-based compensation of $181 and the Section 199: Domestic Production Activities Deduction, which was eliminated by the Act for our fiscal 2019 tax return.</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8" w:name="page9"/>
    <w:bookmarkEnd w:id="8"/>
    <w:p>
      <w:pPr>
        <w:jc w:val="center"/>
        <w:ind w:right="60"/>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Business Combinations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Acquisition of Lane Venture</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December 21, 2017, we purchased certain assets and assumed certain liabilities of Lane Venture from Heritage Home Group, LLC for $15,556 in cash.</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Lane Venture is a manufacturer and distributor of premium outdoor furniture, and is now being operated as a component of our wholesale segment.</w:t>
      </w:r>
    </w:p>
    <w:p>
      <w:pPr>
        <w:spacing w:after="0" w:line="207" w:lineRule="exact"/>
        <w:rPr>
          <w:sz w:val="20"/>
          <w:szCs w:val="20"/>
          <w:color w:val="auto"/>
        </w:rPr>
      </w:pPr>
    </w:p>
    <w:p>
      <w:pPr>
        <w:jc w:val="both"/>
        <w:ind w:right="60"/>
        <w:spacing w:after="0" w:line="282" w:lineRule="auto"/>
        <w:rPr>
          <w:sz w:val="20"/>
          <w:szCs w:val="20"/>
          <w:color w:val="auto"/>
        </w:rPr>
      </w:pPr>
      <w:r>
        <w:rPr>
          <w:rFonts w:ascii="Times New Roman" w:cs="Times New Roman" w:eastAsia="Times New Roman" w:hAnsi="Times New Roman"/>
          <w:sz w:val="18"/>
          <w:szCs w:val="18"/>
          <w:color w:val="auto"/>
        </w:rPr>
        <w:t>Under the acquisition method of accounting, the fair value of the consideration transferred was allocated to the tangible and intangible assets acquired and the liabilities assumed based on their estimated fair values as of the acquisition date with the remaining unallocated amount recorded as goodwill.</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allocation of the $15,556 all-cash purchase price to the acquired assets and liabilities of the Lane Venture business, was as follows:</w:t>
      </w:r>
    </w:p>
    <w:p>
      <w:pPr>
        <w:spacing w:after="0" w:line="244"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9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Allocation of the fair value of consideration transferred:</w:t>
            </w:r>
          </w:p>
        </w:tc>
        <w:tc>
          <w:tcPr>
            <w:tcW w:w="5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200" w:type="dxa"/>
            <w:vAlign w:val="bottom"/>
          </w:tcPr>
          <w:p>
            <w:pPr>
              <w:spacing w:after="0"/>
              <w:rPr>
                <w:sz w:val="20"/>
                <w:szCs w:val="20"/>
                <w:color w:val="auto"/>
              </w:rPr>
            </w:pPr>
            <w:r>
              <w:rPr>
                <w:rFonts w:ascii="Times New Roman" w:cs="Times New Roman" w:eastAsia="Times New Roman" w:hAnsi="Times New Roman"/>
                <w:sz w:val="18"/>
                <w:szCs w:val="18"/>
                <w:color w:val="auto"/>
              </w:rPr>
              <w:t>Identifiable assets acquired:</w:t>
            </w:r>
          </w:p>
        </w:tc>
        <w:tc>
          <w:tcPr>
            <w:tcW w:w="5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92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Accounts receivable, net of reserve (Note 5)</w:t>
            </w:r>
          </w:p>
        </w:tc>
        <w:tc>
          <w:tcPr>
            <w:tcW w:w="5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1,507</w:t>
            </w:r>
          </w:p>
        </w:tc>
        <w:tc>
          <w:tcPr>
            <w:tcW w:w="100" w:type="dxa"/>
            <w:vAlign w:val="bottom"/>
            <w:shd w:val="clear" w:color="auto" w:fill="CCEEFF"/>
          </w:tcPr>
          <w:p>
            <w:pPr>
              <w:spacing w:after="0"/>
              <w:rPr>
                <w:sz w:val="18"/>
                <w:szCs w:val="18"/>
                <w:color w:val="auto"/>
              </w:rPr>
            </w:pPr>
          </w:p>
        </w:tc>
      </w:tr>
      <w:tr>
        <w:trPr>
          <w:trHeight w:val="216"/>
        </w:trPr>
        <w:tc>
          <w:tcPr>
            <w:tcW w:w="92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Inventory, net of reserve (Note 6)</w:t>
            </w:r>
          </w:p>
        </w:tc>
        <w:tc>
          <w:tcPr>
            <w:tcW w:w="5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3,718</w:t>
            </w:r>
          </w:p>
        </w:tc>
        <w:tc>
          <w:tcPr>
            <w:tcW w:w="100" w:type="dxa"/>
            <w:vAlign w:val="bottom"/>
          </w:tcPr>
          <w:p>
            <w:pPr>
              <w:spacing w:after="0"/>
              <w:rPr>
                <w:sz w:val="18"/>
                <w:szCs w:val="18"/>
                <w:color w:val="auto"/>
              </w:rPr>
            </w:pPr>
          </w:p>
        </w:tc>
      </w:tr>
      <w:tr>
        <w:trPr>
          <w:trHeight w:val="216"/>
        </w:trPr>
        <w:tc>
          <w:tcPr>
            <w:tcW w:w="92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5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100" w:type="dxa"/>
            <w:vAlign w:val="bottom"/>
            <w:shd w:val="clear" w:color="auto" w:fill="CCEEFF"/>
          </w:tcPr>
          <w:p>
            <w:pPr>
              <w:spacing w:after="0"/>
              <w:rPr>
                <w:sz w:val="18"/>
                <w:szCs w:val="18"/>
                <w:color w:val="auto"/>
              </w:rPr>
            </w:pPr>
          </w:p>
        </w:tc>
      </w:tr>
      <w:tr>
        <w:trPr>
          <w:trHeight w:val="216"/>
        </w:trPr>
        <w:tc>
          <w:tcPr>
            <w:tcW w:w="92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Intangible assets</w:t>
            </w:r>
          </w:p>
        </w:tc>
        <w:tc>
          <w:tcPr>
            <w:tcW w:w="5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7,360</w:t>
            </w:r>
          </w:p>
        </w:tc>
        <w:tc>
          <w:tcPr>
            <w:tcW w:w="100" w:type="dxa"/>
            <w:vAlign w:val="bottom"/>
          </w:tcPr>
          <w:p>
            <w:pPr>
              <w:spacing w:after="0"/>
              <w:rPr>
                <w:sz w:val="18"/>
                <w:szCs w:val="18"/>
                <w:color w:val="auto"/>
              </w:rPr>
            </w:pPr>
          </w:p>
        </w:tc>
      </w:tr>
      <w:tr>
        <w:trPr>
          <w:trHeight w:val="210"/>
        </w:trPr>
        <w:tc>
          <w:tcPr>
            <w:tcW w:w="92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Total identifiable assets acquired</w:t>
            </w:r>
          </w:p>
        </w:tc>
        <w:tc>
          <w:tcPr>
            <w:tcW w:w="5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12,622</w:t>
            </w:r>
          </w:p>
        </w:tc>
        <w:tc>
          <w:tcPr>
            <w:tcW w:w="100" w:type="dxa"/>
            <w:vAlign w:val="bottom"/>
            <w:shd w:val="clear" w:color="auto" w:fill="CCEEFF"/>
          </w:tcPr>
          <w:p>
            <w:pPr>
              <w:spacing w:after="0"/>
              <w:rPr>
                <w:sz w:val="18"/>
                <w:szCs w:val="18"/>
                <w:color w:val="auto"/>
              </w:rPr>
            </w:pPr>
          </w:p>
        </w:tc>
      </w:tr>
      <w:tr>
        <w:trPr>
          <w:trHeight w:val="216"/>
        </w:trPr>
        <w:tc>
          <w:tcPr>
            <w:tcW w:w="9200" w:type="dxa"/>
            <w:vAlign w:val="bottom"/>
          </w:tcPr>
          <w:p>
            <w:pPr>
              <w:spacing w:after="0"/>
              <w:rPr>
                <w:sz w:val="20"/>
                <w:szCs w:val="20"/>
                <w:color w:val="auto"/>
              </w:rPr>
            </w:pPr>
            <w:r>
              <w:rPr>
                <w:rFonts w:ascii="Times New Roman" w:cs="Times New Roman" w:eastAsia="Times New Roman" w:hAnsi="Times New Roman"/>
                <w:sz w:val="18"/>
                <w:szCs w:val="18"/>
                <w:color w:val="auto"/>
              </w:rPr>
              <w:t>Liabilities assumed:</w:t>
            </w:r>
          </w:p>
        </w:tc>
        <w:tc>
          <w:tcPr>
            <w:tcW w:w="5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92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Accounts payable</w:t>
            </w:r>
          </w:p>
        </w:tc>
        <w:tc>
          <w:tcPr>
            <w:tcW w:w="5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(357)</w:t>
            </w:r>
          </w:p>
        </w:tc>
      </w:tr>
      <w:tr>
        <w:trPr>
          <w:trHeight w:val="216"/>
        </w:trPr>
        <w:tc>
          <w:tcPr>
            <w:tcW w:w="92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Other accrued liabilities</w:t>
            </w:r>
          </w:p>
        </w:tc>
        <w:tc>
          <w:tcPr>
            <w:tcW w:w="560" w:type="dxa"/>
            <w:vAlign w:val="bottom"/>
          </w:tcPr>
          <w:p>
            <w:pPr>
              <w:spacing w:after="0"/>
              <w:rPr>
                <w:sz w:val="18"/>
                <w:szCs w:val="18"/>
                <w:color w:val="auto"/>
              </w:rPr>
            </w:pPr>
          </w:p>
        </w:tc>
        <w:tc>
          <w:tcPr>
            <w:tcW w:w="10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(852)</w:t>
            </w:r>
          </w:p>
        </w:tc>
      </w:tr>
      <w:tr>
        <w:trPr>
          <w:trHeight w:val="20"/>
        </w:trPr>
        <w:tc>
          <w:tcPr>
            <w:tcW w:w="920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92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Total liabilities assumed</w:t>
            </w:r>
          </w:p>
        </w:tc>
        <w:tc>
          <w:tcPr>
            <w:tcW w:w="5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(1,209)</w:t>
            </w:r>
          </w:p>
        </w:tc>
      </w:tr>
      <w:tr>
        <w:trPr>
          <w:trHeight w:val="210"/>
        </w:trPr>
        <w:tc>
          <w:tcPr>
            <w:tcW w:w="9200" w:type="dxa"/>
            <w:vAlign w:val="bottom"/>
            <w:tcBorders>
              <w:top w:val="single" w:sz="8" w:color="CCEEFF"/>
            </w:tcBorders>
          </w:tcPr>
          <w:p>
            <w:pPr>
              <w:ind w:left="320"/>
              <w:spacing w:after="0"/>
              <w:rPr>
                <w:sz w:val="20"/>
                <w:szCs w:val="20"/>
                <w:color w:val="auto"/>
              </w:rPr>
            </w:pPr>
            <w:r>
              <w:rPr>
                <w:rFonts w:ascii="Times New Roman" w:cs="Times New Roman" w:eastAsia="Times New Roman" w:hAnsi="Times New Roman"/>
                <w:sz w:val="18"/>
                <w:szCs w:val="18"/>
                <w:color w:val="auto"/>
              </w:rPr>
              <w:t>Net identifiable assets acquired</w:t>
            </w:r>
          </w:p>
        </w:tc>
        <w:tc>
          <w:tcPr>
            <w:tcW w:w="5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11,413</w:t>
            </w:r>
          </w:p>
        </w:tc>
        <w:tc>
          <w:tcPr>
            <w:tcW w:w="100" w:type="dxa"/>
            <w:vAlign w:val="bottom"/>
            <w:tcBorders>
              <w:top w:val="single" w:sz="8" w:color="CCEEFF"/>
            </w:tcBorders>
          </w:tcPr>
          <w:p>
            <w:pPr>
              <w:spacing w:after="0"/>
              <w:rPr>
                <w:sz w:val="18"/>
                <w:szCs w:val="18"/>
                <w:color w:val="auto"/>
              </w:rPr>
            </w:pPr>
          </w:p>
        </w:tc>
      </w:tr>
      <w:tr>
        <w:trPr>
          <w:trHeight w:val="216"/>
        </w:trPr>
        <w:tc>
          <w:tcPr>
            <w:tcW w:w="9200" w:type="dxa"/>
            <w:vAlign w:val="bottom"/>
            <w:tcBorders>
              <w:bottom w:val="single" w:sz="8" w:color="CCEEFF"/>
            </w:tcBorders>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Goodwill</w:t>
            </w:r>
          </w:p>
        </w:tc>
        <w:tc>
          <w:tcPr>
            <w:tcW w:w="5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4,143</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92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Total net assets acquired</w:t>
            </w:r>
          </w:p>
        </w:tc>
        <w:tc>
          <w:tcPr>
            <w:tcW w:w="56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15,556</w:t>
            </w:r>
          </w:p>
        </w:tc>
        <w:tc>
          <w:tcPr>
            <w:tcW w:w="100" w:type="dxa"/>
            <w:vAlign w:val="bottom"/>
          </w:tcPr>
          <w:p>
            <w:pPr>
              <w:spacing w:after="0"/>
              <w:rPr>
                <w:sz w:val="18"/>
                <w:szCs w:val="18"/>
                <w:color w:val="auto"/>
              </w:rPr>
            </w:pPr>
          </w:p>
        </w:tc>
      </w:tr>
      <w:tr>
        <w:trPr>
          <w:trHeight w:val="20"/>
        </w:trPr>
        <w:tc>
          <w:tcPr>
            <w:tcW w:w="92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right="60"/>
        <w:spacing w:after="0" w:line="261" w:lineRule="auto"/>
        <w:rPr>
          <w:sz w:val="20"/>
          <w:szCs w:val="20"/>
          <w:color w:val="auto"/>
        </w:rPr>
      </w:pPr>
      <w:r>
        <w:rPr>
          <w:rFonts w:ascii="Times New Roman" w:cs="Times New Roman" w:eastAsia="Times New Roman" w:hAnsi="Times New Roman"/>
          <w:sz w:val="18"/>
          <w:szCs w:val="18"/>
          <w:color w:val="auto"/>
        </w:rPr>
        <w:t>Goodwill was determined based on the residual difference between the fair value of the consideration transferred and the value assigned to the tangible and intangible assets and liabilities recognized in connection with the acquisition and is deductible for tax purposes. Among the factors that contributed to a purchase price resulting in the recognition of goodwill are the expected synergies arising from combining the Company’s manufacturing and distribution capabilities with Lane Venture’s position in the outdoor furnishings market, a segment of the market not previously served by Bassett.</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portion of the fair value of the consideration transferred was assigned to identifiable intangible assets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00" w:type="dxa"/>
            <w:vAlign w:val="bottom"/>
          </w:tcPr>
          <w:p>
            <w:pPr>
              <w:spacing w:after="0"/>
              <w:rPr>
                <w:sz w:val="18"/>
                <w:szCs w:val="18"/>
                <w:color w:val="auto"/>
              </w:rPr>
            </w:pPr>
          </w:p>
        </w:tc>
        <w:tc>
          <w:tcPr>
            <w:tcW w:w="7060" w:type="dxa"/>
            <w:vAlign w:val="bottom"/>
          </w:tcPr>
          <w:p>
            <w:pPr>
              <w:spacing w:after="0"/>
              <w:rPr>
                <w:sz w:val="18"/>
                <w:szCs w:val="18"/>
                <w:color w:val="auto"/>
              </w:rPr>
            </w:pPr>
          </w:p>
        </w:tc>
        <w:tc>
          <w:tcPr>
            <w:tcW w:w="1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Useful Life</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1"/>
        </w:trPr>
        <w:tc>
          <w:tcPr>
            <w:tcW w:w="79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5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6"/>
              </w:rPr>
              <w:t>In Years</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Fair Value</w:t>
            </w:r>
          </w:p>
        </w:tc>
      </w:tr>
      <w:tr>
        <w:trPr>
          <w:trHeight w:val="20"/>
        </w:trPr>
        <w:tc>
          <w:tcPr>
            <w:tcW w:w="900" w:type="dxa"/>
            <w:vAlign w:val="bottom"/>
            <w:tcBorders>
              <w:top w:val="single" w:sz="8" w:color="auto"/>
            </w:tcBorders>
          </w:tcPr>
          <w:p>
            <w:pPr>
              <w:spacing w:after="0" w:line="20" w:lineRule="exact"/>
              <w:rPr>
                <w:sz w:val="1"/>
                <w:szCs w:val="1"/>
                <w:color w:val="auto"/>
              </w:rPr>
            </w:pPr>
          </w:p>
        </w:tc>
        <w:tc>
          <w:tcPr>
            <w:tcW w:w="706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197"/>
        </w:trPr>
        <w:tc>
          <w:tcPr>
            <w:tcW w:w="900" w:type="dxa"/>
            <w:vAlign w:val="bottom"/>
          </w:tcPr>
          <w:p>
            <w:pPr>
              <w:spacing w:after="0"/>
              <w:rPr>
                <w:sz w:val="17"/>
                <w:szCs w:val="17"/>
                <w:color w:val="auto"/>
              </w:rPr>
            </w:pPr>
          </w:p>
        </w:tc>
        <w:tc>
          <w:tcPr>
            <w:tcW w:w="706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r>
      <w:tr>
        <w:trPr>
          <w:trHeight w:val="216"/>
        </w:trPr>
        <w:tc>
          <w:tcPr>
            <w:tcW w:w="796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Trade name</w:t>
            </w:r>
          </w:p>
        </w:tc>
        <w:tc>
          <w:tcPr>
            <w:tcW w:w="15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Indefinite</w:t>
            </w:r>
          </w:p>
        </w:tc>
        <w:tc>
          <w:tcPr>
            <w:tcW w:w="4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6,848</w:t>
            </w:r>
          </w:p>
        </w:tc>
        <w:tc>
          <w:tcPr>
            <w:tcW w:w="120" w:type="dxa"/>
            <w:vAlign w:val="bottom"/>
            <w:shd w:val="clear" w:color="auto" w:fill="CCEEFF"/>
          </w:tcPr>
          <w:p>
            <w:pPr>
              <w:spacing w:after="0"/>
              <w:rPr>
                <w:sz w:val="18"/>
                <w:szCs w:val="18"/>
                <w:color w:val="auto"/>
              </w:rPr>
            </w:pPr>
          </w:p>
        </w:tc>
      </w:tr>
      <w:tr>
        <w:trPr>
          <w:trHeight w:val="216"/>
        </w:trPr>
        <w:tc>
          <w:tcPr>
            <w:tcW w:w="796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Customer relationships</w:t>
            </w:r>
          </w:p>
        </w:tc>
        <w:tc>
          <w:tcPr>
            <w:tcW w:w="1560" w:type="dxa"/>
            <w:vAlign w:val="bottom"/>
          </w:tcPr>
          <w:p>
            <w:pPr>
              <w:jc w:val="right"/>
              <w:ind w:right="590"/>
              <w:spacing w:after="0"/>
              <w:rPr>
                <w:sz w:val="20"/>
                <w:szCs w:val="20"/>
                <w:color w:val="auto"/>
              </w:rPr>
            </w:pPr>
            <w:r>
              <w:rPr>
                <w:rFonts w:ascii="Times New Roman" w:cs="Times New Roman" w:eastAsia="Times New Roman" w:hAnsi="Times New Roman"/>
                <w:sz w:val="18"/>
                <w:szCs w:val="18"/>
                <w:color w:val="auto"/>
              </w:rPr>
              <w:t>9</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512</w:t>
            </w:r>
          </w:p>
        </w:tc>
      </w:tr>
      <w:tr>
        <w:trPr>
          <w:trHeight w:val="210"/>
        </w:trPr>
        <w:tc>
          <w:tcPr>
            <w:tcW w:w="900" w:type="dxa"/>
            <w:vAlign w:val="bottom"/>
            <w:shd w:val="clear" w:color="auto" w:fill="CCEEFF"/>
          </w:tcPr>
          <w:p>
            <w:pPr>
              <w:spacing w:after="0"/>
              <w:rPr>
                <w:sz w:val="18"/>
                <w:szCs w:val="18"/>
                <w:color w:val="auto"/>
              </w:rPr>
            </w:pPr>
          </w:p>
        </w:tc>
        <w:tc>
          <w:tcPr>
            <w:tcW w:w="706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796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Total acquired intangible assets</w:t>
            </w:r>
          </w:p>
        </w:tc>
        <w:tc>
          <w:tcPr>
            <w:tcW w:w="1560" w:type="dxa"/>
            <w:vAlign w:val="bottom"/>
          </w:tcPr>
          <w:p>
            <w:pPr>
              <w:spacing w:after="0"/>
              <w:rPr>
                <w:sz w:val="18"/>
                <w:szCs w:val="18"/>
                <w:color w:val="auto"/>
              </w:rPr>
            </w:pPr>
          </w:p>
        </w:tc>
        <w:tc>
          <w:tcPr>
            <w:tcW w:w="4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7,360</w:t>
            </w:r>
          </w:p>
        </w:tc>
        <w:tc>
          <w:tcPr>
            <w:tcW w:w="120" w:type="dxa"/>
            <w:vAlign w:val="bottom"/>
          </w:tcPr>
          <w:p>
            <w:pPr>
              <w:spacing w:after="0"/>
              <w:rPr>
                <w:sz w:val="18"/>
                <w:szCs w:val="18"/>
                <w:color w:val="auto"/>
              </w:rPr>
            </w:pPr>
          </w:p>
        </w:tc>
      </w:tr>
      <w:tr>
        <w:trPr>
          <w:trHeight w:val="20"/>
        </w:trPr>
        <w:tc>
          <w:tcPr>
            <w:tcW w:w="900" w:type="dxa"/>
            <w:vAlign w:val="bottom"/>
          </w:tcPr>
          <w:p>
            <w:pPr>
              <w:spacing w:after="0" w:line="20" w:lineRule="exact"/>
              <w:rPr>
                <w:sz w:val="1"/>
                <w:szCs w:val="1"/>
                <w:color w:val="auto"/>
              </w:rPr>
            </w:pPr>
          </w:p>
        </w:tc>
        <w:tc>
          <w:tcPr>
            <w:tcW w:w="706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right="60"/>
        <w:spacing w:after="0" w:line="282" w:lineRule="auto"/>
        <w:rPr>
          <w:sz w:val="20"/>
          <w:szCs w:val="20"/>
          <w:color w:val="auto"/>
        </w:rPr>
      </w:pPr>
      <w:r>
        <w:rPr>
          <w:rFonts w:ascii="Times New Roman" w:cs="Times New Roman" w:eastAsia="Times New Roman" w:hAnsi="Times New Roman"/>
          <w:sz w:val="18"/>
          <w:szCs w:val="18"/>
          <w:color w:val="auto"/>
        </w:rPr>
        <w:t>The finite-lived intangible asset is being amortized on a straight-line basis over its estimated useful life. The indefinite-lived intangible asset and goodwill are not amortized but will be tested for impairment annually or between annual tests if an indicator of impairment exists.</w:t>
      </w:r>
    </w:p>
    <w:p>
      <w:pPr>
        <w:spacing w:after="0" w:line="162" w:lineRule="exact"/>
        <w:rPr>
          <w:sz w:val="20"/>
          <w:szCs w:val="20"/>
          <w:color w:val="auto"/>
        </w:rPr>
      </w:pPr>
    </w:p>
    <w:p>
      <w:pPr>
        <w:jc w:val="both"/>
        <w:ind w:right="60"/>
        <w:spacing w:after="0" w:line="282" w:lineRule="auto"/>
        <w:rPr>
          <w:sz w:val="20"/>
          <w:szCs w:val="20"/>
          <w:color w:val="auto"/>
        </w:rPr>
      </w:pPr>
      <w:r>
        <w:rPr>
          <w:rFonts w:ascii="Times New Roman" w:cs="Times New Roman" w:eastAsia="Times New Roman" w:hAnsi="Times New Roman"/>
          <w:sz w:val="18"/>
          <w:szCs w:val="18"/>
          <w:color w:val="auto"/>
        </w:rPr>
        <w:t xml:space="preserve">The fair values of consideration transferred and net assets acquired were determined using a combination of Level 2 and Level 3 inputs as specified in the fair value hierarchy in ASC 820, </w:t>
      </w:r>
      <w:r>
        <w:rPr>
          <w:rFonts w:ascii="Times New Roman" w:cs="Times New Roman" w:eastAsia="Times New Roman" w:hAnsi="Times New Roman"/>
          <w:sz w:val="18"/>
          <w:szCs w:val="18"/>
          <w:i w:val="1"/>
          <w:iCs w:val="1"/>
          <w:color w:val="auto"/>
        </w:rPr>
        <w:t>Fair Value Measurements and Disclosures</w:t>
      </w:r>
      <w:r>
        <w:rPr>
          <w:rFonts w:ascii="Times New Roman" w:cs="Times New Roman" w:eastAsia="Times New Roman" w:hAnsi="Times New Roman"/>
          <w:sz w:val="18"/>
          <w:szCs w:val="18"/>
          <w:color w:val="auto"/>
        </w:rPr>
        <w:t>. See Note 4.</w:t>
      </w:r>
    </w:p>
    <w:p>
      <w:pPr>
        <w:spacing w:after="0" w:line="162" w:lineRule="exact"/>
        <w:rPr>
          <w:sz w:val="20"/>
          <w:szCs w:val="20"/>
          <w:color w:val="auto"/>
        </w:rPr>
      </w:pPr>
    </w:p>
    <w:p>
      <w:pPr>
        <w:jc w:val="both"/>
        <w:ind w:right="60"/>
        <w:spacing w:after="0" w:line="266" w:lineRule="auto"/>
        <w:rPr>
          <w:sz w:val="20"/>
          <w:szCs w:val="20"/>
          <w:color w:val="auto"/>
        </w:rPr>
      </w:pPr>
      <w:r>
        <w:rPr>
          <w:rFonts w:ascii="Times New Roman" w:cs="Times New Roman" w:eastAsia="Times New Roman" w:hAnsi="Times New Roman"/>
          <w:sz w:val="18"/>
          <w:szCs w:val="18"/>
          <w:color w:val="auto"/>
        </w:rPr>
        <w:t>Acquisition costs related to the Lane Venture acquisition totaled $228 during the three months ended February 24, 2018, and are included in selling, general and administrative expenses in the condensed consolidated statements of operations. The acquisition costs are primarily related to legal, accounting and valuation services.</w:t>
      </w:r>
    </w:p>
    <w:p>
      <w:pPr>
        <w:spacing w:after="0" w:line="176"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color w:val="auto"/>
        </w:rPr>
        <w:t>9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80"/>
          </w:cols>
          <w:pgMar w:left="240" w:top="580" w:right="179" w:bottom="1440" w:gutter="0" w:footer="0" w:header="0"/>
        </w:sectPr>
      </w:pPr>
    </w:p>
    <w:bookmarkStart w:id="9" w:name="page10"/>
    <w:bookmarkEnd w:id="9"/>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revenue and operating results of Lane Venture that are included in our condensed consolidated statement of operations for the three months ended March 2, 2019 were not material. The revenue of Lane Venture from the date of acquisition through February 24, 2018 was also not material. The operating loss from the date of acquisition through February 24, 2018 was $426, or approximately $0.03 per share, net of income tax benefit, and includes the acquisition costs noted above. The pro forma results of operations for the acquisition of Lane Venture have not been presented because they are not material to our consolidated results of operations for the three months ended February 24, 2018.</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Financial Instruments and Fair Value Measurements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Financial Instruments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financial instruments include cash and cash equivalents, short-term investments in certificates of deposit, accounts receivable, cost method investments, accounts payable and notes payable. Because of their short maturities, the carrying amounts of cash and cash equivalents, short-term investments in certificates of deposit, accounts receivable, and accounts payable approximate fair value.</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Investments</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short-term investments of $22,643 at March 2, 2019 and November 24, 2018 consisted of certificates of deposit (CDs). At March 2, 2019, the CDs had original terms averaging eleven months, bearing interest at rates ranging from 0.85% to 2.70%. At March 2, 2019, the weighted average remaining time to maturity of the CDs was approximately five months and the weighted average yield of the CDs was approximately 2.44%. Each CD is placed with a federally insured financial institution and all deposits are within federal deposit insurance limits. Due to the nature of these investments and their relatively short maturities, the carrying amount of the short-term investments at March 2, 2019 and November 24, 2018 approximates their fair value.</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Fair Value Measurement</w:t>
      </w:r>
    </w:p>
    <w:p>
      <w:pPr>
        <w:spacing w:after="0" w:line="225"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8"/>
          <w:szCs w:val="18"/>
          <w:color w:val="auto"/>
        </w:rPr>
        <w:t xml:space="preserve">The Company accounts for items measured at fair value in accordance with ASC Topic 820, </w:t>
      </w:r>
      <w:r>
        <w:rPr>
          <w:rFonts w:ascii="Times New Roman" w:cs="Times New Roman" w:eastAsia="Times New Roman" w:hAnsi="Times New Roman"/>
          <w:sz w:val="18"/>
          <w:szCs w:val="18"/>
          <w:i w:val="1"/>
          <w:iCs w:val="1"/>
          <w:color w:val="auto"/>
        </w:rPr>
        <w:t>Fair Value Measurements and Disclosures</w:t>
      </w:r>
      <w:r>
        <w:rPr>
          <w:rFonts w:ascii="Times New Roman" w:cs="Times New Roman" w:eastAsia="Times New Roman" w:hAnsi="Times New Roman"/>
          <w:sz w:val="18"/>
          <w:szCs w:val="18"/>
          <w:color w:val="auto"/>
        </w:rPr>
        <w:t>. ASC 820’s valuation techniques are based on observable and unobservable inputs. Observable inputs reflect readily obtainable data from independent sources, while unobservable inputs reflect our market assumptions. ASC 820 classifies these inputs into the following hierarchy:</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Level 1 Inputs</w:t>
      </w:r>
      <w:r>
        <w:rPr>
          <w:rFonts w:ascii="Times New Roman" w:cs="Times New Roman" w:eastAsia="Times New Roman" w:hAnsi="Times New Roman"/>
          <w:sz w:val="18"/>
          <w:szCs w:val="18"/>
          <w:color w:val="auto"/>
        </w:rPr>
        <w:t>– Quoted prices for identical instruments in active markets.</w:t>
      </w:r>
    </w:p>
    <w:p>
      <w:pPr>
        <w:spacing w:after="0" w:line="225" w:lineRule="exact"/>
        <w:rPr>
          <w:sz w:val="20"/>
          <w:szCs w:val="20"/>
          <w:color w:val="auto"/>
        </w:rPr>
      </w:pPr>
    </w:p>
    <w:p>
      <w:pPr>
        <w:jc w:val="both"/>
        <w:spacing w:after="0" w:line="284" w:lineRule="auto"/>
        <w:rPr>
          <w:sz w:val="20"/>
          <w:szCs w:val="20"/>
          <w:color w:val="auto"/>
        </w:rPr>
      </w:pPr>
      <w:r>
        <w:rPr>
          <w:rFonts w:ascii="Times New Roman" w:cs="Times New Roman" w:eastAsia="Times New Roman" w:hAnsi="Times New Roman"/>
          <w:sz w:val="18"/>
          <w:szCs w:val="18"/>
          <w:i w:val="1"/>
          <w:iCs w:val="1"/>
          <w:color w:val="auto"/>
        </w:rPr>
        <w:t>Level 2 Inputs</w:t>
      </w:r>
      <w:r>
        <w:rPr>
          <w:rFonts w:ascii="Times New Roman" w:cs="Times New Roman" w:eastAsia="Times New Roman" w:hAnsi="Times New Roman"/>
          <w:sz w:val="18"/>
          <w:szCs w:val="18"/>
          <w:color w:val="auto"/>
        </w:rPr>
        <w:t>– Quoted prices for similar instruments in active markets; quoted prices for identical or similar instruments in markets that are not active;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model-derived valuations whose inputs are observable or whose significant value drivers are observable.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Level 3 Inputs</w:t>
      </w:r>
      <w:r>
        <w:rPr>
          <w:rFonts w:ascii="Times New Roman" w:cs="Times New Roman" w:eastAsia="Times New Roman" w:hAnsi="Times New Roman"/>
          <w:sz w:val="18"/>
          <w:szCs w:val="18"/>
          <w:color w:val="auto"/>
        </w:rPr>
        <w:t>– Instruments with primarily unobservable value drivers.</w:t>
      </w:r>
    </w:p>
    <w:p>
      <w:pPr>
        <w:spacing w:after="0" w:line="200" w:lineRule="exact"/>
        <w:rPr>
          <w:sz w:val="20"/>
          <w:szCs w:val="20"/>
          <w:color w:val="auto"/>
        </w:rPr>
      </w:pPr>
    </w:p>
    <w:p>
      <w:pPr>
        <w:spacing w:after="0" w:line="24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believe that the carrying amounts of our current assets and current liabilities approximate fair value due to the short-term nature of these items. The recurring estimate of the fair value of our notes payable for disclosure purposes (see Note 8) involves Level 3 inputs. Our primary non-recurring fair value estimates typically involve business acquisitions (Note 3) which involve a combination of Level 2 and Level 3 inputs.</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10" w:name="page11"/>
    <w:bookmarkEnd w:id="10"/>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5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5. Accounts Receivable</w:t>
            </w:r>
          </w:p>
        </w:tc>
        <w:tc>
          <w:tcPr>
            <w:tcW w:w="2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75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Accounts receivable consists of the following:</w:t>
            </w:r>
          </w:p>
        </w:tc>
        <w:tc>
          <w:tcPr>
            <w:tcW w:w="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4"/>
        </w:trPr>
        <w:tc>
          <w:tcPr>
            <w:tcW w:w="660" w:type="dxa"/>
            <w:vAlign w:val="bottom"/>
          </w:tcPr>
          <w:p>
            <w:pPr>
              <w:spacing w:after="0"/>
              <w:rPr>
                <w:sz w:val="24"/>
                <w:szCs w:val="24"/>
                <w:color w:val="auto"/>
              </w:rPr>
            </w:pPr>
          </w:p>
        </w:tc>
        <w:tc>
          <w:tcPr>
            <w:tcW w:w="6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0" w:type="dxa"/>
            <w:vAlign w:val="bottom"/>
            <w:gridSpan w:val="2"/>
          </w:tcPr>
          <w:p>
            <w:pPr>
              <w:jc w:val="right"/>
              <w:ind w:right="580"/>
              <w:spacing w:after="0"/>
              <w:rPr>
                <w:sz w:val="20"/>
                <w:szCs w:val="20"/>
                <w:color w:val="auto"/>
              </w:rPr>
            </w:pPr>
            <w:r>
              <w:rPr>
                <w:rFonts w:ascii="Times New Roman" w:cs="Times New Roman" w:eastAsia="Times New Roman" w:hAnsi="Times New Roman"/>
                <w:sz w:val="18"/>
                <w:szCs w:val="18"/>
                <w:color w:val="auto"/>
              </w:rPr>
              <w:t>March 2,</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6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color w:val="auto"/>
              </w:rPr>
              <w:t>November 24,</w:t>
            </w:r>
          </w:p>
        </w:tc>
      </w:tr>
      <w:tr>
        <w:trPr>
          <w:trHeight w:val="234"/>
        </w:trPr>
        <w:tc>
          <w:tcPr>
            <w:tcW w:w="660" w:type="dxa"/>
            <w:vAlign w:val="bottom"/>
          </w:tcPr>
          <w:p>
            <w:pPr>
              <w:spacing w:after="0"/>
              <w:rPr>
                <w:sz w:val="20"/>
                <w:szCs w:val="20"/>
                <w:color w:val="auto"/>
              </w:rPr>
            </w:pPr>
          </w:p>
        </w:tc>
        <w:tc>
          <w:tcPr>
            <w:tcW w:w="68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color w:val="auto"/>
              </w:rPr>
              <w:t>2019</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color w:val="auto"/>
              </w:rPr>
              <w:t>2018</w:t>
            </w:r>
          </w:p>
        </w:tc>
        <w:tc>
          <w:tcPr>
            <w:tcW w:w="100" w:type="dxa"/>
            <w:vAlign w:val="bottom"/>
          </w:tcPr>
          <w:p>
            <w:pPr>
              <w:spacing w:after="0"/>
              <w:rPr>
                <w:sz w:val="20"/>
                <w:szCs w:val="20"/>
                <w:color w:val="auto"/>
              </w:rPr>
            </w:pPr>
          </w:p>
        </w:tc>
      </w:tr>
      <w:tr>
        <w:trPr>
          <w:trHeight w:val="210"/>
        </w:trPr>
        <w:tc>
          <w:tcPr>
            <w:tcW w:w="66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Gross accounts receivable</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23,945</w:t>
            </w:r>
          </w:p>
        </w:tc>
        <w:tc>
          <w:tcPr>
            <w:tcW w:w="2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19,809</w:t>
            </w:r>
          </w:p>
        </w:tc>
      </w:tr>
      <w:tr>
        <w:trPr>
          <w:trHeight w:val="216"/>
        </w:trPr>
        <w:tc>
          <w:tcPr>
            <w:tcW w:w="66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Times New Roman" w:cs="Times New Roman" w:eastAsia="Times New Roman" w:hAnsi="Times New Roman"/>
                <w:sz w:val="18"/>
                <w:szCs w:val="18"/>
                <w:color w:val="auto"/>
              </w:rPr>
              <w:t>Allowance for doubtful accounts</w:t>
            </w:r>
          </w:p>
        </w:tc>
        <w:tc>
          <w:tcPr>
            <w:tcW w:w="28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(723)</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(754)</w:t>
            </w:r>
          </w:p>
        </w:tc>
      </w:tr>
      <w:tr>
        <w:trPr>
          <w:trHeight w:val="20"/>
        </w:trPr>
        <w:tc>
          <w:tcPr>
            <w:tcW w:w="660" w:type="dxa"/>
            <w:vAlign w:val="bottom"/>
          </w:tcPr>
          <w:p>
            <w:pPr>
              <w:spacing w:after="0" w:line="20" w:lineRule="exact"/>
              <w:rPr>
                <w:sz w:val="1"/>
                <w:szCs w:val="1"/>
                <w:color w:val="auto"/>
              </w:rPr>
            </w:pPr>
          </w:p>
        </w:tc>
        <w:tc>
          <w:tcPr>
            <w:tcW w:w="68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660" w:type="dxa"/>
            <w:vAlign w:val="bottom"/>
          </w:tcPr>
          <w:p>
            <w:pPr>
              <w:spacing w:after="0"/>
              <w:rPr>
                <w:sz w:val="19"/>
                <w:szCs w:val="19"/>
                <w:color w:val="auto"/>
              </w:rPr>
            </w:pPr>
          </w:p>
        </w:tc>
        <w:tc>
          <w:tcPr>
            <w:tcW w:w="68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Accounts receivable, net</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23,222</w:t>
            </w:r>
          </w:p>
        </w:tc>
        <w:tc>
          <w:tcPr>
            <w:tcW w:w="120" w:type="dxa"/>
            <w:vAlign w:val="bottom"/>
            <w:shd w:val="clear" w:color="auto" w:fill="CCEEFF"/>
          </w:tcPr>
          <w:p>
            <w:pPr>
              <w:spacing w:after="0"/>
              <w:rPr>
                <w:sz w:val="19"/>
                <w:szCs w:val="19"/>
                <w:color w:val="auto"/>
              </w:rPr>
            </w:pPr>
          </w:p>
        </w:tc>
        <w:tc>
          <w:tcPr>
            <w:tcW w:w="2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19,055</w:t>
            </w:r>
          </w:p>
        </w:tc>
      </w:tr>
      <w:tr>
        <w:trPr>
          <w:trHeight w:val="20"/>
        </w:trPr>
        <w:tc>
          <w:tcPr>
            <w:tcW w:w="660" w:type="dxa"/>
            <w:vAlign w:val="bottom"/>
          </w:tcPr>
          <w:p>
            <w:pPr>
              <w:spacing w:after="0" w:line="20" w:lineRule="exact"/>
              <w:rPr>
                <w:sz w:val="1"/>
                <w:szCs w:val="1"/>
                <w:color w:val="auto"/>
              </w:rPr>
            </w:pPr>
          </w:p>
        </w:tc>
        <w:tc>
          <w:tcPr>
            <w:tcW w:w="68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128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3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629"/>
        </w:trPr>
        <w:tc>
          <w:tcPr>
            <w:tcW w:w="7820" w:type="dxa"/>
            <w:vAlign w:val="bottom"/>
            <w:gridSpan w:val="3"/>
          </w:tcPr>
          <w:p>
            <w:pPr>
              <w:jc w:val="right"/>
              <w:ind w:right="90"/>
              <w:spacing w:after="0"/>
              <w:rPr>
                <w:sz w:val="20"/>
                <w:szCs w:val="20"/>
                <w:color w:val="auto"/>
              </w:rPr>
            </w:pPr>
            <w:r>
              <w:rPr>
                <w:rFonts w:ascii="Times New Roman" w:cs="Times New Roman" w:eastAsia="Times New Roman" w:hAnsi="Times New Roman"/>
                <w:sz w:val="18"/>
                <w:szCs w:val="18"/>
                <w:color w:val="auto"/>
                <w:w w:val="99"/>
              </w:rPr>
              <w:t>Activity in the allowance for doubtful accounts for the three months ended March 2, 2019 was as follows:</w:t>
            </w: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pacing w:after="0" w:line="216"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4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November 24, 2018</w:t>
            </w:r>
          </w:p>
        </w:tc>
        <w:tc>
          <w:tcPr>
            <w:tcW w:w="3320" w:type="dxa"/>
            <w:vAlign w:val="bottom"/>
            <w:gridSpan w:val="2"/>
            <w:shd w:val="clear" w:color="auto" w:fill="CCEEFF"/>
          </w:tcPr>
          <w:p>
            <w:pPr>
              <w:jc w:val="right"/>
              <w:ind w:right="60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754</w:t>
            </w:r>
          </w:p>
        </w:tc>
      </w:tr>
      <w:tr>
        <w:trPr>
          <w:trHeight w:val="216"/>
        </w:trPr>
        <w:tc>
          <w:tcPr>
            <w:tcW w:w="4860" w:type="dxa"/>
            <w:vAlign w:val="bottom"/>
          </w:tcPr>
          <w:p>
            <w:pPr>
              <w:spacing w:after="0"/>
              <w:rPr>
                <w:sz w:val="20"/>
                <w:szCs w:val="20"/>
                <w:color w:val="auto"/>
              </w:rPr>
            </w:pPr>
            <w:r>
              <w:rPr>
                <w:rFonts w:ascii="Times New Roman" w:cs="Times New Roman" w:eastAsia="Times New Roman" w:hAnsi="Times New Roman"/>
                <w:sz w:val="18"/>
                <w:szCs w:val="18"/>
                <w:color w:val="auto"/>
              </w:rPr>
              <w:t>Reductions to allowance</w:t>
            </w:r>
          </w:p>
        </w:tc>
        <w:tc>
          <w:tcPr>
            <w:tcW w:w="26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9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(31)</w:t>
            </w:r>
          </w:p>
        </w:tc>
      </w:tr>
      <w:tr>
        <w:trPr>
          <w:trHeight w:val="20"/>
        </w:trPr>
        <w:tc>
          <w:tcPr>
            <w:tcW w:w="486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30"/>
        </w:trPr>
        <w:tc>
          <w:tcPr>
            <w:tcW w:w="4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March 2, 2019</w:t>
            </w:r>
          </w:p>
        </w:tc>
        <w:tc>
          <w:tcPr>
            <w:tcW w:w="3320" w:type="dxa"/>
            <w:vAlign w:val="bottom"/>
            <w:gridSpan w:val="2"/>
            <w:shd w:val="clear" w:color="auto" w:fill="CCEEFF"/>
          </w:tcPr>
          <w:p>
            <w:pPr>
              <w:jc w:val="right"/>
              <w:ind w:right="60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723</w:t>
            </w:r>
          </w:p>
        </w:tc>
      </w:tr>
      <w:tr>
        <w:trPr>
          <w:trHeight w:val="20"/>
        </w:trPr>
        <w:tc>
          <w:tcPr>
            <w:tcW w:w="4860" w:type="dxa"/>
            <w:vAlign w:val="bottom"/>
            <w:tcBorders>
              <w:top w:val="single" w:sz="8" w:color="CCEEFF"/>
            </w:tcBorders>
            <w:shd w:val="clear" w:color="auto" w:fill="CCEEFF"/>
          </w:tcPr>
          <w:p>
            <w:pPr>
              <w:spacing w:after="0" w:line="20" w:lineRule="exact"/>
              <w:rPr>
                <w:sz w:val="1"/>
                <w:szCs w:val="1"/>
                <w:color w:val="auto"/>
              </w:rPr>
            </w:pPr>
          </w:p>
        </w:tc>
        <w:tc>
          <w:tcPr>
            <w:tcW w:w="2640" w:type="dxa"/>
            <w:vAlign w:val="bottom"/>
            <w:tcBorders>
              <w:top w:val="single" w:sz="8" w:color="CCEEFF"/>
            </w:tcBorders>
            <w:shd w:val="clear" w:color="auto" w:fill="CCEEFF"/>
          </w:tcPr>
          <w:p>
            <w:pPr>
              <w:spacing w:after="0" w:line="20" w:lineRule="exact"/>
              <w:rPr>
                <w:sz w:val="1"/>
                <w:szCs w:val="1"/>
                <w:color w:val="auto"/>
              </w:rPr>
            </w:pPr>
          </w:p>
        </w:tc>
        <w:tc>
          <w:tcPr>
            <w:tcW w:w="68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 xml:space="preserve">We believe that the carrying value of our net accounts receivable approximates fair value. The inputs into these fair value estimates reflect our market assumptions and are not observable. Consequently, the inputs are considered to be Level 3 as specified in the fair value hierarchy in ASC Topic 820, </w:t>
      </w:r>
      <w:r>
        <w:rPr>
          <w:rFonts w:ascii="Times New Roman" w:cs="Times New Roman" w:eastAsia="Times New Roman" w:hAnsi="Times New Roman"/>
          <w:sz w:val="18"/>
          <w:szCs w:val="18"/>
          <w:i w:val="1"/>
          <w:iCs w:val="1"/>
          <w:color w:val="auto"/>
        </w:rPr>
        <w:t>Fair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Value Measurements and Disclosures</w:t>
      </w:r>
      <w:r>
        <w:rPr>
          <w:rFonts w:ascii="Times New Roman" w:cs="Times New Roman" w:eastAsia="Times New Roman" w:hAnsi="Times New Roman"/>
          <w:sz w:val="18"/>
          <w:szCs w:val="18"/>
          <w:color w:val="auto"/>
        </w:rPr>
        <w:t>. See Note 4.</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Inventories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Inventories are valued at the lower of cost or net realizable value. Cost is determined for domestic furniture inventories using the last-in, first-out (LIFO) method. The costs for imported inventories and those applicable to Lane Venture are determined using the first-in, first-out (FIFO) method.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9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Inventories were comprised of the following:</w:t>
            </w:r>
          </w:p>
        </w:tc>
        <w:tc>
          <w:tcPr>
            <w:tcW w:w="26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660" w:type="dxa"/>
            <w:vAlign w:val="bottom"/>
          </w:tcPr>
          <w:p>
            <w:pPr>
              <w:spacing w:after="0"/>
              <w:rPr>
                <w:sz w:val="24"/>
                <w:szCs w:val="24"/>
                <w:color w:val="auto"/>
              </w:rPr>
            </w:pPr>
          </w:p>
        </w:tc>
        <w:tc>
          <w:tcPr>
            <w:tcW w:w="6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80" w:type="dxa"/>
            <w:vAlign w:val="bottom"/>
            <w:gridSpan w:val="2"/>
          </w:tcPr>
          <w:p>
            <w:pPr>
              <w:jc w:val="center"/>
              <w:ind w:right="460"/>
              <w:spacing w:after="0"/>
              <w:rPr>
                <w:sz w:val="20"/>
                <w:szCs w:val="20"/>
                <w:color w:val="auto"/>
              </w:rPr>
            </w:pPr>
            <w:r>
              <w:rPr>
                <w:rFonts w:ascii="Times New Roman" w:cs="Times New Roman" w:eastAsia="Times New Roman" w:hAnsi="Times New Roman"/>
                <w:sz w:val="18"/>
                <w:szCs w:val="18"/>
                <w:color w:val="auto"/>
              </w:rPr>
              <w:t>March 2,</w:t>
            </w:r>
          </w:p>
        </w:tc>
        <w:tc>
          <w:tcPr>
            <w:tcW w:w="180" w:type="dxa"/>
            <w:vAlign w:val="bottom"/>
          </w:tcPr>
          <w:p>
            <w:pPr>
              <w:spacing w:after="0"/>
              <w:rPr>
                <w:sz w:val="24"/>
                <w:szCs w:val="24"/>
                <w:color w:val="auto"/>
              </w:rPr>
            </w:pPr>
          </w:p>
        </w:tc>
        <w:tc>
          <w:tcPr>
            <w:tcW w:w="146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November 24,</w:t>
            </w: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632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jc w:val="right"/>
              <w:ind w:right="490"/>
              <w:spacing w:after="0"/>
              <w:rPr>
                <w:sz w:val="20"/>
                <w:szCs w:val="20"/>
                <w:color w:val="auto"/>
              </w:rPr>
            </w:pPr>
            <w:r>
              <w:rPr>
                <w:rFonts w:ascii="Times New Roman" w:cs="Times New Roman" w:eastAsia="Times New Roman" w:hAnsi="Times New Roman"/>
                <w:sz w:val="18"/>
                <w:szCs w:val="18"/>
                <w:color w:val="auto"/>
              </w:rPr>
              <w:t>2019</w:t>
            </w:r>
          </w:p>
        </w:tc>
        <w:tc>
          <w:tcPr>
            <w:tcW w:w="20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color w:val="auto"/>
              </w:rPr>
              <w:t>2018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66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 finished goods</w:t>
            </w:r>
          </w:p>
        </w:tc>
        <w:tc>
          <w:tcPr>
            <w:tcW w:w="260" w:type="dxa"/>
            <w:vAlign w:val="bottom"/>
            <w:shd w:val="clear" w:color="auto" w:fill="CCEEFF"/>
          </w:tcPr>
          <w:p>
            <w:pPr>
              <w:jc w:val="right"/>
              <w:ind w:right="95"/>
              <w:spacing w:after="0"/>
              <w:rPr>
                <w:sz w:val="20"/>
                <w:szCs w:val="20"/>
                <w:color w:val="auto"/>
              </w:rPr>
            </w:pPr>
            <w:r>
              <w:rPr>
                <w:rFonts w:ascii="Times New Roman" w:cs="Times New Roman" w:eastAsia="Times New Roman" w:hAnsi="Times New Roman"/>
                <w:sz w:val="17"/>
                <w:szCs w:val="17"/>
                <w:color w:val="auto"/>
                <w:w w:val="70"/>
              </w:rPr>
              <w:t>$</w:t>
            </w: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30,523</w:t>
            </w:r>
          </w:p>
        </w:tc>
        <w:tc>
          <w:tcPr>
            <w:tcW w:w="200" w:type="dxa"/>
            <w:vAlign w:val="bottom"/>
            <w:tcBorders>
              <w:left w:val="single" w:sz="8" w:color="CCEEFF"/>
            </w:tcBorders>
            <w:shd w:val="clear" w:color="auto" w:fill="CCEEFF"/>
          </w:tcPr>
          <w:p>
            <w:pPr>
              <w:spacing w:after="0"/>
              <w:rPr>
                <w:sz w:val="18"/>
                <w:szCs w:val="18"/>
                <w:color w:val="auto"/>
              </w:rPr>
            </w:pPr>
          </w:p>
        </w:tc>
        <w:tc>
          <w:tcPr>
            <w:tcW w:w="180" w:type="dxa"/>
            <w:vAlign w:val="bottom"/>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30,750</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Times New Roman" w:cs="Times New Roman" w:eastAsia="Times New Roman" w:hAnsi="Times New Roman"/>
                <w:sz w:val="18"/>
                <w:szCs w:val="18"/>
                <w:color w:val="auto"/>
              </w:rPr>
              <w:t>Work in process</w:t>
            </w:r>
          </w:p>
        </w:tc>
        <w:tc>
          <w:tcPr>
            <w:tcW w:w="26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503</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432</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Raw materials and supplies</w:t>
            </w:r>
          </w:p>
        </w:tc>
        <w:tc>
          <w:tcPr>
            <w:tcW w:w="26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16,112</w:t>
            </w:r>
          </w:p>
        </w:tc>
        <w:tc>
          <w:tcPr>
            <w:tcW w:w="200" w:type="dxa"/>
            <w:vAlign w:val="bottom"/>
            <w:tcBorders>
              <w:lef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15,503</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Times New Roman" w:cs="Times New Roman" w:eastAsia="Times New Roman" w:hAnsi="Times New Roman"/>
                <w:sz w:val="18"/>
                <w:szCs w:val="18"/>
                <w:color w:val="auto"/>
              </w:rPr>
              <w:t>Retail merchandise</w:t>
            </w:r>
          </w:p>
        </w:tc>
        <w:tc>
          <w:tcPr>
            <w:tcW w:w="26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30,125</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27,599</w:t>
            </w:r>
          </w:p>
        </w:tc>
        <w:tc>
          <w:tcPr>
            <w:tcW w:w="0" w:type="dxa"/>
            <w:vAlign w:val="bottom"/>
          </w:tcPr>
          <w:p>
            <w:pPr>
              <w:spacing w:after="0"/>
              <w:rPr>
                <w:sz w:val="1"/>
                <w:szCs w:val="1"/>
                <w:color w:val="auto"/>
              </w:rPr>
            </w:pPr>
          </w:p>
        </w:tc>
      </w:tr>
      <w:tr>
        <w:trPr>
          <w:trHeight w:val="20"/>
        </w:trPr>
        <w:tc>
          <w:tcPr>
            <w:tcW w:w="660" w:type="dxa"/>
            <w:vAlign w:val="bottom"/>
            <w:vMerge w:val="restart"/>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0" w:type="dxa"/>
            <w:vAlign w:val="bottom"/>
            <w:vMerge w:val="continue"/>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inventories on first-in, first-out method</w:t>
            </w:r>
          </w:p>
        </w:tc>
        <w:tc>
          <w:tcPr>
            <w:tcW w:w="26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77,263</w:t>
            </w:r>
          </w:p>
        </w:tc>
        <w:tc>
          <w:tcPr>
            <w:tcW w:w="200" w:type="dxa"/>
            <w:vAlign w:val="bottom"/>
            <w:tcBorders>
              <w:lef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74,284</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6320" w:type="dxa"/>
            <w:vAlign w:val="bottom"/>
          </w:tcPr>
          <w:p>
            <w:pPr>
              <w:spacing w:after="0"/>
              <w:rPr>
                <w:sz w:val="20"/>
                <w:szCs w:val="20"/>
                <w:color w:val="auto"/>
              </w:rPr>
            </w:pPr>
            <w:r>
              <w:rPr>
                <w:rFonts w:ascii="Times New Roman" w:cs="Times New Roman" w:eastAsia="Times New Roman" w:hAnsi="Times New Roman"/>
                <w:sz w:val="18"/>
                <w:szCs w:val="18"/>
                <w:color w:val="auto"/>
              </w:rPr>
              <w:t>LIFO adjustment</w:t>
            </w:r>
          </w:p>
        </w:tc>
        <w:tc>
          <w:tcPr>
            <w:tcW w:w="260" w:type="dxa"/>
            <w:vAlign w:val="bottom"/>
          </w:tcPr>
          <w:p>
            <w:pPr>
              <w:spacing w:after="0"/>
              <w:rPr>
                <w:sz w:val="18"/>
                <w:szCs w:val="18"/>
                <w:color w:val="auto"/>
              </w:rPr>
            </w:pPr>
          </w:p>
        </w:tc>
        <w:tc>
          <w:tcPr>
            <w:tcW w:w="14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(8,368)</w:t>
            </w:r>
          </w:p>
        </w:tc>
        <w:tc>
          <w:tcPr>
            <w:tcW w:w="180" w:type="dxa"/>
            <w:vAlign w:val="bottom"/>
          </w:tcPr>
          <w:p>
            <w:pPr>
              <w:spacing w:after="0"/>
              <w:rPr>
                <w:sz w:val="18"/>
                <w:szCs w:val="18"/>
                <w:color w:val="auto"/>
              </w:rPr>
            </w:pPr>
          </w:p>
        </w:tc>
        <w:tc>
          <w:tcPr>
            <w:tcW w:w="14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(8,326)</w:t>
            </w: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6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Reserve for excess and obsolete inventory</w:t>
            </w:r>
          </w:p>
        </w:tc>
        <w:tc>
          <w:tcPr>
            <w:tcW w:w="26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(2,217)</w:t>
            </w:r>
          </w:p>
        </w:tc>
        <w:tc>
          <w:tcPr>
            <w:tcW w:w="1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(1,766)</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632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200" w:type="dxa"/>
            <w:vAlign w:val="bottom"/>
            <w:tcBorders>
              <w:left w:val="single" w:sz="8" w:color="CCEEFF"/>
            </w:tcBorders>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60" w:type="dxa"/>
            <w:vAlign w:val="bottom"/>
          </w:tcPr>
          <w:p>
            <w:pPr>
              <w:spacing w:after="0"/>
              <w:rPr>
                <w:sz w:val="18"/>
                <w:szCs w:val="18"/>
                <w:color w:val="auto"/>
              </w:rPr>
            </w:pPr>
          </w:p>
        </w:tc>
        <w:tc>
          <w:tcPr>
            <w:tcW w:w="6320" w:type="dxa"/>
            <w:vAlign w:val="bottom"/>
          </w:tcPr>
          <w:p>
            <w:pPr>
              <w:spacing w:after="0"/>
              <w:rPr>
                <w:sz w:val="18"/>
                <w:szCs w:val="18"/>
                <w:color w:val="auto"/>
              </w:rPr>
            </w:pPr>
          </w:p>
        </w:tc>
        <w:tc>
          <w:tcPr>
            <w:tcW w:w="260" w:type="dxa"/>
            <w:vAlign w:val="bottom"/>
          </w:tcPr>
          <w:p>
            <w:pPr>
              <w:jc w:val="right"/>
              <w:ind w:right="95"/>
              <w:spacing w:after="0"/>
              <w:rPr>
                <w:sz w:val="20"/>
                <w:szCs w:val="20"/>
                <w:color w:val="auto"/>
              </w:rPr>
            </w:pPr>
            <w:r>
              <w:rPr>
                <w:rFonts w:ascii="Times New Roman" w:cs="Times New Roman" w:eastAsia="Times New Roman" w:hAnsi="Times New Roman"/>
                <w:sz w:val="17"/>
                <w:szCs w:val="17"/>
                <w:color w:val="auto"/>
                <w:w w:val="70"/>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66,678</w:t>
            </w:r>
          </w:p>
        </w:tc>
        <w:tc>
          <w:tcPr>
            <w:tcW w:w="200" w:type="dxa"/>
            <w:vAlign w:val="bottom"/>
          </w:tcPr>
          <w:p>
            <w:pPr>
              <w:spacing w:after="0"/>
              <w:rPr>
                <w:sz w:val="18"/>
                <w:szCs w:val="18"/>
                <w:color w:val="auto"/>
              </w:rPr>
            </w:pPr>
          </w:p>
        </w:tc>
        <w:tc>
          <w:tcPr>
            <w:tcW w:w="18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w w:val="70"/>
              </w:rPr>
              <w:t>$</w:t>
            </w:r>
          </w:p>
        </w:tc>
        <w:tc>
          <w:tcPr>
            <w:tcW w:w="14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64,192</w:t>
            </w: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estimate an inventory reserve for excess quantities and obsolete items based on specific identification and historical write-offs, taking into account future demand, market conditions and the respective valuations at LIFO. The need for these reserves is primarily driven by the normal product life cycle. As products mature and sales volumes decline, we rationalize our product offerings to respond to consumer tastes and keep our product lines fresh. If actual demand or market conditions in the future are less favorable than those estimated, additional inventory write-downs may be required. In determining reserves, we calculate separate reserves on our wholesale and retail inventories. Our wholesale inventories tend to carry the majority of the reserves for excess quantities and obsolete inventory due to the nature of our distribution model. These wholesale reserves primarily represent design and/or style obsolescence. Typically, product is not shipped to our retail warehouses until a consumer has ordered and paid a deposit for the product. We do not typically hold retail inventory for stock purposes. Consequently, floor sample inventory and inventory for delivery to customers account for the majority of our inventory at retail. Retail reserves are based on accessory and clearance floor sample inventory in our stores and any inventory that is not associated with a specific customer order in our retail warehouses.</w:t>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11" w:name="page12"/>
    <w:bookmarkEnd w:id="11"/>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8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Activity in the reserves for excess quantities and obsolete inventory by segment are as follows:</w:t>
            </w:r>
          </w:p>
        </w:tc>
        <w:tc>
          <w:tcPr>
            <w:tcW w:w="1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5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80" w:type="dxa"/>
            <w:vAlign w:val="bottom"/>
            <w:gridSpan w:val="2"/>
          </w:tcPr>
          <w:p>
            <w:pPr>
              <w:jc w:val="right"/>
              <w:ind w:right="580"/>
              <w:spacing w:after="0"/>
              <w:rPr>
                <w:sz w:val="20"/>
                <w:szCs w:val="20"/>
                <w:color w:val="auto"/>
              </w:rPr>
            </w:pPr>
            <w:r>
              <w:rPr>
                <w:rFonts w:ascii="Times New Roman" w:cs="Times New Roman" w:eastAsia="Times New Roman" w:hAnsi="Times New Roman"/>
                <w:sz w:val="18"/>
                <w:szCs w:val="18"/>
                <w:color w:val="auto"/>
              </w:rPr>
              <w:t>Wholesale</w:t>
            </w:r>
          </w:p>
        </w:tc>
        <w:tc>
          <w:tcPr>
            <w:tcW w:w="1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7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80" w:type="dxa"/>
            <w:vAlign w:val="bottom"/>
            <w:gridSpan w:val="2"/>
          </w:tcPr>
          <w:p>
            <w:pPr>
              <w:jc w:val="right"/>
              <w:ind w:right="640"/>
              <w:spacing w:after="0"/>
              <w:rPr>
                <w:sz w:val="20"/>
                <w:szCs w:val="20"/>
                <w:color w:val="auto"/>
              </w:rPr>
            </w:pPr>
            <w:r>
              <w:rPr>
                <w:rFonts w:ascii="Times New Roman" w:cs="Times New Roman" w:eastAsia="Times New Roman" w:hAnsi="Times New Roman"/>
                <w:sz w:val="18"/>
                <w:szCs w:val="18"/>
                <w:color w:val="auto"/>
              </w:rPr>
              <w:t>Segment</w:t>
            </w:r>
          </w:p>
        </w:tc>
        <w:tc>
          <w:tcPr>
            <w:tcW w:w="160" w:type="dxa"/>
            <w:vAlign w:val="bottom"/>
          </w:tcPr>
          <w:p>
            <w:pPr>
              <w:spacing w:after="0"/>
              <w:rPr>
                <w:sz w:val="20"/>
                <w:szCs w:val="20"/>
                <w:color w:val="auto"/>
              </w:rPr>
            </w:pPr>
          </w:p>
        </w:tc>
        <w:tc>
          <w:tcPr>
            <w:tcW w:w="150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Retail Segment</w:t>
            </w: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80" w:type="dxa"/>
            <w:vAlign w:val="bottom"/>
            <w:gridSpan w:val="2"/>
          </w:tcPr>
          <w:p>
            <w:pPr>
              <w:jc w:val="right"/>
              <w:ind w:right="680"/>
              <w:spacing w:after="0"/>
              <w:rPr>
                <w:sz w:val="20"/>
                <w:szCs w:val="20"/>
                <w:color w:val="auto"/>
              </w:rPr>
            </w:pPr>
            <w:r>
              <w:rPr>
                <w:rFonts w:ascii="Times New Roman" w:cs="Times New Roman" w:eastAsia="Times New Roman" w:hAnsi="Times New Roman"/>
                <w:sz w:val="18"/>
                <w:szCs w:val="18"/>
                <w:color w:val="auto"/>
              </w:rPr>
              <w:t>Total</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74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November 24, 2018</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1,500</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266</w:t>
            </w:r>
          </w:p>
        </w:tc>
        <w:tc>
          <w:tcPr>
            <w:tcW w:w="42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Times New Roman" w:cs="Times New Roman" w:eastAsia="Times New Roman" w:hAnsi="Times New Roman"/>
                <w:sz w:val="18"/>
                <w:szCs w:val="18"/>
                <w:color w:val="auto"/>
              </w:rPr>
              <w:t>Additions charged to expense</w:t>
            </w:r>
          </w:p>
        </w:tc>
        <w:tc>
          <w:tcPr>
            <w:tcW w:w="24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660</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139</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Write-offs</w:t>
            </w:r>
          </w:p>
        </w:tc>
        <w:tc>
          <w:tcPr>
            <w:tcW w:w="24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(233)</w:t>
            </w:r>
          </w:p>
        </w:tc>
        <w:tc>
          <w:tcPr>
            <w:tcW w:w="1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(115)</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(348)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4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Balance at March 2, 2019</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1,927</w:t>
            </w:r>
          </w:p>
        </w:tc>
        <w:tc>
          <w:tcPr>
            <w:tcW w:w="2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290</w:t>
            </w:r>
          </w:p>
        </w:tc>
        <w:tc>
          <w:tcPr>
            <w:tcW w:w="4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2,217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Additions charged to expense for our wholesale segment during the three months ended March 2, 2019 includes a $390 inventory valuation charge arising from our decision to exit the juvenile furniture line of business.</w:t>
      </w:r>
    </w:p>
    <w:p>
      <w:pPr>
        <w:spacing w:after="0" w:line="162"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Our estimates and assumptions have been reasonably accurate in the past. We have not made any significant changes to our methodology for determining inventory reserves in 2019 and do not anticipate that our methodology is likely to change in the future.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12" w:name="page13"/>
    <w:bookmarkEnd w:id="12"/>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4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7. Goodwill and Other Intangible Assets</w:t>
            </w:r>
          </w:p>
        </w:tc>
        <w:tc>
          <w:tcPr>
            <w:tcW w:w="2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64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Goodwill and other intangible assets consisted of the following:</w:t>
            </w:r>
          </w:p>
        </w:tc>
        <w:tc>
          <w:tcPr>
            <w:tcW w:w="2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9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3"/>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March 2, 2019</w:t>
            </w:r>
          </w:p>
        </w:tc>
        <w:tc>
          <w:tcPr>
            <w:tcW w:w="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59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300" w:type="dxa"/>
            <w:vAlign w:val="bottom"/>
          </w:tcPr>
          <w:p>
            <w:pPr>
              <w:jc w:val="center"/>
              <w:ind w:right="250"/>
              <w:spacing w:after="0" w:line="188" w:lineRule="exact"/>
              <w:rPr>
                <w:sz w:val="20"/>
                <w:szCs w:val="20"/>
                <w:color w:val="auto"/>
              </w:rPr>
            </w:pPr>
            <w:r>
              <w:rPr>
                <w:rFonts w:ascii="Times New Roman" w:cs="Times New Roman" w:eastAsia="Times New Roman" w:hAnsi="Times New Roman"/>
                <w:sz w:val="18"/>
                <w:szCs w:val="18"/>
                <w:b w:val="1"/>
                <w:bCs w:val="1"/>
                <w:color w:val="auto"/>
                <w:w w:val="97"/>
              </w:rPr>
              <w:t>Gross</w:t>
            </w: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jc w:val="center"/>
              <w:ind w:right="250"/>
              <w:spacing w:after="0"/>
              <w:rPr>
                <w:sz w:val="20"/>
                <w:szCs w:val="20"/>
                <w:color w:val="auto"/>
              </w:rPr>
            </w:pPr>
            <w:r>
              <w:rPr>
                <w:rFonts w:ascii="Times New Roman" w:cs="Times New Roman" w:eastAsia="Times New Roman" w:hAnsi="Times New Roman"/>
                <w:sz w:val="18"/>
                <w:szCs w:val="18"/>
                <w:b w:val="1"/>
                <w:bCs w:val="1"/>
                <w:color w:val="auto"/>
              </w:rPr>
              <w:t>Carrying</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3"/>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Accumulated</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rPr>
              <w:t>Intangible</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9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00" w:type="dxa"/>
            <w:vAlign w:val="bottom"/>
          </w:tcPr>
          <w:p>
            <w:pPr>
              <w:jc w:val="center"/>
              <w:ind w:right="250"/>
              <w:spacing w:after="0"/>
              <w:rPr>
                <w:sz w:val="20"/>
                <w:szCs w:val="20"/>
                <w:color w:val="auto"/>
              </w:rPr>
            </w:pPr>
            <w:r>
              <w:rPr>
                <w:rFonts w:ascii="Times New Roman" w:cs="Times New Roman" w:eastAsia="Times New Roman" w:hAnsi="Times New Roman"/>
                <w:sz w:val="18"/>
                <w:szCs w:val="18"/>
                <w:b w:val="1"/>
                <w:bCs w:val="1"/>
                <w:color w:val="auto"/>
              </w:rPr>
              <w:t>Amount</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80" w:type="dxa"/>
            <w:vAlign w:val="bottom"/>
            <w:gridSpan w:val="3"/>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Amortization</w:t>
            </w: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8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Assets, Net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Intangibles subject to amortization</w:t>
            </w:r>
          </w:p>
        </w:tc>
        <w:tc>
          <w:tcPr>
            <w:tcW w:w="280" w:type="dxa"/>
            <w:vAlign w:val="bottom"/>
            <w:tcBorders>
              <w:top w:val="single" w:sz="8" w:color="auto"/>
              <w:left w:val="single" w:sz="8" w:color="CCEEFF"/>
            </w:tcBorders>
            <w:shd w:val="clear" w:color="auto" w:fill="CCEEFF"/>
          </w:tcPr>
          <w:p>
            <w:pPr>
              <w:spacing w:after="0"/>
              <w:rPr>
                <w:sz w:val="18"/>
                <w:szCs w:val="18"/>
                <w:color w:val="auto"/>
              </w:rPr>
            </w:pPr>
          </w:p>
        </w:tc>
        <w:tc>
          <w:tcPr>
            <w:tcW w:w="1300" w:type="dxa"/>
            <w:vAlign w:val="bottom"/>
            <w:tcBorders>
              <w:top w:val="single" w:sz="8" w:color="auto"/>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gridSpan w:val="2"/>
          </w:tcPr>
          <w:p>
            <w:pPr>
              <w:ind w:left="160"/>
              <w:spacing w:after="0"/>
              <w:rPr>
                <w:sz w:val="20"/>
                <w:szCs w:val="20"/>
                <w:color w:val="auto"/>
              </w:rPr>
            </w:pPr>
            <w:r>
              <w:rPr>
                <w:rFonts w:ascii="Times New Roman" w:cs="Times New Roman" w:eastAsia="Times New Roman" w:hAnsi="Times New Roman"/>
                <w:sz w:val="18"/>
                <w:szCs w:val="18"/>
                <w:color w:val="auto"/>
              </w:rPr>
              <w:t>Customer relationships</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3,550</w:t>
            </w:r>
          </w:p>
        </w:tc>
        <w:tc>
          <w:tcPr>
            <w:tcW w:w="3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gridSpan w:val="3"/>
          </w:tcPr>
          <w:p>
            <w:pPr>
              <w:jc w:val="right"/>
              <w:ind w:right="80"/>
              <w:spacing w:after="0"/>
              <w:rPr>
                <w:sz w:val="20"/>
                <w:szCs w:val="20"/>
                <w:color w:val="auto"/>
              </w:rPr>
            </w:pPr>
            <w:r>
              <w:rPr>
                <w:rFonts w:ascii="Times New Roman" w:cs="Times New Roman" w:eastAsia="Times New Roman" w:hAnsi="Times New Roman"/>
                <w:sz w:val="18"/>
                <w:szCs w:val="18"/>
                <w:color w:val="auto"/>
              </w:rPr>
              <w:t>(892)</w:t>
            </w:r>
          </w:p>
        </w:tc>
        <w:tc>
          <w:tcPr>
            <w:tcW w:w="2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2,658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Technology - customized applications</w:t>
            </w:r>
          </w:p>
        </w:tc>
        <w:tc>
          <w:tcPr>
            <w:tcW w:w="280" w:type="dxa"/>
            <w:vAlign w:val="bottom"/>
            <w:tcBorders>
              <w:left w:val="single" w:sz="8" w:color="CCEEFF"/>
            </w:tcBorders>
            <w:shd w:val="clear" w:color="auto" w:fill="CCEEFF"/>
          </w:tcPr>
          <w:p>
            <w:pPr>
              <w:spacing w:after="0"/>
              <w:rPr>
                <w:sz w:val="18"/>
                <w:szCs w:val="18"/>
                <w:color w:val="auto"/>
              </w:rPr>
            </w:pPr>
          </w:p>
        </w:tc>
        <w:tc>
          <w:tcPr>
            <w:tcW w:w="13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8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(487)</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347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5900" w:type="dxa"/>
            <w:vAlign w:val="bottom"/>
            <w:tcBorders>
              <w:top w:val="single" w:sz="8" w:color="CCEEFF"/>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Total intangible assets subject to amortization</w:t>
            </w:r>
          </w:p>
        </w:tc>
        <w:tc>
          <w:tcPr>
            <w:tcW w:w="280" w:type="dxa"/>
            <w:vAlign w:val="bottom"/>
            <w:tcBorders>
              <w:left w:val="single" w:sz="8" w:color="CCEEFF"/>
            </w:tcBorders>
            <w:shd w:val="clear" w:color="auto" w:fill="CCEEFF"/>
          </w:tcPr>
          <w:p>
            <w:pPr>
              <w:spacing w:after="0"/>
              <w:rPr>
                <w:sz w:val="18"/>
                <w:szCs w:val="18"/>
                <w:color w:val="auto"/>
              </w:rPr>
            </w:pPr>
          </w:p>
        </w:tc>
        <w:tc>
          <w:tcPr>
            <w:tcW w:w="13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4,384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8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(1,379)</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3,005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80" w:type="dxa"/>
            <w:vAlign w:val="bottom"/>
          </w:tcPr>
          <w:p>
            <w:pPr>
              <w:spacing w:after="0"/>
              <w:rPr>
                <w:sz w:val="18"/>
                <w:szCs w:val="18"/>
                <w:color w:val="auto"/>
              </w:rPr>
            </w:pPr>
          </w:p>
        </w:tc>
        <w:tc>
          <w:tcPr>
            <w:tcW w:w="5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Intangibles not subject to amortization:</w:t>
            </w:r>
          </w:p>
        </w:tc>
        <w:tc>
          <w:tcPr>
            <w:tcW w:w="280" w:type="dxa"/>
            <w:vAlign w:val="bottom"/>
            <w:tcBorders>
              <w:left w:val="single" w:sz="8" w:color="CCEEFF"/>
            </w:tcBorders>
            <w:shd w:val="clear" w:color="auto" w:fill="CCEEFF"/>
          </w:tcPr>
          <w:p>
            <w:pPr>
              <w:spacing w:after="0"/>
              <w:rPr>
                <w:sz w:val="18"/>
                <w:szCs w:val="18"/>
                <w:color w:val="auto"/>
              </w:rPr>
            </w:pPr>
          </w:p>
        </w:tc>
        <w:tc>
          <w:tcPr>
            <w:tcW w:w="130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gridSpan w:val="2"/>
          </w:tcPr>
          <w:p>
            <w:pPr>
              <w:ind w:left="160"/>
              <w:spacing w:after="0"/>
              <w:rPr>
                <w:sz w:val="20"/>
                <w:szCs w:val="20"/>
                <w:color w:val="auto"/>
              </w:rPr>
            </w:pPr>
            <w:r>
              <w:rPr>
                <w:rFonts w:ascii="Times New Roman" w:cs="Times New Roman" w:eastAsia="Times New Roman" w:hAnsi="Times New Roman"/>
                <w:sz w:val="18"/>
                <w:szCs w:val="18"/>
                <w:color w:val="auto"/>
              </w:rPr>
              <w:t>Trade names</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9,338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9,338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Goodwill</w:t>
            </w:r>
          </w:p>
        </w:tc>
        <w:tc>
          <w:tcPr>
            <w:tcW w:w="280" w:type="dxa"/>
            <w:vAlign w:val="bottom"/>
            <w:tcBorders>
              <w:left w:val="single" w:sz="8" w:color="CCEEFF"/>
            </w:tcBorders>
            <w:shd w:val="clear" w:color="auto" w:fill="CCEEFF"/>
          </w:tcPr>
          <w:p>
            <w:pPr>
              <w:spacing w:after="0"/>
              <w:rPr>
                <w:sz w:val="18"/>
                <w:szCs w:val="18"/>
                <w:color w:val="auto"/>
              </w:rPr>
            </w:pPr>
          </w:p>
        </w:tc>
        <w:tc>
          <w:tcPr>
            <w:tcW w:w="13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16,043</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80" w:type="dxa"/>
            <w:vAlign w:val="bottom"/>
            <w:gridSpan w:val="3"/>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16,043</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5900" w:type="dxa"/>
            <w:vAlign w:val="bottom"/>
            <w:tcBorders>
              <w:top w:val="single" w:sz="8" w:color="CCEEFF"/>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63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goodwill and other intangible assets</w:t>
            </w:r>
          </w:p>
        </w:tc>
        <w:tc>
          <w:tcPr>
            <w:tcW w:w="280" w:type="dxa"/>
            <w:vAlign w:val="bottom"/>
            <w:tcBorders>
              <w:left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29,765</w:t>
            </w:r>
          </w:p>
        </w:tc>
        <w:tc>
          <w:tcPr>
            <w:tcW w:w="30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(1,379)</w:t>
            </w:r>
          </w:p>
        </w:tc>
        <w:tc>
          <w:tcPr>
            <w:tcW w:w="2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28,386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tcBorders>
              <w:top w:val="single" w:sz="8" w:color="CCEEFF"/>
            </w:tcBorders>
            <w:shd w:val="clear" w:color="auto" w:fill="CCEEFF"/>
          </w:tcPr>
          <w:p>
            <w:pPr>
              <w:spacing w:after="0" w:line="20" w:lineRule="exact"/>
              <w:rPr>
                <w:sz w:val="1"/>
                <w:szCs w:val="1"/>
                <w:color w:val="auto"/>
              </w:rPr>
            </w:pPr>
          </w:p>
        </w:tc>
        <w:tc>
          <w:tcPr>
            <w:tcW w:w="59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auto"/>
              <w:left w:val="single" w:sz="8" w:color="auto"/>
            </w:tcBorders>
            <w:shd w:val="clear" w:color="auto" w:fill="000000"/>
          </w:tcPr>
          <w:p>
            <w:pPr>
              <w:spacing w:after="0" w:line="20" w:lineRule="exact"/>
              <w:rPr>
                <w:sz w:val="1"/>
                <w:szCs w:val="1"/>
                <w:color w:val="auto"/>
              </w:rPr>
            </w:pPr>
          </w:p>
        </w:tc>
        <w:tc>
          <w:tcPr>
            <w:tcW w:w="130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2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2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9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b w:val="1"/>
                <w:bCs w:val="1"/>
                <w:color w:val="auto"/>
              </w:rPr>
              <w:t>November 24, 2018</w:t>
            </w:r>
          </w:p>
        </w:tc>
        <w:tc>
          <w:tcPr>
            <w:tcW w:w="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59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300" w:type="dxa"/>
            <w:vAlign w:val="bottom"/>
          </w:tcPr>
          <w:p>
            <w:pPr>
              <w:jc w:val="center"/>
              <w:ind w:right="170"/>
              <w:spacing w:after="0" w:line="188" w:lineRule="exact"/>
              <w:rPr>
                <w:sz w:val="20"/>
                <w:szCs w:val="20"/>
                <w:color w:val="auto"/>
              </w:rPr>
            </w:pPr>
            <w:r>
              <w:rPr>
                <w:rFonts w:ascii="Times New Roman" w:cs="Times New Roman" w:eastAsia="Times New Roman" w:hAnsi="Times New Roman"/>
                <w:sz w:val="18"/>
                <w:szCs w:val="18"/>
                <w:b w:val="1"/>
                <w:bCs w:val="1"/>
                <w:color w:val="auto"/>
                <w:w w:val="97"/>
              </w:rPr>
              <w:t>Gross</w:t>
            </w: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rPr>
              <w:t>Carrying</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3"/>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Accumulated</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rPr>
              <w:t>Intangible</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9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0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rPr>
              <w:t>Amount</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80" w:type="dxa"/>
            <w:vAlign w:val="bottom"/>
            <w:gridSpan w:val="3"/>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Amortization</w:t>
            </w: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8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Assets, Net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Intangibles subject to amortization</w:t>
            </w:r>
          </w:p>
        </w:tc>
        <w:tc>
          <w:tcPr>
            <w:tcW w:w="280" w:type="dxa"/>
            <w:vAlign w:val="bottom"/>
            <w:tcBorders>
              <w:top w:val="single" w:sz="8" w:color="auto"/>
              <w:left w:val="single" w:sz="8" w:color="CCEEFF"/>
            </w:tcBorders>
            <w:shd w:val="clear" w:color="auto" w:fill="CCEEFF"/>
          </w:tcPr>
          <w:p>
            <w:pPr>
              <w:spacing w:after="0"/>
              <w:rPr>
                <w:sz w:val="18"/>
                <w:szCs w:val="18"/>
                <w:color w:val="auto"/>
              </w:rPr>
            </w:pPr>
          </w:p>
        </w:tc>
        <w:tc>
          <w:tcPr>
            <w:tcW w:w="1300" w:type="dxa"/>
            <w:vAlign w:val="bottom"/>
            <w:tcBorders>
              <w:top w:val="single" w:sz="8" w:color="auto"/>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gridSpan w:val="2"/>
          </w:tcPr>
          <w:p>
            <w:pPr>
              <w:ind w:left="160"/>
              <w:spacing w:after="0"/>
              <w:rPr>
                <w:sz w:val="20"/>
                <w:szCs w:val="20"/>
                <w:color w:val="auto"/>
              </w:rPr>
            </w:pPr>
            <w:r>
              <w:rPr>
                <w:rFonts w:ascii="Times New Roman" w:cs="Times New Roman" w:eastAsia="Times New Roman" w:hAnsi="Times New Roman"/>
                <w:sz w:val="18"/>
                <w:szCs w:val="18"/>
                <w:color w:val="auto"/>
              </w:rPr>
              <w:t>Customer relationships</w:t>
            </w:r>
          </w:p>
        </w:tc>
        <w:tc>
          <w:tcPr>
            <w:tcW w:w="2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3,550</w:t>
            </w:r>
          </w:p>
        </w:tc>
        <w:tc>
          <w:tcPr>
            <w:tcW w:w="3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gridSpan w:val="3"/>
          </w:tcPr>
          <w:p>
            <w:pPr>
              <w:jc w:val="right"/>
              <w:ind w:right="80"/>
              <w:spacing w:after="0"/>
              <w:rPr>
                <w:sz w:val="20"/>
                <w:szCs w:val="20"/>
                <w:color w:val="auto"/>
              </w:rPr>
            </w:pPr>
            <w:r>
              <w:rPr>
                <w:rFonts w:ascii="Times New Roman" w:cs="Times New Roman" w:eastAsia="Times New Roman" w:hAnsi="Times New Roman"/>
                <w:sz w:val="18"/>
                <w:szCs w:val="18"/>
                <w:color w:val="auto"/>
              </w:rPr>
              <w:t>(829)</w:t>
            </w:r>
          </w:p>
        </w:tc>
        <w:tc>
          <w:tcPr>
            <w:tcW w:w="2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Technology - customized applications</w:t>
            </w:r>
          </w:p>
        </w:tc>
        <w:tc>
          <w:tcPr>
            <w:tcW w:w="280" w:type="dxa"/>
            <w:vAlign w:val="bottom"/>
            <w:tcBorders>
              <w:left w:val="single" w:sz="8" w:color="CCEEFF"/>
            </w:tcBorders>
            <w:shd w:val="clear" w:color="auto" w:fill="CCEEFF"/>
          </w:tcPr>
          <w:p>
            <w:pPr>
              <w:spacing w:after="0"/>
              <w:rPr>
                <w:sz w:val="18"/>
                <w:szCs w:val="18"/>
                <w:color w:val="auto"/>
              </w:rPr>
            </w:pPr>
          </w:p>
        </w:tc>
        <w:tc>
          <w:tcPr>
            <w:tcW w:w="13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8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(456)</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378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5900" w:type="dxa"/>
            <w:vAlign w:val="bottom"/>
            <w:tcBorders>
              <w:top w:val="single" w:sz="8" w:color="CCEEFF"/>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Total intangible assets subject to amortization</w:t>
            </w:r>
          </w:p>
        </w:tc>
        <w:tc>
          <w:tcPr>
            <w:tcW w:w="280" w:type="dxa"/>
            <w:vAlign w:val="bottom"/>
            <w:tcBorders>
              <w:left w:val="single" w:sz="8" w:color="CCEEFF"/>
            </w:tcBorders>
            <w:shd w:val="clear" w:color="auto" w:fill="CCEEFF"/>
          </w:tcPr>
          <w:p>
            <w:pPr>
              <w:spacing w:after="0"/>
              <w:rPr>
                <w:sz w:val="18"/>
                <w:szCs w:val="18"/>
                <w:color w:val="auto"/>
              </w:rPr>
            </w:pPr>
          </w:p>
        </w:tc>
        <w:tc>
          <w:tcPr>
            <w:tcW w:w="13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4,384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8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(1,285)</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3,099</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80" w:type="dxa"/>
            <w:vAlign w:val="bottom"/>
          </w:tcPr>
          <w:p>
            <w:pPr>
              <w:spacing w:after="0"/>
              <w:rPr>
                <w:sz w:val="18"/>
                <w:szCs w:val="18"/>
                <w:color w:val="auto"/>
              </w:rPr>
            </w:pPr>
          </w:p>
        </w:tc>
        <w:tc>
          <w:tcPr>
            <w:tcW w:w="5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Intangibles not subject to amortization:</w:t>
            </w:r>
          </w:p>
        </w:tc>
        <w:tc>
          <w:tcPr>
            <w:tcW w:w="280" w:type="dxa"/>
            <w:vAlign w:val="bottom"/>
            <w:tcBorders>
              <w:left w:val="single" w:sz="8" w:color="CCEEFF"/>
            </w:tcBorders>
            <w:shd w:val="clear" w:color="auto" w:fill="CCEEFF"/>
          </w:tcPr>
          <w:p>
            <w:pPr>
              <w:spacing w:after="0"/>
              <w:rPr>
                <w:sz w:val="18"/>
                <w:szCs w:val="18"/>
                <w:color w:val="auto"/>
              </w:rPr>
            </w:pPr>
          </w:p>
        </w:tc>
        <w:tc>
          <w:tcPr>
            <w:tcW w:w="130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gridSpan w:val="2"/>
          </w:tcPr>
          <w:p>
            <w:pPr>
              <w:ind w:left="160"/>
              <w:spacing w:after="0"/>
              <w:rPr>
                <w:sz w:val="20"/>
                <w:szCs w:val="20"/>
                <w:color w:val="auto"/>
              </w:rPr>
            </w:pPr>
            <w:r>
              <w:rPr>
                <w:rFonts w:ascii="Times New Roman" w:cs="Times New Roman" w:eastAsia="Times New Roman" w:hAnsi="Times New Roman"/>
                <w:sz w:val="18"/>
                <w:szCs w:val="18"/>
                <w:color w:val="auto"/>
              </w:rPr>
              <w:t>Trade names</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9,338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9,338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8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Goodwill</w:t>
            </w:r>
          </w:p>
        </w:tc>
        <w:tc>
          <w:tcPr>
            <w:tcW w:w="280" w:type="dxa"/>
            <w:vAlign w:val="bottom"/>
            <w:tcBorders>
              <w:left w:val="single" w:sz="8" w:color="CCEEFF"/>
            </w:tcBorders>
            <w:shd w:val="clear" w:color="auto" w:fill="CCEEFF"/>
          </w:tcPr>
          <w:p>
            <w:pPr>
              <w:spacing w:after="0"/>
              <w:rPr>
                <w:sz w:val="18"/>
                <w:szCs w:val="18"/>
                <w:color w:val="auto"/>
              </w:rPr>
            </w:pPr>
          </w:p>
        </w:tc>
        <w:tc>
          <w:tcPr>
            <w:tcW w:w="13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16,043</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80" w:type="dxa"/>
            <w:vAlign w:val="bottom"/>
            <w:gridSpan w:val="3"/>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16,043</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5900" w:type="dxa"/>
            <w:vAlign w:val="bottom"/>
            <w:tcBorders>
              <w:top w:val="single" w:sz="8" w:color="CCEEFF"/>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63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goodwill and other intangible assets</w:t>
            </w:r>
          </w:p>
        </w:tc>
        <w:tc>
          <w:tcPr>
            <w:tcW w:w="280" w:type="dxa"/>
            <w:vAlign w:val="bottom"/>
            <w:tcBorders>
              <w:left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29,765</w:t>
            </w:r>
          </w:p>
        </w:tc>
        <w:tc>
          <w:tcPr>
            <w:tcW w:w="30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(1,285)</w:t>
            </w:r>
          </w:p>
        </w:tc>
        <w:tc>
          <w:tcPr>
            <w:tcW w:w="2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28,480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tcBorders>
              <w:top w:val="single" w:sz="8" w:color="CCEEFF"/>
            </w:tcBorders>
            <w:shd w:val="clear" w:color="auto" w:fill="CCEEFF"/>
          </w:tcPr>
          <w:p>
            <w:pPr>
              <w:spacing w:after="0" w:line="20" w:lineRule="exact"/>
              <w:rPr>
                <w:sz w:val="1"/>
                <w:szCs w:val="1"/>
                <w:color w:val="auto"/>
              </w:rPr>
            </w:pPr>
          </w:p>
        </w:tc>
        <w:tc>
          <w:tcPr>
            <w:tcW w:w="59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auto"/>
              <w:left w:val="single" w:sz="8" w:color="CCEEFF"/>
            </w:tcBorders>
            <w:shd w:val="clear" w:color="auto" w:fill="000000"/>
          </w:tcPr>
          <w:p>
            <w:pPr>
              <w:spacing w:after="0" w:line="20" w:lineRule="exact"/>
              <w:rPr>
                <w:sz w:val="1"/>
                <w:szCs w:val="1"/>
                <w:color w:val="auto"/>
              </w:rPr>
            </w:pPr>
          </w:p>
        </w:tc>
        <w:tc>
          <w:tcPr>
            <w:tcW w:w="130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2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2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798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There were no accumulated impairment losses on goodwill as of March 2, 2019 or November 24, 2018.</w:t>
            </w: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60" w:type="dxa"/>
            <w:vAlign w:val="bottom"/>
            <w:gridSpan w:val="10"/>
          </w:tcPr>
          <w:p>
            <w:pPr>
              <w:spacing w:after="0"/>
              <w:rPr>
                <w:sz w:val="20"/>
                <w:szCs w:val="20"/>
                <w:color w:val="auto"/>
              </w:rPr>
            </w:pPr>
            <w:r>
              <w:rPr>
                <w:rFonts w:ascii="Times New Roman" w:cs="Times New Roman" w:eastAsia="Times New Roman" w:hAnsi="Times New Roman"/>
                <w:sz w:val="18"/>
                <w:szCs w:val="18"/>
                <w:color w:val="auto"/>
              </w:rPr>
              <w:t>The carrying amounts of goodwill by reportable segment at both March 2, 2019 and November 24, 2018 were as follows:</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 w:type="dxa"/>
            <w:vAlign w:val="bottom"/>
            <w:vMerge w:val="restart"/>
          </w:tcPr>
          <w:p>
            <w:pPr>
              <w:spacing w:after="0"/>
              <w:rPr>
                <w:sz w:val="18"/>
                <w:szCs w:val="18"/>
                <w:color w:val="auto"/>
              </w:rPr>
            </w:pPr>
          </w:p>
        </w:tc>
        <w:tc>
          <w:tcPr>
            <w:tcW w:w="5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 w:type="dxa"/>
            <w:vAlign w:val="bottom"/>
            <w:vMerge w:val="continue"/>
          </w:tcPr>
          <w:p>
            <w:pPr>
              <w:spacing w:after="0"/>
              <w:rPr>
                <w:sz w:val="18"/>
                <w:szCs w:val="18"/>
                <w:color w:val="auto"/>
              </w:rPr>
            </w:pPr>
          </w:p>
        </w:tc>
        <w:tc>
          <w:tcPr>
            <w:tcW w:w="5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280" w:type="dxa"/>
            <w:vAlign w:val="bottom"/>
            <w:tcBorders>
              <w:left w:val="single" w:sz="8" w:color="CCEEFF"/>
            </w:tcBorders>
            <w:shd w:val="clear" w:color="auto" w:fill="CCEEFF"/>
          </w:tcPr>
          <w:p>
            <w:pPr>
              <w:spacing w:after="0"/>
              <w:rPr>
                <w:sz w:val="18"/>
                <w:szCs w:val="18"/>
                <w:color w:val="auto"/>
              </w:rPr>
            </w:pPr>
          </w:p>
        </w:tc>
        <w:tc>
          <w:tcPr>
            <w:tcW w:w="130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9,188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900" w:type="dxa"/>
            <w:vAlign w:val="bottom"/>
          </w:tcPr>
          <w:p>
            <w:pPr>
              <w:spacing w:after="0"/>
              <w:rPr>
                <w:sz w:val="20"/>
                <w:szCs w:val="20"/>
                <w:color w:val="auto"/>
              </w:rPr>
            </w:pPr>
            <w:r>
              <w:rPr>
                <w:rFonts w:ascii="Times New Roman" w:cs="Times New Roman" w:eastAsia="Times New Roman" w:hAnsi="Times New Roman"/>
                <w:sz w:val="18"/>
                <w:szCs w:val="18"/>
                <w:color w:val="auto"/>
              </w:rPr>
              <w:t>Retail</w:t>
            </w: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1,926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Logistical services</w:t>
            </w:r>
          </w:p>
        </w:tc>
        <w:tc>
          <w:tcPr>
            <w:tcW w:w="280" w:type="dxa"/>
            <w:vAlign w:val="bottom"/>
            <w:tcBorders>
              <w:left w:val="single" w:sz="8" w:color="CCEEFF"/>
            </w:tcBorders>
            <w:shd w:val="clear" w:color="auto" w:fill="CCEEFF"/>
          </w:tcPr>
          <w:p>
            <w:pPr>
              <w:spacing w:after="0"/>
              <w:rPr>
                <w:sz w:val="18"/>
                <w:szCs w:val="18"/>
                <w:color w:val="auto"/>
              </w:rPr>
            </w:pPr>
          </w:p>
        </w:tc>
        <w:tc>
          <w:tcPr>
            <w:tcW w:w="130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4,929</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900" w:type="dxa"/>
            <w:vAlign w:val="bottom"/>
            <w:tcBorders>
              <w:top w:val="single" w:sz="8" w:color="CCEEFF"/>
            </w:tcBorders>
          </w:tcPr>
          <w:p>
            <w:pPr>
              <w:spacing w:after="0"/>
              <w:rPr>
                <w:sz w:val="18"/>
                <w:szCs w:val="18"/>
                <w:color w:val="auto"/>
              </w:rPr>
            </w:pPr>
          </w:p>
        </w:tc>
        <w:tc>
          <w:tcPr>
            <w:tcW w:w="280" w:type="dxa"/>
            <w:vAlign w:val="bottom"/>
            <w:tcBorders>
              <w:top w:val="single" w:sz="8" w:color="CCEEFF"/>
            </w:tcBorders>
          </w:tcPr>
          <w:p>
            <w:pPr>
              <w:spacing w:after="0"/>
              <w:rPr>
                <w:sz w:val="18"/>
                <w:szCs w:val="18"/>
                <w:color w:val="auto"/>
              </w:rPr>
            </w:pPr>
          </w:p>
        </w:tc>
        <w:tc>
          <w:tcPr>
            <w:tcW w:w="130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90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 goodwill</w:t>
            </w:r>
          </w:p>
        </w:tc>
        <w:tc>
          <w:tcPr>
            <w:tcW w:w="280" w:type="dxa"/>
            <w:vAlign w:val="bottom"/>
            <w:tcBorders>
              <w:left w:val="single" w:sz="8" w:color="CCEEFF"/>
            </w:tcBorders>
            <w:shd w:val="clear" w:color="auto" w:fill="CCEEFF"/>
          </w:tcPr>
          <w:p>
            <w:pPr>
              <w:spacing w:after="0"/>
              <w:rPr>
                <w:sz w:val="20"/>
                <w:szCs w:val="20"/>
                <w:color w:val="auto"/>
              </w:rPr>
            </w:pPr>
          </w:p>
        </w:tc>
        <w:tc>
          <w:tcPr>
            <w:tcW w:w="1300" w:type="dxa"/>
            <w:vAlign w:val="bottom"/>
            <w:tcBorders>
              <w:right w:val="single" w:sz="8" w:color="CCEEFF"/>
            </w:tcBorders>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13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16,043</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9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left w:val="single" w:sz="8" w:color="CCEEFF"/>
            </w:tcBorders>
            <w:shd w:val="clear" w:color="auto" w:fill="CCEEFF"/>
          </w:tcPr>
          <w:p>
            <w:pPr>
              <w:spacing w:after="0" w:line="20" w:lineRule="exact"/>
              <w:rPr>
                <w:sz w:val="1"/>
                <w:szCs w:val="1"/>
                <w:color w:val="auto"/>
              </w:rPr>
            </w:pPr>
          </w:p>
        </w:tc>
        <w:tc>
          <w:tcPr>
            <w:tcW w:w="130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26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Amortization expense associated with intangible assets during the three months ended March 2, 2019 and February 24, 2018 was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00" w:type="dxa"/>
            <w:vAlign w:val="bottom"/>
          </w:tcPr>
          <w:p>
            <w:pPr>
              <w:spacing w:after="0"/>
              <w:rPr>
                <w:sz w:val="20"/>
                <w:szCs w:val="20"/>
                <w:color w:val="auto"/>
              </w:rPr>
            </w:pPr>
          </w:p>
        </w:tc>
        <w:tc>
          <w:tcPr>
            <w:tcW w:w="380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3060" w:type="dxa"/>
            <w:vAlign w:val="bottom"/>
            <w:tcBorders>
              <w:bottom w:val="single" w:sz="8" w:color="auto"/>
            </w:tcBorders>
            <w:gridSpan w:val="5"/>
          </w:tcPr>
          <w:p>
            <w:pPr>
              <w:jc w:val="right"/>
              <w:ind w:right="75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2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187"/>
        </w:trPr>
        <w:tc>
          <w:tcPr>
            <w:tcW w:w="500" w:type="dxa"/>
            <w:vAlign w:val="bottom"/>
          </w:tcPr>
          <w:p>
            <w:pPr>
              <w:spacing w:after="0"/>
              <w:rPr>
                <w:sz w:val="16"/>
                <w:szCs w:val="16"/>
                <w:color w:val="auto"/>
              </w:rPr>
            </w:pPr>
          </w:p>
        </w:tc>
        <w:tc>
          <w:tcPr>
            <w:tcW w:w="380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1240" w:type="dxa"/>
            <w:vAlign w:val="bottom"/>
          </w:tcPr>
          <w:p>
            <w:pPr>
              <w:jc w:val="center"/>
              <w:ind w:left="210"/>
              <w:spacing w:after="0" w:line="188" w:lineRule="exact"/>
              <w:rPr>
                <w:sz w:val="20"/>
                <w:szCs w:val="20"/>
                <w:color w:val="auto"/>
              </w:rPr>
            </w:pPr>
            <w:r>
              <w:rPr>
                <w:rFonts w:ascii="Times New Roman" w:cs="Times New Roman" w:eastAsia="Times New Roman" w:hAnsi="Times New Roman"/>
                <w:sz w:val="18"/>
                <w:szCs w:val="18"/>
                <w:b w:val="1"/>
                <w:bCs w:val="1"/>
                <w:color w:val="auto"/>
                <w:w w:val="99"/>
              </w:rPr>
              <w:t>March 2,</w:t>
            </w:r>
          </w:p>
        </w:tc>
        <w:tc>
          <w:tcPr>
            <w:tcW w:w="3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20" w:type="dxa"/>
            <w:vAlign w:val="bottom"/>
          </w:tcPr>
          <w:p>
            <w:pPr>
              <w:jc w:val="center"/>
              <w:ind w:left="110"/>
              <w:spacing w:after="0" w:line="188" w:lineRule="exact"/>
              <w:rPr>
                <w:sz w:val="20"/>
                <w:szCs w:val="20"/>
                <w:color w:val="auto"/>
              </w:rPr>
            </w:pPr>
            <w:r>
              <w:rPr>
                <w:rFonts w:ascii="Times New Roman" w:cs="Times New Roman" w:eastAsia="Times New Roman" w:hAnsi="Times New Roman"/>
                <w:sz w:val="18"/>
                <w:szCs w:val="18"/>
                <w:b w:val="1"/>
                <w:bCs w:val="1"/>
                <w:color w:val="auto"/>
                <w:w w:val="99"/>
              </w:rPr>
              <w:t>February 24,</w:t>
            </w: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20" w:type="dxa"/>
            <w:vAlign w:val="bottom"/>
          </w:tcPr>
          <w:p>
            <w:pPr>
              <w:spacing w:after="0"/>
              <w:rPr>
                <w:sz w:val="16"/>
                <w:szCs w:val="16"/>
                <w:color w:val="auto"/>
              </w:rPr>
            </w:pPr>
          </w:p>
        </w:tc>
      </w:tr>
      <w:tr>
        <w:trPr>
          <w:trHeight w:val="238"/>
        </w:trPr>
        <w:tc>
          <w:tcPr>
            <w:tcW w:w="500" w:type="dxa"/>
            <w:vAlign w:val="bottom"/>
          </w:tcPr>
          <w:p>
            <w:pPr>
              <w:spacing w:after="0"/>
              <w:rPr>
                <w:sz w:val="20"/>
                <w:szCs w:val="20"/>
                <w:color w:val="auto"/>
              </w:rPr>
            </w:pPr>
          </w:p>
        </w:tc>
        <w:tc>
          <w:tcPr>
            <w:tcW w:w="3800" w:type="dxa"/>
            <w:vAlign w:val="bottom"/>
          </w:tcPr>
          <w:p>
            <w:pPr>
              <w:spacing w:after="0"/>
              <w:rPr>
                <w:sz w:val="20"/>
                <w:szCs w:val="20"/>
                <w:color w:val="auto"/>
              </w:rPr>
            </w:pPr>
          </w:p>
        </w:tc>
        <w:tc>
          <w:tcPr>
            <w:tcW w:w="376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2"/>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10"/>
        </w:trPr>
        <w:tc>
          <w:tcPr>
            <w:tcW w:w="50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2520" w:type="dxa"/>
            <w:vAlign w:val="bottom"/>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56"/>
        </w:trPr>
        <w:tc>
          <w:tcPr>
            <w:tcW w:w="500" w:type="dxa"/>
            <w:vAlign w:val="bottom"/>
          </w:tcPr>
          <w:p>
            <w:pPr>
              <w:spacing w:after="0"/>
              <w:rPr>
                <w:sz w:val="22"/>
                <w:szCs w:val="22"/>
                <w:color w:val="auto"/>
              </w:rPr>
            </w:pPr>
          </w:p>
        </w:tc>
        <w:tc>
          <w:tcPr>
            <w:tcW w:w="3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 asset amortization expense</w:t>
            </w:r>
          </w:p>
        </w:tc>
        <w:tc>
          <w:tcPr>
            <w:tcW w:w="3760" w:type="dxa"/>
            <w:vAlign w:val="bottom"/>
            <w:gridSpan w:val="2"/>
            <w:shd w:val="clear" w:color="auto" w:fill="CCEEFF"/>
          </w:tcPr>
          <w:p>
            <w:pPr>
              <w:jc w:val="right"/>
              <w:ind w:right="107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95</w:t>
            </w:r>
          </w:p>
        </w:tc>
        <w:tc>
          <w:tcPr>
            <w:tcW w:w="1420" w:type="dxa"/>
            <w:vAlign w:val="bottom"/>
            <w:gridSpan w:val="2"/>
            <w:shd w:val="clear" w:color="auto" w:fill="CCEEFF"/>
          </w:tcPr>
          <w:p>
            <w:pPr>
              <w:jc w:val="right"/>
              <w:ind w:right="115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w:t>
            </w:r>
          </w:p>
        </w:tc>
        <w:tc>
          <w:tcPr>
            <w:tcW w:w="100" w:type="dxa"/>
            <w:vAlign w:val="bottom"/>
            <w:shd w:val="clear" w:color="auto" w:fill="CCEEFF"/>
          </w:tcPr>
          <w:p>
            <w:pPr>
              <w:spacing w:after="0"/>
              <w:rPr>
                <w:sz w:val="22"/>
                <w:szCs w:val="22"/>
                <w:color w:val="auto"/>
              </w:rPr>
            </w:pPr>
          </w:p>
        </w:tc>
        <w:tc>
          <w:tcPr>
            <w:tcW w:w="1220" w:type="dxa"/>
            <w:vAlign w:val="bottom"/>
          </w:tcPr>
          <w:p>
            <w:pPr>
              <w:spacing w:after="0"/>
              <w:rPr>
                <w:sz w:val="22"/>
                <w:szCs w:val="22"/>
                <w:color w:val="auto"/>
              </w:rPr>
            </w:pPr>
          </w:p>
        </w:tc>
      </w:tr>
      <w:tr>
        <w:trPr>
          <w:trHeight w:val="413"/>
        </w:trPr>
        <w:tc>
          <w:tcPr>
            <w:tcW w:w="500" w:type="dxa"/>
            <w:vAlign w:val="bottom"/>
          </w:tcPr>
          <w:p>
            <w:pPr>
              <w:spacing w:after="0"/>
              <w:rPr>
                <w:sz w:val="24"/>
                <w:szCs w:val="24"/>
                <w:color w:val="auto"/>
              </w:rPr>
            </w:pPr>
          </w:p>
        </w:tc>
        <w:tc>
          <w:tcPr>
            <w:tcW w:w="3800" w:type="dxa"/>
            <w:vAlign w:val="bottom"/>
            <w:tcBorders>
              <w:top w:val="single" w:sz="8" w:color="CCEEFF"/>
            </w:tcBorders>
          </w:tcPr>
          <w:p>
            <w:pPr>
              <w:spacing w:after="0"/>
              <w:rPr>
                <w:sz w:val="24"/>
                <w:szCs w:val="24"/>
                <w:color w:val="auto"/>
              </w:rPr>
            </w:pPr>
          </w:p>
        </w:tc>
        <w:tc>
          <w:tcPr>
            <w:tcW w:w="2520" w:type="dxa"/>
            <w:vAlign w:val="bottom"/>
            <w:tcBorders>
              <w:top w:val="single" w:sz="8" w:color="CCEEFF"/>
            </w:tcBorders>
          </w:tcPr>
          <w:p>
            <w:pPr>
              <w:ind w:left="1120"/>
              <w:spacing w:after="0"/>
              <w:rPr>
                <w:sz w:val="20"/>
                <w:szCs w:val="20"/>
                <w:color w:val="auto"/>
              </w:rPr>
            </w:pPr>
            <w:r>
              <w:rPr>
                <w:rFonts w:ascii="Times New Roman" w:cs="Times New Roman" w:eastAsia="Times New Roman" w:hAnsi="Times New Roman"/>
                <w:sz w:val="18"/>
                <w:szCs w:val="18"/>
                <w:color w:val="auto"/>
              </w:rPr>
              <w:t>13 of 37</w:t>
            </w:r>
          </w:p>
        </w:tc>
        <w:tc>
          <w:tcPr>
            <w:tcW w:w="124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132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1220" w:type="dxa"/>
            <w:vAlign w:val="bottom"/>
          </w:tcPr>
          <w:p>
            <w:pPr>
              <w:spacing w:after="0"/>
              <w:rPr>
                <w:sz w:val="24"/>
                <w:szCs w:val="24"/>
                <w:color w:val="auto"/>
              </w:rPr>
            </w:pPr>
          </w:p>
        </w:tc>
      </w:tr>
      <w:tr>
        <w:trPr>
          <w:trHeight w:val="115"/>
        </w:trPr>
        <w:tc>
          <w:tcPr>
            <w:tcW w:w="500" w:type="dxa"/>
            <w:vAlign w:val="bottom"/>
            <w:tcBorders>
              <w:bottom w:val="single" w:sz="8" w:color="auto"/>
            </w:tcBorders>
          </w:tcPr>
          <w:p>
            <w:pPr>
              <w:spacing w:after="0"/>
              <w:rPr>
                <w:sz w:val="10"/>
                <w:szCs w:val="10"/>
                <w:color w:val="auto"/>
              </w:rPr>
            </w:pPr>
          </w:p>
        </w:tc>
        <w:tc>
          <w:tcPr>
            <w:tcW w:w="3800" w:type="dxa"/>
            <w:vAlign w:val="bottom"/>
            <w:tcBorders>
              <w:bottom w:val="single" w:sz="8" w:color="auto"/>
            </w:tcBorders>
          </w:tcPr>
          <w:p>
            <w:pPr>
              <w:spacing w:after="0"/>
              <w:rPr>
                <w:sz w:val="10"/>
                <w:szCs w:val="10"/>
                <w:color w:val="auto"/>
              </w:rPr>
            </w:pPr>
          </w:p>
        </w:tc>
        <w:tc>
          <w:tcPr>
            <w:tcW w:w="2520" w:type="dxa"/>
            <w:vAlign w:val="bottom"/>
            <w:tcBorders>
              <w:bottom w:val="single" w:sz="8" w:color="auto"/>
            </w:tcBorders>
          </w:tcPr>
          <w:p>
            <w:pPr>
              <w:spacing w:after="0"/>
              <w:rPr>
                <w:sz w:val="10"/>
                <w:szCs w:val="10"/>
                <w:color w:val="auto"/>
              </w:rPr>
            </w:pPr>
          </w:p>
        </w:tc>
        <w:tc>
          <w:tcPr>
            <w:tcW w:w="124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32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r>
    </w:tbl>
    <w:p>
      <w:pPr>
        <w:sectPr>
          <w:pgSz w:w="11900" w:h="16838" w:orient="portrait"/>
          <w:cols w:equalWidth="0" w:num="1">
            <w:col w:w="11420"/>
          </w:cols>
          <w:pgMar w:left="240" w:top="580" w:right="239" w:bottom="1440" w:gutter="0" w:footer="0" w:header="0"/>
        </w:sectPr>
      </w:pPr>
    </w:p>
    <w:bookmarkStart w:id="13" w:name="page14"/>
    <w:bookmarkEnd w:id="13"/>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9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Estimated future amortization expense for intangible assets that exist at March 2, 2019 is as follows:</w:t>
            </w:r>
          </w:p>
        </w:tc>
        <w:tc>
          <w:tcPr>
            <w:tcW w:w="7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160" w:type="dxa"/>
            <w:vAlign w:val="bottom"/>
            <w:vMerge w:val="restart"/>
          </w:tcPr>
          <w:p>
            <w:pPr>
              <w:spacing w:after="0"/>
              <w:rPr>
                <w:sz w:val="18"/>
                <w:szCs w:val="18"/>
                <w:color w:val="auto"/>
              </w:rPr>
            </w:pPr>
          </w:p>
        </w:tc>
        <w:tc>
          <w:tcPr>
            <w:tcW w:w="67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vMerge w:val="continue"/>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Remainder of fiscal 2019</w:t>
            </w:r>
          </w:p>
        </w:tc>
        <w:tc>
          <w:tcPr>
            <w:tcW w:w="132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Fiscal 2020</w:t>
            </w:r>
          </w:p>
        </w:tc>
        <w:tc>
          <w:tcPr>
            <w:tcW w:w="7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2021</w:t>
            </w:r>
          </w:p>
        </w:tc>
        <w:tc>
          <w:tcPr>
            <w:tcW w:w="7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Fiscal 2022</w:t>
            </w:r>
          </w:p>
        </w:tc>
        <w:tc>
          <w:tcPr>
            <w:tcW w:w="7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2023</w:t>
            </w:r>
          </w:p>
        </w:tc>
        <w:tc>
          <w:tcPr>
            <w:tcW w:w="7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Fiscal 2024</w:t>
            </w:r>
          </w:p>
        </w:tc>
        <w:tc>
          <w:tcPr>
            <w:tcW w:w="7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67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Thereafter</w:t>
            </w:r>
          </w:p>
        </w:tc>
        <w:tc>
          <w:tcPr>
            <w:tcW w:w="720" w:type="dxa"/>
            <w:vAlign w:val="bottom"/>
            <w:tcBorders>
              <w:bottom w:val="single" w:sz="8" w:color="CCEEFF"/>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1,166</w:t>
            </w:r>
          </w:p>
        </w:tc>
        <w:tc>
          <w:tcPr>
            <w:tcW w:w="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940" w:type="dxa"/>
            <w:vAlign w:val="bottom"/>
            <w:gridSpan w:val="2"/>
          </w:tcPr>
          <w:p>
            <w:pPr>
              <w:spacing w:after="0"/>
              <w:rPr>
                <w:sz w:val="18"/>
                <w:szCs w:val="18"/>
                <w:color w:val="auto"/>
              </w:rPr>
            </w:pPr>
          </w:p>
        </w:tc>
        <w:tc>
          <w:tcPr>
            <w:tcW w:w="7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1160" w:type="dxa"/>
            <w:vAlign w:val="bottom"/>
          </w:tcPr>
          <w:p>
            <w:pPr>
              <w:spacing w:after="0"/>
              <w:rPr>
                <w:sz w:val="20"/>
                <w:szCs w:val="20"/>
                <w:color w:val="auto"/>
              </w:rPr>
            </w:pPr>
          </w:p>
        </w:tc>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w:t>
            </w:r>
          </w:p>
        </w:tc>
        <w:tc>
          <w:tcPr>
            <w:tcW w:w="132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3,005</w:t>
            </w:r>
          </w:p>
        </w:tc>
        <w:tc>
          <w:tcPr>
            <w:tcW w:w="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6780" w:type="dxa"/>
            <w:vAlign w:val="bottom"/>
            <w:tcBorders>
              <w:top w:val="single" w:sz="8" w:color="CCEEFF"/>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 Notes Payable and Bank Credit Facility</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Real Estate Notes Payable</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Certain of our retail real estate properties have been financed through commercial mortgages with outstanding principal totaling $183 and $292 at March 2, 2019 and November 24, 2018, respectively. The mortgages each bear interest at a fixed rate of 6.73%. They are collateralized by the respective properties with net book values totaling approximately $5,568 and $5,599 at March 2, 2019 and November 24, 2018, respectively. The entire balance of these mortgages is due within one year and is included in other current liabilities and accrued expenses in the accompanying condensed consolidated balance sheets.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Fair Value</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 xml:space="preserve">We believe that the carrying amount of our notes payable approximates fair value at both March 2, 2019 and November 24, 2018. In estimating the fair value, we utilize current market interest rates for similar instruments. The inputs into these fair value calculations reflect our market assumptions and are not observable. Consequently, the inputs are considered to be Level 3 as specified in the fair value hierarchy in ASC Topic 820, </w:t>
      </w:r>
      <w:r>
        <w:rPr>
          <w:rFonts w:ascii="Times New Roman" w:cs="Times New Roman" w:eastAsia="Times New Roman" w:hAnsi="Times New Roman"/>
          <w:sz w:val="18"/>
          <w:szCs w:val="18"/>
          <w:i w:val="1"/>
          <w:iCs w:val="1"/>
          <w:color w:val="auto"/>
        </w:rPr>
        <w:t>Fair Value Measurements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Disclosures</w:t>
      </w:r>
      <w:r>
        <w:rPr>
          <w:rFonts w:ascii="Times New Roman" w:cs="Times New Roman" w:eastAsia="Times New Roman" w:hAnsi="Times New Roman"/>
          <w:sz w:val="18"/>
          <w:szCs w:val="18"/>
          <w:color w:val="auto"/>
        </w:rPr>
        <w:t>. See Note 3.</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Bank Credit Facility</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credit facility with our bank provides for a line of credit of up to $25,000. This credit facility is unsecured and contains covenants requiring us to maintain certain key financial ratios. We are in compliance with all covenants under the agreement and expect to remain in compliance for the foreseeable future. The credit facility will mature in December 2021.</w:t>
      </w:r>
    </w:p>
    <w:p>
      <w:pPr>
        <w:spacing w:after="0" w:line="176"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At March 2, 2019, we had $2,798 outstanding under standby letters of credit against our line, leaving availability under our credit line of $22,202. In addition, we have outstanding standby letters of credit with another bank totaling $325.</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9. Post Employment Benefit Obligations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Defined Benefit Plans</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have an unfunded Supplemental Retirement Income Plan (the “Supplemental Plan”) that covers one current and certain former executives. The liability for the Supplemental Plan was $10,364 and $10,574 as of March 2, 2019 and November 24, 2018, respectively.</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also have the Bassett Furniture Industries, Incorporated Management Savings Plan (the “Management Savings Plan”) which was established in the second quarter of fiscal 2017. The Management Savings Plan is an unfunded, nonqualified deferred compensation plan maintained for the benefit of certain highly compensated or management level employees. As part of the Management Savings Plan, we have made Long Term Cash Awards (“LTC Awards”) totaling $2,000 to certain management employees in the amount of $400 each. The liability for the LTC Awards was $1,101 and $1,078 as of March 2, 2019 and November 24, 2018, respectively.</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14" w:name="page15"/>
    <w:bookmarkEnd w:id="14"/>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combined pension liability for the Supplemental Plan and LTC Awards is recorded as follows in the condensed consolidated balance sheets:</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7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80" w:type="dxa"/>
            <w:vAlign w:val="bottom"/>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March 2,</w:t>
            </w:r>
          </w:p>
        </w:tc>
        <w:tc>
          <w:tcPr>
            <w:tcW w:w="260" w:type="dxa"/>
            <w:vAlign w:val="bottom"/>
          </w:tcPr>
          <w:p>
            <w:pPr>
              <w:spacing w:after="0"/>
              <w:rPr>
                <w:sz w:val="18"/>
                <w:szCs w:val="18"/>
                <w:color w:val="auto"/>
              </w:rPr>
            </w:pPr>
          </w:p>
        </w:tc>
        <w:tc>
          <w:tcPr>
            <w:tcW w:w="146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November 24,</w:t>
            </w:r>
          </w:p>
        </w:tc>
      </w:tr>
      <w:tr>
        <w:trPr>
          <w:trHeight w:val="238"/>
        </w:trPr>
        <w:tc>
          <w:tcPr>
            <w:tcW w:w="20" w:type="dxa"/>
            <w:vAlign w:val="bottom"/>
          </w:tcPr>
          <w:p>
            <w:pPr>
              <w:spacing w:after="0"/>
              <w:rPr>
                <w:sz w:val="20"/>
                <w:szCs w:val="20"/>
                <w:color w:val="auto"/>
              </w:rPr>
            </w:pPr>
          </w:p>
        </w:tc>
        <w:tc>
          <w:tcPr>
            <w:tcW w:w="57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2018</w:t>
            </w:r>
          </w:p>
        </w:tc>
        <w:tc>
          <w:tcPr>
            <w:tcW w:w="80" w:type="dxa"/>
            <w:vAlign w:val="bottom"/>
          </w:tcPr>
          <w:p>
            <w:pPr>
              <w:spacing w:after="0"/>
              <w:rPr>
                <w:sz w:val="20"/>
                <w:szCs w:val="20"/>
                <w:color w:val="auto"/>
              </w:rPr>
            </w:pPr>
          </w:p>
        </w:tc>
      </w:tr>
      <w:tr>
        <w:trPr>
          <w:trHeight w:val="210"/>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260" w:type="dxa"/>
            <w:vAlign w:val="bottom"/>
            <w:shd w:val="clear" w:color="auto" w:fill="CCEEFF"/>
          </w:tcPr>
          <w:p>
            <w:pPr>
              <w:jc w:val="right"/>
              <w:ind w:right="95"/>
              <w:spacing w:after="0"/>
              <w:rPr>
                <w:sz w:val="20"/>
                <w:szCs w:val="20"/>
                <w:color w:val="auto"/>
              </w:rPr>
            </w:pPr>
            <w:r>
              <w:rPr>
                <w:rFonts w:ascii="Times New Roman" w:cs="Times New Roman" w:eastAsia="Times New Roman" w:hAnsi="Times New Roman"/>
                <w:sz w:val="17"/>
                <w:szCs w:val="17"/>
                <w:color w:val="auto"/>
                <w:w w:val="70"/>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798</w:t>
            </w:r>
          </w:p>
        </w:tc>
        <w:tc>
          <w:tcPr>
            <w:tcW w:w="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798</w:t>
            </w:r>
          </w:p>
        </w:tc>
        <w:tc>
          <w:tcPr>
            <w:tcW w:w="8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26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10,667</w:t>
            </w:r>
          </w:p>
        </w:tc>
        <w:tc>
          <w:tcPr>
            <w:tcW w:w="26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10,854</w:t>
            </w:r>
          </w:p>
        </w:tc>
        <w:tc>
          <w:tcPr>
            <w:tcW w:w="80" w:type="dxa"/>
            <w:vAlign w:val="bottom"/>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pension liability</w:t>
            </w:r>
          </w:p>
        </w:tc>
        <w:tc>
          <w:tcPr>
            <w:tcW w:w="260" w:type="dxa"/>
            <w:vAlign w:val="bottom"/>
            <w:tcBorders>
              <w:bottom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color w:val="auto"/>
                <w:w w:val="70"/>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11,465</w:t>
            </w:r>
          </w:p>
        </w:tc>
        <w:tc>
          <w:tcPr>
            <w:tcW w:w="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11,652</w:t>
            </w:r>
          </w:p>
        </w:tc>
        <w:tc>
          <w:tcPr>
            <w:tcW w:w="8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Components of net periodic pension costs for our defined benefit plans for the three months ended March 2, 2019 and February 24, 2018 are as follows:</w:t>
      </w:r>
    </w:p>
    <w:p>
      <w:pPr>
        <w:spacing w:after="0" w:line="221" w:lineRule="exact"/>
        <w:rPr>
          <w:sz w:val="20"/>
          <w:szCs w:val="20"/>
          <w:color w:val="auto"/>
        </w:rPr>
      </w:pPr>
    </w:p>
    <w:tbl>
      <w:tblPr>
        <w:tblLayout w:type="fixed"/>
        <w:tblInd w:w="500" w:type="dxa"/>
        <w:tblCellMar>
          <w:top w:w="0" w:type="dxa"/>
          <w:left w:w="0" w:type="dxa"/>
          <w:bottom w:w="0" w:type="dxa"/>
          <w:right w:w="0" w:type="dxa"/>
        </w:tblCellMar>
      </w:tblPr>
      <w:tr>
        <w:trPr>
          <w:trHeight w:val="238"/>
        </w:trPr>
        <w:tc>
          <w:tcPr>
            <w:tcW w:w="5760" w:type="dxa"/>
            <w:vAlign w:val="bottom"/>
          </w:tcPr>
          <w:p>
            <w:pPr>
              <w:spacing w:after="0"/>
              <w:rPr>
                <w:sz w:val="20"/>
                <w:szCs w:val="20"/>
                <w:color w:val="auto"/>
              </w:rPr>
            </w:pPr>
          </w:p>
        </w:tc>
        <w:tc>
          <w:tcPr>
            <w:tcW w:w="3000" w:type="dxa"/>
            <w:vAlign w:val="bottom"/>
            <w:tcBorders>
              <w:bottom w:val="single" w:sz="8" w:color="auto"/>
            </w:tcBorders>
            <w:gridSpan w:val="5"/>
          </w:tcPr>
          <w:p>
            <w:pPr>
              <w:jc w:val="right"/>
              <w:ind w:right="69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28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187"/>
        </w:trPr>
        <w:tc>
          <w:tcPr>
            <w:tcW w:w="5760" w:type="dxa"/>
            <w:vAlign w:val="bottom"/>
          </w:tcPr>
          <w:p>
            <w:pPr>
              <w:spacing w:after="0"/>
              <w:rPr>
                <w:sz w:val="16"/>
                <w:szCs w:val="16"/>
                <w:color w:val="auto"/>
              </w:rPr>
            </w:pPr>
          </w:p>
        </w:tc>
        <w:tc>
          <w:tcPr>
            <w:tcW w:w="122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March 2,</w:t>
            </w: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80" w:type="dxa"/>
            <w:vAlign w:val="bottom"/>
          </w:tcPr>
          <w:p>
            <w:pPr>
              <w:jc w:val="right"/>
              <w:spacing w:after="0" w:line="188" w:lineRule="exact"/>
              <w:rPr>
                <w:sz w:val="20"/>
                <w:szCs w:val="20"/>
                <w:color w:val="auto"/>
              </w:rPr>
            </w:pPr>
            <w:r>
              <w:rPr>
                <w:rFonts w:ascii="Times New Roman" w:cs="Times New Roman" w:eastAsia="Times New Roman" w:hAnsi="Times New Roman"/>
                <w:sz w:val="18"/>
                <w:szCs w:val="18"/>
                <w:b w:val="1"/>
                <w:bCs w:val="1"/>
                <w:color w:val="auto"/>
              </w:rPr>
              <w:t>February 24,</w:t>
            </w:r>
          </w:p>
        </w:tc>
        <w:tc>
          <w:tcPr>
            <w:tcW w:w="280" w:type="dxa"/>
            <w:vAlign w:val="bottom"/>
          </w:tcPr>
          <w:p>
            <w:pPr>
              <w:spacing w:after="0"/>
              <w:rPr>
                <w:sz w:val="16"/>
                <w:szCs w:val="16"/>
                <w:color w:val="auto"/>
              </w:rPr>
            </w:pPr>
          </w:p>
        </w:tc>
        <w:tc>
          <w:tcPr>
            <w:tcW w:w="80" w:type="dxa"/>
            <w:vAlign w:val="bottom"/>
          </w:tcPr>
          <w:p>
            <w:pPr>
              <w:spacing w:after="0"/>
              <w:rPr>
                <w:sz w:val="16"/>
                <w:szCs w:val="16"/>
                <w:color w:val="auto"/>
              </w:rPr>
            </w:pPr>
          </w:p>
        </w:tc>
      </w:tr>
      <w:tr>
        <w:trPr>
          <w:trHeight w:val="238"/>
        </w:trPr>
        <w:tc>
          <w:tcPr>
            <w:tcW w:w="5760" w:type="dxa"/>
            <w:vAlign w:val="bottom"/>
          </w:tcPr>
          <w:p>
            <w:pPr>
              <w:spacing w:after="0"/>
              <w:rPr>
                <w:sz w:val="20"/>
                <w:szCs w:val="20"/>
                <w:color w:val="auto"/>
              </w:rPr>
            </w:pPr>
          </w:p>
        </w:tc>
        <w:tc>
          <w:tcPr>
            <w:tcW w:w="122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2019</w:t>
            </w:r>
          </w:p>
        </w:tc>
        <w:tc>
          <w:tcPr>
            <w:tcW w:w="34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8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b w:val="1"/>
                <w:bCs w:val="1"/>
                <w:color w:val="auto"/>
              </w:rPr>
              <w:t>2018</w:t>
            </w:r>
          </w:p>
        </w:tc>
        <w:tc>
          <w:tcPr>
            <w:tcW w:w="28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210"/>
        </w:trPr>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Service cost</w:t>
            </w:r>
          </w:p>
        </w:tc>
        <w:tc>
          <w:tcPr>
            <w:tcW w:w="1220" w:type="dxa"/>
            <w:vAlign w:val="bottom"/>
            <w:shd w:val="clear" w:color="auto" w:fill="CCEEFF"/>
          </w:tcPr>
          <w:p>
            <w:pPr>
              <w:jc w:val="right"/>
              <w:ind w:right="1030"/>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47</w:t>
            </w:r>
          </w:p>
        </w:tc>
        <w:tc>
          <w:tcPr>
            <w:tcW w:w="1360" w:type="dxa"/>
            <w:vAlign w:val="bottom"/>
            <w:gridSpan w:val="2"/>
            <w:shd w:val="clear" w:color="auto" w:fill="CCEEFF"/>
          </w:tcPr>
          <w:p>
            <w:pPr>
              <w:jc w:val="right"/>
              <w:ind w:right="109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49</w:t>
            </w:r>
          </w:p>
        </w:tc>
      </w:tr>
      <w:tr>
        <w:trPr>
          <w:trHeight w:val="216"/>
        </w:trPr>
        <w:tc>
          <w:tcPr>
            <w:tcW w:w="5760" w:type="dxa"/>
            <w:vAlign w:val="bottom"/>
          </w:tcPr>
          <w:p>
            <w:pPr>
              <w:spacing w:after="0"/>
              <w:rPr>
                <w:sz w:val="20"/>
                <w:szCs w:val="20"/>
                <w:color w:val="auto"/>
              </w:rPr>
            </w:pPr>
            <w:r>
              <w:rPr>
                <w:rFonts w:ascii="Times New Roman" w:cs="Times New Roman" w:eastAsia="Times New Roman" w:hAnsi="Times New Roman"/>
                <w:sz w:val="18"/>
                <w:szCs w:val="18"/>
                <w:color w:val="auto"/>
              </w:rPr>
              <w:t>Interest cost</w:t>
            </w:r>
          </w:p>
        </w:tc>
        <w:tc>
          <w:tcPr>
            <w:tcW w:w="1220" w:type="dxa"/>
            <w:vAlign w:val="bottom"/>
          </w:tcPr>
          <w:p>
            <w:pPr>
              <w:spacing w:after="0"/>
              <w:rPr>
                <w:sz w:val="18"/>
                <w:szCs w:val="18"/>
                <w:color w:val="auto"/>
              </w:rPr>
            </w:pPr>
          </w:p>
        </w:tc>
        <w:tc>
          <w:tcPr>
            <w:tcW w:w="4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110</w:t>
            </w:r>
          </w:p>
        </w:tc>
        <w:tc>
          <w:tcPr>
            <w:tcW w:w="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w w:val="96"/>
              </w:rPr>
              <w:t>105</w:t>
            </w:r>
          </w:p>
        </w:tc>
      </w:tr>
      <w:tr>
        <w:trPr>
          <w:trHeight w:val="216"/>
        </w:trPr>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Amortization of prior service costs</w:t>
            </w:r>
          </w:p>
        </w:tc>
        <w:tc>
          <w:tcPr>
            <w:tcW w:w="122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31</w:t>
            </w:r>
          </w:p>
        </w:tc>
        <w:tc>
          <w:tcPr>
            <w:tcW w:w="8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31</w:t>
            </w:r>
          </w:p>
        </w:tc>
      </w:tr>
      <w:tr>
        <w:trPr>
          <w:trHeight w:val="216"/>
        </w:trPr>
        <w:tc>
          <w:tcPr>
            <w:tcW w:w="5760" w:type="dxa"/>
            <w:vAlign w:val="bottom"/>
          </w:tcPr>
          <w:p>
            <w:pPr>
              <w:spacing w:after="0"/>
              <w:rPr>
                <w:sz w:val="20"/>
                <w:szCs w:val="20"/>
                <w:color w:val="auto"/>
              </w:rPr>
            </w:pPr>
            <w:r>
              <w:rPr>
                <w:rFonts w:ascii="Times New Roman" w:cs="Times New Roman" w:eastAsia="Times New Roman" w:hAnsi="Times New Roman"/>
                <w:sz w:val="18"/>
                <w:szCs w:val="18"/>
                <w:color w:val="auto"/>
              </w:rPr>
              <w:t>Amortization of transition obligation</w:t>
            </w:r>
          </w:p>
        </w:tc>
        <w:tc>
          <w:tcPr>
            <w:tcW w:w="1220" w:type="dxa"/>
            <w:vAlign w:val="bottom"/>
          </w:tcPr>
          <w:p>
            <w:pPr>
              <w:spacing w:after="0"/>
              <w:rPr>
                <w:sz w:val="18"/>
                <w:szCs w:val="18"/>
                <w:color w:val="auto"/>
              </w:rPr>
            </w:pPr>
          </w:p>
        </w:tc>
        <w:tc>
          <w:tcPr>
            <w:tcW w:w="4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11</w:t>
            </w:r>
          </w:p>
        </w:tc>
      </w:tr>
      <w:tr>
        <w:trPr>
          <w:trHeight w:val="216"/>
        </w:trPr>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Amortization of loss</w:t>
            </w:r>
          </w:p>
        </w:tc>
        <w:tc>
          <w:tcPr>
            <w:tcW w:w="122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46</w:t>
            </w:r>
          </w:p>
        </w:tc>
        <w:tc>
          <w:tcPr>
            <w:tcW w:w="8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65</w:t>
            </w:r>
          </w:p>
        </w:tc>
      </w:tr>
      <w:tr>
        <w:trPr>
          <w:trHeight w:val="210"/>
        </w:trPr>
        <w:tc>
          <w:tcPr>
            <w:tcW w:w="5760" w:type="dxa"/>
            <w:vAlign w:val="bottom"/>
            <w:tcBorders>
              <w:top w:val="single" w:sz="8" w:color="CCEEFF"/>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2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36"/>
        </w:trPr>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periodic pension cost</w:t>
            </w:r>
          </w:p>
        </w:tc>
        <w:tc>
          <w:tcPr>
            <w:tcW w:w="1220" w:type="dxa"/>
            <w:vAlign w:val="bottom"/>
            <w:shd w:val="clear" w:color="auto" w:fill="CCEEFF"/>
          </w:tcPr>
          <w:p>
            <w:pPr>
              <w:jc w:val="right"/>
              <w:ind w:right="1030"/>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234</w:t>
            </w:r>
          </w:p>
        </w:tc>
        <w:tc>
          <w:tcPr>
            <w:tcW w:w="1360" w:type="dxa"/>
            <w:vAlign w:val="bottom"/>
            <w:gridSpan w:val="2"/>
            <w:shd w:val="clear" w:color="auto" w:fill="CCEEFF"/>
          </w:tcPr>
          <w:p>
            <w:pPr>
              <w:jc w:val="right"/>
              <w:ind w:right="109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w w:val="96"/>
              </w:rPr>
              <w:t>261</w:t>
            </w:r>
          </w:p>
        </w:tc>
      </w:tr>
      <w:tr>
        <w:trPr>
          <w:trHeight w:val="20"/>
        </w:trPr>
        <w:tc>
          <w:tcPr>
            <w:tcW w:w="5760" w:type="dxa"/>
            <w:vAlign w:val="bottom"/>
            <w:tcBorders>
              <w:top w:val="single" w:sz="8" w:color="CCEEFF"/>
            </w:tcBorders>
            <w:shd w:val="clear" w:color="auto" w:fill="CCEEFF"/>
          </w:tcPr>
          <w:p>
            <w:pPr>
              <w:spacing w:after="0" w:line="20" w:lineRule="exact"/>
              <w:rPr>
                <w:sz w:val="1"/>
                <w:szCs w:val="1"/>
                <w:color w:val="auto"/>
              </w:rPr>
            </w:pPr>
          </w:p>
        </w:tc>
        <w:tc>
          <w:tcPr>
            <w:tcW w:w="1220" w:type="dxa"/>
            <w:vAlign w:val="bottom"/>
            <w:tcBorders>
              <w:top w:val="single" w:sz="8" w:color="auto"/>
            </w:tcBorders>
            <w:shd w:val="clear" w:color="auto" w:fill="000000"/>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28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components of net periodic pension cost other than the service cost component are included in other loss, net in our condensed consolidated statements of operations.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Deferred Compensation Plans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have an unfunded deferred compensation plan that covers one current executive and certain former executives and provides for voluntary deferral of compensation. This plan has been frozen with no additional participants or deferrals permitted. Our liability under this plan was $1,792 and $1,837 as of March 2, 2019 and November 24, 2018, respectively.</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also have an unfunded, nonqualified deferred compensation plan maintained for the benefit of certain highly compensated or management level employees which was established under the Management Savings Plan. Our liability under this plan, including both accrued Company contributions and participant salary deferrals, was $661 and $611 as of March 2, 2019 and November 24, 2018, respectively.</w:t>
      </w:r>
    </w:p>
    <w:p>
      <w:pPr>
        <w:spacing w:after="0" w:line="176"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Our combined liability for all deferred compensation arrangements, including Company contributions and participant deferrals under the Management Savings Plan, is recorded as follows in the condensed consolidated balance sheets: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March 2,</w:t>
            </w: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6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November 24,</w:t>
            </w:r>
          </w:p>
        </w:tc>
        <w:tc>
          <w:tcPr>
            <w:tcW w:w="1800" w:type="dxa"/>
            <w:vAlign w:val="bottom"/>
          </w:tcPr>
          <w:p>
            <w:pPr>
              <w:spacing w:after="0"/>
              <w:rPr>
                <w:sz w:val="18"/>
                <w:szCs w:val="18"/>
                <w:color w:val="auto"/>
              </w:rPr>
            </w:pPr>
          </w:p>
        </w:tc>
      </w:tr>
      <w:tr>
        <w:trPr>
          <w:trHeight w:val="238"/>
        </w:trPr>
        <w:tc>
          <w:tcPr>
            <w:tcW w:w="500" w:type="dxa"/>
            <w:vAlign w:val="bottom"/>
          </w:tcPr>
          <w:p>
            <w:pPr>
              <w:spacing w:after="0"/>
              <w:rPr>
                <w:sz w:val="20"/>
                <w:szCs w:val="20"/>
                <w:color w:val="auto"/>
              </w:rPr>
            </w:pPr>
          </w:p>
        </w:tc>
        <w:tc>
          <w:tcPr>
            <w:tcW w:w="3780" w:type="dxa"/>
            <w:vAlign w:val="bottom"/>
          </w:tcPr>
          <w:p>
            <w:pPr>
              <w:spacing w:after="0"/>
              <w:rPr>
                <w:sz w:val="20"/>
                <w:szCs w:val="20"/>
                <w:color w:val="auto"/>
              </w:rPr>
            </w:pPr>
          </w:p>
        </w:tc>
        <w:tc>
          <w:tcPr>
            <w:tcW w:w="1980" w:type="dxa"/>
            <w:vAlign w:val="bottom"/>
          </w:tcPr>
          <w:p>
            <w:pPr>
              <w:spacing w:after="0"/>
              <w:rPr>
                <w:sz w:val="20"/>
                <w:szCs w:val="20"/>
                <w:color w:val="auto"/>
              </w:rPr>
            </w:pPr>
          </w:p>
        </w:tc>
        <w:tc>
          <w:tcPr>
            <w:tcW w:w="114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50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2018</w:t>
            </w:r>
          </w:p>
        </w:tc>
        <w:tc>
          <w:tcPr>
            <w:tcW w:w="80" w:type="dxa"/>
            <w:vAlign w:val="bottom"/>
          </w:tcPr>
          <w:p>
            <w:pPr>
              <w:spacing w:after="0"/>
              <w:rPr>
                <w:sz w:val="20"/>
                <w:szCs w:val="20"/>
                <w:color w:val="auto"/>
              </w:rPr>
            </w:pPr>
          </w:p>
        </w:tc>
        <w:tc>
          <w:tcPr>
            <w:tcW w:w="1800" w:type="dxa"/>
            <w:vAlign w:val="bottom"/>
          </w:tcPr>
          <w:p>
            <w:pPr>
              <w:spacing w:after="0"/>
              <w:rPr>
                <w:sz w:val="20"/>
                <w:szCs w:val="20"/>
                <w:color w:val="auto"/>
              </w:rPr>
            </w:pPr>
          </w:p>
        </w:tc>
      </w:tr>
      <w:tr>
        <w:trPr>
          <w:trHeight w:val="210"/>
        </w:trPr>
        <w:tc>
          <w:tcPr>
            <w:tcW w:w="50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3120" w:type="dxa"/>
            <w:vAlign w:val="bottom"/>
            <w:gridSpan w:val="2"/>
            <w:shd w:val="clear" w:color="auto" w:fill="CCEEFF"/>
          </w:tcPr>
          <w:p>
            <w:pPr>
              <w:jc w:val="right"/>
              <w:ind w:right="950"/>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266</w:t>
            </w:r>
          </w:p>
        </w:tc>
        <w:tc>
          <w:tcPr>
            <w:tcW w:w="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266</w:t>
            </w:r>
          </w:p>
        </w:tc>
        <w:tc>
          <w:tcPr>
            <w:tcW w:w="1800" w:type="dxa"/>
            <w:vAlign w:val="bottom"/>
          </w:tcPr>
          <w:p>
            <w:pPr>
              <w:spacing w:after="0"/>
              <w:rPr>
                <w:sz w:val="18"/>
                <w:szCs w:val="18"/>
                <w:color w:val="auto"/>
              </w:rPr>
            </w:pPr>
          </w:p>
        </w:tc>
      </w:tr>
      <w:tr>
        <w:trPr>
          <w:trHeight w:val="216"/>
        </w:trPr>
        <w:tc>
          <w:tcPr>
            <w:tcW w:w="50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19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8"/>
              </w:rPr>
              <w:t>2,186</w:t>
            </w:r>
          </w:p>
        </w:tc>
        <w:tc>
          <w:tcPr>
            <w:tcW w:w="26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2,053</w:t>
            </w:r>
          </w:p>
        </w:tc>
        <w:tc>
          <w:tcPr>
            <w:tcW w:w="1800" w:type="dxa"/>
            <w:vAlign w:val="bottom"/>
          </w:tcPr>
          <w:p>
            <w:pPr>
              <w:spacing w:after="0"/>
              <w:rPr>
                <w:sz w:val="18"/>
                <w:szCs w:val="18"/>
                <w:color w:val="auto"/>
              </w:rPr>
            </w:pPr>
          </w:p>
        </w:tc>
      </w:tr>
      <w:tr>
        <w:trPr>
          <w:trHeight w:val="210"/>
        </w:trPr>
        <w:tc>
          <w:tcPr>
            <w:tcW w:w="500" w:type="dxa"/>
            <w:vAlign w:val="bottom"/>
          </w:tcPr>
          <w:p>
            <w:pPr>
              <w:spacing w:after="0"/>
              <w:rPr>
                <w:sz w:val="18"/>
                <w:szCs w:val="18"/>
                <w:color w:val="auto"/>
              </w:rPr>
            </w:pPr>
          </w:p>
        </w:tc>
        <w:tc>
          <w:tcPr>
            <w:tcW w:w="3780" w:type="dxa"/>
            <w:vAlign w:val="bottom"/>
            <w:shd w:val="clear" w:color="auto" w:fill="CCEEFF"/>
          </w:tcPr>
          <w:p>
            <w:pPr>
              <w:spacing w:after="0"/>
              <w:rPr>
                <w:sz w:val="18"/>
                <w:szCs w:val="18"/>
                <w:color w:val="auto"/>
              </w:rPr>
            </w:pPr>
          </w:p>
        </w:tc>
        <w:tc>
          <w:tcPr>
            <w:tcW w:w="198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3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0" w:type="dxa"/>
            <w:vAlign w:val="bottom"/>
          </w:tcPr>
          <w:p>
            <w:pPr>
              <w:spacing w:after="0"/>
              <w:rPr>
                <w:sz w:val="18"/>
                <w:szCs w:val="18"/>
                <w:color w:val="auto"/>
              </w:rPr>
            </w:pPr>
          </w:p>
        </w:tc>
      </w:tr>
      <w:tr>
        <w:trPr>
          <w:trHeight w:val="216"/>
        </w:trPr>
        <w:tc>
          <w:tcPr>
            <w:tcW w:w="4280" w:type="dxa"/>
            <w:vAlign w:val="bottom"/>
            <w:gridSpan w:val="2"/>
          </w:tcPr>
          <w:p>
            <w:pPr>
              <w:ind w:left="500"/>
              <w:spacing w:after="0"/>
              <w:rPr>
                <w:sz w:val="20"/>
                <w:szCs w:val="20"/>
                <w:color w:val="auto"/>
              </w:rPr>
            </w:pPr>
            <w:r>
              <w:rPr>
                <w:rFonts w:ascii="Times New Roman" w:cs="Times New Roman" w:eastAsia="Times New Roman" w:hAnsi="Times New Roman"/>
                <w:sz w:val="18"/>
                <w:szCs w:val="18"/>
                <w:color w:val="auto"/>
              </w:rPr>
              <w:t>Total deferred compensation liability</w:t>
            </w:r>
          </w:p>
        </w:tc>
        <w:tc>
          <w:tcPr>
            <w:tcW w:w="1980" w:type="dxa"/>
            <w:vAlign w:val="bottom"/>
          </w:tcPr>
          <w:p>
            <w:pPr>
              <w:spacing w:after="0"/>
              <w:rPr>
                <w:sz w:val="18"/>
                <w:szCs w:val="18"/>
                <w:color w:val="auto"/>
              </w:rPr>
            </w:pPr>
          </w:p>
        </w:tc>
        <w:tc>
          <w:tcPr>
            <w:tcW w:w="1140" w:type="dxa"/>
            <w:vAlign w:val="bottom"/>
          </w:tcPr>
          <w:p>
            <w:pPr>
              <w:jc w:val="right"/>
              <w:ind w:right="950"/>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8"/>
              </w:rPr>
              <w:t>2,452</w:t>
            </w:r>
          </w:p>
        </w:tc>
        <w:tc>
          <w:tcPr>
            <w:tcW w:w="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2,319</w:t>
            </w:r>
          </w:p>
        </w:tc>
        <w:tc>
          <w:tcPr>
            <w:tcW w:w="1800" w:type="dxa"/>
            <w:vAlign w:val="bottom"/>
          </w:tcPr>
          <w:p>
            <w:pPr>
              <w:spacing w:after="0"/>
              <w:rPr>
                <w:sz w:val="18"/>
                <w:szCs w:val="18"/>
                <w:color w:val="auto"/>
              </w:rPr>
            </w:pPr>
          </w:p>
        </w:tc>
      </w:tr>
      <w:tr>
        <w:trPr>
          <w:trHeight w:val="20"/>
        </w:trPr>
        <w:tc>
          <w:tcPr>
            <w:tcW w:w="50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r>
      <w:tr>
        <w:trPr>
          <w:trHeight w:val="413"/>
        </w:trPr>
        <w:tc>
          <w:tcPr>
            <w:tcW w:w="50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3120" w:type="dxa"/>
            <w:vAlign w:val="bottom"/>
            <w:gridSpan w:val="2"/>
          </w:tcPr>
          <w:p>
            <w:pPr>
              <w:jc w:val="right"/>
              <w:ind w:right="1290"/>
              <w:spacing w:after="0"/>
              <w:rPr>
                <w:sz w:val="20"/>
                <w:szCs w:val="20"/>
                <w:color w:val="auto"/>
              </w:rPr>
            </w:pPr>
            <w:r>
              <w:rPr>
                <w:rFonts w:ascii="Times New Roman" w:cs="Times New Roman" w:eastAsia="Times New Roman" w:hAnsi="Times New Roman"/>
                <w:sz w:val="18"/>
                <w:szCs w:val="18"/>
                <w:color w:val="auto"/>
              </w:rPr>
              <w:t>15 of 37</w:t>
            </w:r>
          </w:p>
        </w:tc>
        <w:tc>
          <w:tcPr>
            <w:tcW w:w="5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0" w:type="dxa"/>
            <w:vAlign w:val="bottom"/>
          </w:tcPr>
          <w:p>
            <w:pPr>
              <w:spacing w:after="0"/>
              <w:rPr>
                <w:sz w:val="24"/>
                <w:szCs w:val="24"/>
                <w:color w:val="auto"/>
              </w:rPr>
            </w:pPr>
          </w:p>
        </w:tc>
      </w:tr>
      <w:tr>
        <w:trPr>
          <w:trHeight w:val="115"/>
        </w:trPr>
        <w:tc>
          <w:tcPr>
            <w:tcW w:w="500" w:type="dxa"/>
            <w:vAlign w:val="bottom"/>
            <w:tcBorders>
              <w:bottom w:val="single" w:sz="8" w:color="auto"/>
            </w:tcBorders>
          </w:tcPr>
          <w:p>
            <w:pPr>
              <w:spacing w:after="0"/>
              <w:rPr>
                <w:sz w:val="10"/>
                <w:szCs w:val="10"/>
                <w:color w:val="auto"/>
              </w:rPr>
            </w:pPr>
          </w:p>
        </w:tc>
        <w:tc>
          <w:tcPr>
            <w:tcW w:w="3780" w:type="dxa"/>
            <w:vAlign w:val="bottom"/>
            <w:tcBorders>
              <w:bottom w:val="single" w:sz="8" w:color="auto"/>
            </w:tcBorders>
          </w:tcPr>
          <w:p>
            <w:pPr>
              <w:spacing w:after="0"/>
              <w:rPr>
                <w:sz w:val="10"/>
                <w:szCs w:val="10"/>
                <w:color w:val="auto"/>
              </w:rPr>
            </w:pPr>
          </w:p>
        </w:tc>
        <w:tc>
          <w:tcPr>
            <w:tcW w:w="1980" w:type="dxa"/>
            <w:vAlign w:val="bottom"/>
            <w:tcBorders>
              <w:bottom w:val="single" w:sz="8" w:color="auto"/>
            </w:tcBorders>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38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800" w:type="dxa"/>
            <w:vAlign w:val="bottom"/>
            <w:tcBorders>
              <w:bottom w:val="single" w:sz="8" w:color="auto"/>
            </w:tcBorders>
          </w:tcPr>
          <w:p>
            <w:pPr>
              <w:spacing w:after="0"/>
              <w:rPr>
                <w:sz w:val="10"/>
                <w:szCs w:val="10"/>
                <w:color w:val="auto"/>
              </w:rPr>
            </w:pPr>
          </w:p>
        </w:tc>
      </w:tr>
    </w:tbl>
    <w:p>
      <w:pPr>
        <w:sectPr>
          <w:pgSz w:w="11900" w:h="16838" w:orient="portrait"/>
          <w:cols w:equalWidth="0" w:num="1">
            <w:col w:w="11420"/>
          </w:cols>
          <w:pgMar w:left="240" w:top="580" w:right="239" w:bottom="1440" w:gutter="0" w:footer="0" w:header="0"/>
        </w:sectPr>
      </w:pPr>
    </w:p>
    <w:bookmarkStart w:id="15" w:name="page16"/>
    <w:bookmarkEnd w:id="15"/>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recognized expense under our deferred compensation arrangements during the three months ended March 2, 2019 and February 24, 2018 as follows:</w:t>
      </w:r>
    </w:p>
    <w:p>
      <w:pPr>
        <w:spacing w:after="0" w:line="221" w:lineRule="exact"/>
        <w:rPr>
          <w:sz w:val="20"/>
          <w:szCs w:val="20"/>
          <w:color w:val="auto"/>
        </w:rPr>
      </w:pPr>
    </w:p>
    <w:tbl>
      <w:tblPr>
        <w:tblLayout w:type="fixed"/>
        <w:tblInd w:w="500" w:type="dxa"/>
        <w:tblCellMar>
          <w:top w:w="0" w:type="dxa"/>
          <w:left w:w="0" w:type="dxa"/>
          <w:bottom w:w="0" w:type="dxa"/>
          <w:right w:w="0" w:type="dxa"/>
        </w:tblCellMar>
      </w:tblPr>
      <w:tr>
        <w:trPr>
          <w:trHeight w:val="238"/>
        </w:trPr>
        <w:tc>
          <w:tcPr>
            <w:tcW w:w="5760" w:type="dxa"/>
            <w:vAlign w:val="bottom"/>
          </w:tcPr>
          <w:p>
            <w:pPr>
              <w:spacing w:after="0"/>
              <w:rPr>
                <w:sz w:val="20"/>
                <w:szCs w:val="20"/>
                <w:color w:val="auto"/>
              </w:rPr>
            </w:pPr>
          </w:p>
        </w:tc>
        <w:tc>
          <w:tcPr>
            <w:tcW w:w="3060" w:type="dxa"/>
            <w:vAlign w:val="bottom"/>
            <w:tcBorders>
              <w:bottom w:val="single" w:sz="8" w:color="auto"/>
            </w:tcBorders>
            <w:gridSpan w:val="3"/>
          </w:tcPr>
          <w:p>
            <w:pPr>
              <w:jc w:val="right"/>
              <w:ind w:right="75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22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187"/>
        </w:trPr>
        <w:tc>
          <w:tcPr>
            <w:tcW w:w="5760" w:type="dxa"/>
            <w:vAlign w:val="bottom"/>
          </w:tcPr>
          <w:p>
            <w:pPr>
              <w:spacing w:after="0"/>
              <w:rPr>
                <w:sz w:val="16"/>
                <w:szCs w:val="16"/>
                <w:color w:val="auto"/>
              </w:rPr>
            </w:pPr>
          </w:p>
        </w:tc>
        <w:tc>
          <w:tcPr>
            <w:tcW w:w="1260" w:type="dxa"/>
            <w:vAlign w:val="bottom"/>
          </w:tcPr>
          <w:p>
            <w:pPr>
              <w:jc w:val="center"/>
              <w:ind w:left="230"/>
              <w:spacing w:after="0" w:line="188" w:lineRule="exact"/>
              <w:rPr>
                <w:sz w:val="20"/>
                <w:szCs w:val="20"/>
                <w:color w:val="auto"/>
              </w:rPr>
            </w:pPr>
            <w:r>
              <w:rPr>
                <w:rFonts w:ascii="Times New Roman" w:cs="Times New Roman" w:eastAsia="Times New Roman" w:hAnsi="Times New Roman"/>
                <w:sz w:val="18"/>
                <w:szCs w:val="18"/>
                <w:b w:val="1"/>
                <w:bCs w:val="1"/>
                <w:color w:val="auto"/>
                <w:w w:val="99"/>
              </w:rPr>
              <w:t>March 2,</w:t>
            </w:r>
          </w:p>
        </w:tc>
        <w:tc>
          <w:tcPr>
            <w:tcW w:w="380" w:type="dxa"/>
            <w:vAlign w:val="bottom"/>
          </w:tcPr>
          <w:p>
            <w:pPr>
              <w:spacing w:after="0"/>
              <w:rPr>
                <w:sz w:val="16"/>
                <w:szCs w:val="16"/>
                <w:color w:val="auto"/>
              </w:rPr>
            </w:pPr>
          </w:p>
        </w:tc>
        <w:tc>
          <w:tcPr>
            <w:tcW w:w="1420" w:type="dxa"/>
            <w:vAlign w:val="bottom"/>
          </w:tcPr>
          <w:p>
            <w:pPr>
              <w:jc w:val="center"/>
              <w:ind w:left="210"/>
              <w:spacing w:after="0" w:line="188" w:lineRule="exact"/>
              <w:rPr>
                <w:sz w:val="20"/>
                <w:szCs w:val="20"/>
                <w:color w:val="auto"/>
              </w:rPr>
            </w:pPr>
            <w:r>
              <w:rPr>
                <w:rFonts w:ascii="Times New Roman" w:cs="Times New Roman" w:eastAsia="Times New Roman" w:hAnsi="Times New Roman"/>
                <w:sz w:val="18"/>
                <w:szCs w:val="18"/>
                <w:b w:val="1"/>
                <w:bCs w:val="1"/>
                <w:color w:val="auto"/>
                <w:w w:val="99"/>
              </w:rPr>
              <w:t>February 24,</w:t>
            </w: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r>
      <w:tr>
        <w:trPr>
          <w:trHeight w:val="238"/>
        </w:trPr>
        <w:tc>
          <w:tcPr>
            <w:tcW w:w="5760" w:type="dxa"/>
            <w:vAlign w:val="bottom"/>
          </w:tcPr>
          <w:p>
            <w:pPr>
              <w:spacing w:after="0"/>
              <w:rPr>
                <w:sz w:val="20"/>
                <w:szCs w:val="20"/>
                <w:color w:val="auto"/>
              </w:rPr>
            </w:pPr>
          </w:p>
        </w:tc>
        <w:tc>
          <w:tcPr>
            <w:tcW w:w="1260" w:type="dxa"/>
            <w:vAlign w:val="bottom"/>
            <w:tcBorders>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2019</w:t>
            </w:r>
          </w:p>
        </w:tc>
        <w:tc>
          <w:tcPr>
            <w:tcW w:w="38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22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230"/>
        </w:trPr>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Deferred compensation expense</w:t>
            </w:r>
          </w:p>
        </w:tc>
        <w:tc>
          <w:tcPr>
            <w:tcW w:w="1260" w:type="dxa"/>
            <w:vAlign w:val="bottom"/>
            <w:shd w:val="clear" w:color="auto" w:fill="CCEEFF"/>
          </w:tcPr>
          <w:p>
            <w:pPr>
              <w:jc w:val="right"/>
              <w:ind w:right="1070"/>
              <w:spacing w:after="0"/>
              <w:rPr>
                <w:sz w:val="20"/>
                <w:szCs w:val="20"/>
                <w:color w:val="auto"/>
              </w:rPr>
            </w:pPr>
            <w:r>
              <w:rPr>
                <w:rFonts w:ascii="Times New Roman" w:cs="Times New Roman" w:eastAsia="Times New Roman" w:hAnsi="Times New Roman"/>
                <w:sz w:val="18"/>
                <w:szCs w:val="18"/>
                <w:color w:val="auto"/>
                <w:w w:val="88"/>
              </w:rPr>
              <w:t>$</w:t>
            </w:r>
          </w:p>
        </w:tc>
        <w:tc>
          <w:tcPr>
            <w:tcW w:w="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99</w:t>
            </w:r>
          </w:p>
        </w:tc>
        <w:tc>
          <w:tcPr>
            <w:tcW w:w="1420" w:type="dxa"/>
            <w:vAlign w:val="bottom"/>
            <w:shd w:val="clear" w:color="auto" w:fill="CCEEFF"/>
          </w:tcPr>
          <w:p>
            <w:pPr>
              <w:jc w:val="right"/>
              <w:ind w:right="115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79</w:t>
            </w:r>
          </w:p>
        </w:tc>
      </w:tr>
      <w:tr>
        <w:trPr>
          <w:trHeight w:val="20"/>
        </w:trPr>
        <w:tc>
          <w:tcPr>
            <w:tcW w:w="5760" w:type="dxa"/>
            <w:vAlign w:val="bottom"/>
            <w:tcBorders>
              <w:top w:val="single" w:sz="8" w:color="CCEEFF"/>
            </w:tcBorders>
            <w:shd w:val="clear" w:color="auto" w:fill="CCEEFF"/>
          </w:tcPr>
          <w:p>
            <w:pPr>
              <w:spacing w:after="0" w:line="20" w:lineRule="exact"/>
              <w:rPr>
                <w:sz w:val="1"/>
                <w:szCs w:val="1"/>
                <w:color w:val="auto"/>
              </w:rPr>
            </w:pPr>
          </w:p>
        </w:tc>
        <w:tc>
          <w:tcPr>
            <w:tcW w:w="1260" w:type="dxa"/>
            <w:vAlign w:val="bottom"/>
            <w:tcBorders>
              <w:top w:val="single" w:sz="8" w:color="auto"/>
            </w:tcBorders>
            <w:shd w:val="clear" w:color="auto" w:fill="000000"/>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14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Other Operating Losses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Early Retirement Program</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During the first quarter of fiscal 2019, we offered a voluntary early retirement package to certain eligible employees of the Company. Twenty-three employees accepted the offer, which expired on February 28, 2019. These employees are to receive pay equal to one-half their current salary plus benefits over a period of one year from the final day of each individual’s active employment. Accordingly, we recognized a charge of $835 during the three months ended March 2, 2019. The unpaid obligation of $835 is included in other current liabilities and accrued expenses in our condensed consolidated balance sheet as of March 2, 2019.</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Commitments and Contingencies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involved in various legal and environmental matters, which arise in the normal course of business. Although the final outcome of these matters cannot be determined, based on the facts presently known, we believe that the final resolution of these matters will not have a material adverse effect on our financial position or future results of operations.</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lease land and buildings that are used in the operation of our Company-owned retail stores as well as in the operation of certain of our licensee-owned stores, and we lease land and buildings at various locations throughout the continental United States for warehousing and distribution hubs used in our retail and logistical services segments. We also lease tractors and trailers used in our logistical services segment, and local delivery trucks used in our retail segment. Our real estate lease terms range from one to 15 years and generally have renewal options of between five and 15 years. Some store leases contain contingent rental provisions based upon sales volume. Our transportation equipment leases have terms ranging from two to seven years with fixed monthly rental payments plus variable charges based upon mileage. The following schedule shows future minimum lease payments under non-cancellable operating leases with terms in excess of one year as of March 2, 2019:</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gridSpan w:val="3"/>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Warehousing</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center"/>
              <w:ind w:right="10"/>
              <w:spacing w:after="0"/>
              <w:rPr>
                <w:sz w:val="20"/>
                <w:szCs w:val="20"/>
                <w:color w:val="auto"/>
              </w:rPr>
            </w:pPr>
            <w:r>
              <w:rPr>
                <w:rFonts w:ascii="Times New Roman" w:cs="Times New Roman" w:eastAsia="Times New Roman" w:hAnsi="Times New Roman"/>
                <w:sz w:val="18"/>
                <w:szCs w:val="18"/>
                <w:b w:val="1"/>
                <w:bCs w:val="1"/>
                <w:color w:val="auto"/>
                <w:w w:val="93"/>
              </w:rPr>
              <w:t>&amp;</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Distribution</w:t>
            </w:r>
          </w:p>
        </w:tc>
        <w:tc>
          <w:tcPr>
            <w:tcW w:w="1480" w:type="dxa"/>
            <w:vAlign w:val="bottom"/>
            <w:gridSpan w:val="4"/>
          </w:tcPr>
          <w:p>
            <w:pPr>
              <w:ind w:left="100"/>
              <w:spacing w:after="0"/>
              <w:rPr>
                <w:sz w:val="20"/>
                <w:szCs w:val="20"/>
                <w:color w:val="auto"/>
              </w:rPr>
            </w:pPr>
            <w:r>
              <w:rPr>
                <w:rFonts w:ascii="Times New Roman" w:cs="Times New Roman" w:eastAsia="Times New Roman" w:hAnsi="Times New Roman"/>
                <w:sz w:val="18"/>
                <w:szCs w:val="18"/>
                <w:b w:val="1"/>
                <w:bCs w:val="1"/>
                <w:color w:val="auto"/>
              </w:rPr>
              <w:t>Transportation</w:t>
            </w: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37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Retail Stores</w:t>
            </w:r>
          </w:p>
        </w:tc>
        <w:tc>
          <w:tcPr>
            <w:tcW w:w="100" w:type="dxa"/>
            <w:vAlign w:val="bottom"/>
          </w:tcPr>
          <w:p>
            <w:pPr>
              <w:spacing w:after="0"/>
              <w:rPr>
                <w:sz w:val="20"/>
                <w:szCs w:val="20"/>
                <w:color w:val="auto"/>
              </w:rPr>
            </w:pPr>
          </w:p>
        </w:tc>
        <w:tc>
          <w:tcPr>
            <w:tcW w:w="11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Centers</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Equipment</w:t>
            </w:r>
          </w:p>
        </w:tc>
        <w:tc>
          <w:tcPr>
            <w:tcW w:w="160" w:type="dxa"/>
            <w:vAlign w:val="bottom"/>
          </w:tcPr>
          <w:p>
            <w:pPr>
              <w:spacing w:after="0"/>
              <w:rPr>
                <w:sz w:val="20"/>
                <w:szCs w:val="20"/>
                <w:color w:val="auto"/>
              </w:rPr>
            </w:pPr>
          </w:p>
        </w:tc>
        <w:tc>
          <w:tcPr>
            <w:tcW w:w="108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All Other</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Remainder of fiscal 2019</w:t>
            </w: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18,162</w:t>
            </w: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3,697</w:t>
            </w:r>
          </w:p>
        </w:tc>
        <w:tc>
          <w:tcPr>
            <w:tcW w:w="22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3,242</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1,302</w:t>
            </w:r>
          </w:p>
        </w:tc>
        <w:tc>
          <w:tcPr>
            <w:tcW w:w="3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26,403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Times New Roman" w:cs="Times New Roman" w:eastAsia="Times New Roman" w:hAnsi="Times New Roman"/>
                <w:sz w:val="18"/>
                <w:szCs w:val="18"/>
                <w:color w:val="auto"/>
              </w:rPr>
              <w:t>Fiscal 2020</w:t>
            </w: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23,378</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4,442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4,206</w:t>
            </w: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1,637</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33,663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2021</w:t>
            </w: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20,674</w:t>
            </w: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3,833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3,051</w:t>
            </w: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970</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28,528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Times New Roman" w:cs="Times New Roman" w:eastAsia="Times New Roman" w:hAnsi="Times New Roman"/>
                <w:sz w:val="18"/>
                <w:szCs w:val="18"/>
                <w:color w:val="auto"/>
              </w:rPr>
              <w:t>Fiscal 2022</w:t>
            </w: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18,166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3,539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2,151</w:t>
            </w: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487</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24,343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Fiscal 2023</w:t>
            </w: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15,964</w:t>
            </w: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2,108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1,272</w:t>
            </w: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19,344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Times New Roman" w:cs="Times New Roman" w:eastAsia="Times New Roman" w:hAnsi="Times New Roman"/>
                <w:sz w:val="18"/>
                <w:szCs w:val="18"/>
                <w:color w:val="auto"/>
              </w:rPr>
              <w:t>Fiscal 2024</w:t>
            </w: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12,096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532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974</w:t>
            </w: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13,602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Thereafter</w:t>
            </w: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37,870</w:t>
            </w: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356</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38,226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80" w:type="dxa"/>
            <w:vAlign w:val="bottom"/>
            <w:shd w:val="clear" w:color="auto" w:fill="CCEEFF"/>
          </w:tcPr>
          <w:p>
            <w:pPr>
              <w:spacing w:after="0" w:line="20" w:lineRule="exact"/>
              <w:rPr>
                <w:sz w:val="1"/>
                <w:szCs w:val="1"/>
                <w:color w:val="auto"/>
              </w:rPr>
            </w:pPr>
          </w:p>
        </w:tc>
        <w:tc>
          <w:tcPr>
            <w:tcW w:w="9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80" w:type="dxa"/>
            <w:vAlign w:val="bottom"/>
            <w:tcBorders>
              <w:right w:val="single" w:sz="8" w:color="CCEEFF"/>
            </w:tcBorders>
            <w:shd w:val="clear" w:color="auto" w:fill="000000"/>
          </w:tcPr>
          <w:p>
            <w:pPr>
              <w:spacing w:after="0" w:line="20" w:lineRule="exact"/>
              <w:rPr>
                <w:sz w:val="1"/>
                <w:szCs w:val="1"/>
                <w:color w:val="auto"/>
              </w:rPr>
            </w:pPr>
          </w:p>
        </w:tc>
        <w:tc>
          <w:tcPr>
            <w:tcW w:w="22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7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Total future minimum lease payments</w:t>
            </w:r>
          </w:p>
        </w:tc>
        <w:tc>
          <w:tcPr>
            <w:tcW w:w="9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146,310</w:t>
            </w:r>
          </w:p>
        </w:tc>
        <w:tc>
          <w:tcPr>
            <w:tcW w:w="2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18,151</w:t>
            </w:r>
          </w:p>
        </w:tc>
        <w:tc>
          <w:tcPr>
            <w:tcW w:w="22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15,252</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4,396</w:t>
            </w:r>
          </w:p>
        </w:tc>
        <w:tc>
          <w:tcPr>
            <w:tcW w:w="3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184,109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gridSpan w:val="2"/>
          </w:tcPr>
          <w:p>
            <w:pPr>
              <w:ind w:left="620"/>
              <w:spacing w:after="0"/>
              <w:rPr>
                <w:sz w:val="20"/>
                <w:szCs w:val="20"/>
                <w:color w:val="auto"/>
              </w:rPr>
            </w:pPr>
            <w:r>
              <w:rPr>
                <w:rFonts w:ascii="Times New Roman" w:cs="Times New Roman" w:eastAsia="Times New Roman" w:hAnsi="Times New Roman"/>
                <w:sz w:val="18"/>
                <w:szCs w:val="18"/>
                <w:color w:val="auto"/>
              </w:rPr>
              <w:t>16 of 37</w:t>
            </w: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3780" w:type="dxa"/>
            <w:vAlign w:val="bottom"/>
            <w:tcBorders>
              <w:bottom w:val="single" w:sz="8" w:color="auto"/>
            </w:tcBorders>
          </w:tcPr>
          <w:p>
            <w:pPr>
              <w:spacing w:after="0"/>
              <w:rPr>
                <w:sz w:val="10"/>
                <w:szCs w:val="10"/>
                <w:color w:val="auto"/>
              </w:rPr>
            </w:pPr>
          </w:p>
        </w:tc>
        <w:tc>
          <w:tcPr>
            <w:tcW w:w="9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08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16" w:name="page17"/>
    <w:bookmarkEnd w:id="16"/>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 connection with our long-term real estate leases, our liability for accrued straight-line rent expense was $6,227 and $5,844 at March 2, 2019 and November 24, 2018, respectively, and is included in other current liabilities and accrued expenses in our condensed consolidated balance sheets. Improvement allowances received from lessors at the inception of a lease are deferred and amortized over the term of the lease. The unamortized balance of such amounts was $7,519 and $6,716 at March 2, 2019 and November 24, 2018, respectively, with the non-current portion of $6,410 and $5,715, respectively, included in other long term liabilities in our condensed consolidated balance sheets and the remaining current portion included in other current liabilities and accrued expenses. At March 2, 2019 and November 24, 2018 prepaid rent of $2,893 and $245, respectively, was included in other current assets in our condensed consolidated balance sheets.</w:t>
      </w:r>
    </w:p>
    <w:p>
      <w:pPr>
        <w:spacing w:after="0" w:line="18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also have guaranteed certain lease obligations of licensee operators. Lease guarantees range from one to ten years. We were contingently liable under licensee lease obligation guarantees in the amount of $1,953 and $2,021 at March 2, 2019 and November 24, 2018, respectively.</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the event of default by an independent dealer under the guaranteed lease, we believe that the risk of loss is mitigated through a combination of options that include, but are not limited to, arranging for a replacement dealer or liquidating the collateral (primarily inventory). The proceeds of the above options are expected to cover the estimated amount of our future payments under the guarantee obligations, net of recorded reserves. The fair value of lease guarantees (an estimate of the cost to the Company to perform on these guarantees) at March 2, 2019 and November 24, 2018 was not material.</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160" w:type="dxa"/>
            <w:vAlign w:val="bottom"/>
            <w:gridSpan w:val="4"/>
          </w:tcPr>
          <w:p>
            <w:pPr>
              <w:spacing w:after="0"/>
              <w:rPr>
                <w:sz w:val="20"/>
                <w:szCs w:val="20"/>
                <w:color w:val="auto"/>
              </w:rPr>
            </w:pPr>
            <w:r>
              <w:rPr>
                <w:rFonts w:ascii="Times New Roman" w:cs="Times New Roman" w:eastAsia="Times New Roman" w:hAnsi="Times New Roman"/>
                <w:sz w:val="18"/>
                <w:szCs w:val="18"/>
                <w:b w:val="1"/>
                <w:bCs w:val="1"/>
                <w:color w:val="auto"/>
              </w:rPr>
              <w:t>12. Earnings (Loss) Per Share</w:t>
            </w:r>
          </w:p>
        </w:tc>
        <w:tc>
          <w:tcPr>
            <w:tcW w:w="1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516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The following reconciles basic and diluted earnings (loss) per share:</w:t>
            </w:r>
          </w:p>
        </w:tc>
        <w:tc>
          <w:tcPr>
            <w:tcW w:w="1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6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Weighted Average</w:t>
            </w:r>
          </w:p>
        </w:tc>
        <w:tc>
          <w:tcPr>
            <w:tcW w:w="300" w:type="dxa"/>
            <w:vAlign w:val="bottom"/>
          </w:tcPr>
          <w:p>
            <w:pPr>
              <w:spacing w:after="0"/>
              <w:rPr>
                <w:sz w:val="24"/>
                <w:szCs w:val="24"/>
                <w:color w:val="auto"/>
              </w:rPr>
            </w:pPr>
          </w:p>
        </w:tc>
        <w:tc>
          <w:tcPr>
            <w:tcW w:w="142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color w:val="auto"/>
              </w:rPr>
              <w:t>Net Income</w:t>
            </w:r>
          </w:p>
        </w:tc>
        <w:tc>
          <w:tcPr>
            <w:tcW w:w="0" w:type="dxa"/>
            <w:vAlign w:val="bottom"/>
          </w:tcPr>
          <w:p>
            <w:pPr>
              <w:spacing w:after="0"/>
              <w:rPr>
                <w:sz w:val="1"/>
                <w:szCs w:val="1"/>
                <w:color w:val="auto"/>
              </w:rPr>
            </w:pPr>
          </w:p>
        </w:tc>
      </w:tr>
      <w:tr>
        <w:trPr>
          <w:trHeight w:val="234"/>
        </w:trPr>
        <w:tc>
          <w:tcPr>
            <w:tcW w:w="5160" w:type="dxa"/>
            <w:vAlign w:val="bottom"/>
            <w:gridSpan w:val="4"/>
            <w:vMerge w:val="restart"/>
          </w:tcPr>
          <w:p>
            <w:pPr>
              <w:spacing w:after="0"/>
              <w:rPr>
                <w:sz w:val="20"/>
                <w:szCs w:val="20"/>
                <w:color w:val="auto"/>
              </w:rPr>
            </w:pPr>
            <w:r>
              <w:rPr>
                <w:rFonts w:ascii="Times New Roman" w:cs="Times New Roman" w:eastAsia="Times New Roman" w:hAnsi="Times New Roman"/>
                <w:sz w:val="18"/>
                <w:szCs w:val="18"/>
                <w:color w:val="auto"/>
              </w:rPr>
              <w:t>For the quarter ended March 2, 2019:</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Net Income</w:t>
            </w:r>
          </w:p>
        </w:tc>
        <w:tc>
          <w:tcPr>
            <w:tcW w:w="540" w:type="dxa"/>
            <w:vAlign w:val="bottom"/>
          </w:tcPr>
          <w:p>
            <w:pPr>
              <w:spacing w:after="0"/>
              <w:rPr>
                <w:sz w:val="20"/>
                <w:szCs w:val="20"/>
                <w:color w:val="auto"/>
              </w:rPr>
            </w:pPr>
          </w:p>
        </w:tc>
        <w:tc>
          <w:tcPr>
            <w:tcW w:w="1660" w:type="dxa"/>
            <w:vAlign w:val="bottom"/>
          </w:tcPr>
          <w:p>
            <w:pPr>
              <w:jc w:val="right"/>
              <w:ind w:right="530"/>
              <w:spacing w:after="0"/>
              <w:rPr>
                <w:sz w:val="20"/>
                <w:szCs w:val="20"/>
                <w:color w:val="auto"/>
              </w:rPr>
            </w:pPr>
            <w:r>
              <w:rPr>
                <w:rFonts w:ascii="Times New Roman" w:cs="Times New Roman" w:eastAsia="Times New Roman" w:hAnsi="Times New Roman"/>
                <w:sz w:val="18"/>
                <w:szCs w:val="18"/>
                <w:color w:val="auto"/>
              </w:rPr>
              <w:t>Shares</w:t>
            </w:r>
          </w:p>
        </w:tc>
        <w:tc>
          <w:tcPr>
            <w:tcW w:w="300" w:type="dxa"/>
            <w:vAlign w:val="bottom"/>
          </w:tcPr>
          <w:p>
            <w:pPr>
              <w:spacing w:after="0"/>
              <w:rPr>
                <w:sz w:val="20"/>
                <w:szCs w:val="20"/>
                <w:color w:val="auto"/>
              </w:rPr>
            </w:pPr>
          </w:p>
        </w:tc>
        <w:tc>
          <w:tcPr>
            <w:tcW w:w="142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Per Share</w:t>
            </w:r>
          </w:p>
        </w:tc>
        <w:tc>
          <w:tcPr>
            <w:tcW w:w="0" w:type="dxa"/>
            <w:vAlign w:val="bottom"/>
          </w:tcPr>
          <w:p>
            <w:pPr>
              <w:spacing w:after="0"/>
              <w:rPr>
                <w:sz w:val="1"/>
                <w:szCs w:val="1"/>
                <w:color w:val="auto"/>
              </w:rPr>
            </w:pPr>
          </w:p>
        </w:tc>
      </w:tr>
      <w:tr>
        <w:trPr>
          <w:trHeight w:val="169"/>
        </w:trPr>
        <w:tc>
          <w:tcPr>
            <w:tcW w:w="5160" w:type="dxa"/>
            <w:vAlign w:val="bottom"/>
            <w:gridSpan w:val="4"/>
            <w:vMerge w:val="continue"/>
          </w:tcPr>
          <w:p>
            <w:pPr>
              <w:spacing w:after="0"/>
              <w:rPr>
                <w:sz w:val="14"/>
                <w:szCs w:val="14"/>
                <w:color w:val="auto"/>
              </w:rPr>
            </w:pPr>
          </w:p>
        </w:tc>
        <w:tc>
          <w:tcPr>
            <w:tcW w:w="1200" w:type="dxa"/>
            <w:vAlign w:val="bottom"/>
            <w:tcBorders>
              <w:top w:val="single" w:sz="8" w:color="auto"/>
            </w:tcBorders>
          </w:tcPr>
          <w:p>
            <w:pPr>
              <w:spacing w:after="0"/>
              <w:rPr>
                <w:sz w:val="14"/>
                <w:szCs w:val="14"/>
                <w:color w:val="auto"/>
              </w:rPr>
            </w:pPr>
          </w:p>
        </w:tc>
        <w:tc>
          <w:tcPr>
            <w:tcW w:w="540" w:type="dxa"/>
            <w:vAlign w:val="bottom"/>
            <w:tcBorders>
              <w:top w:val="single" w:sz="8" w:color="auto"/>
            </w:tcBorders>
          </w:tcPr>
          <w:p>
            <w:pPr>
              <w:spacing w:after="0"/>
              <w:rPr>
                <w:sz w:val="14"/>
                <w:szCs w:val="14"/>
                <w:color w:val="auto"/>
              </w:rPr>
            </w:pPr>
          </w:p>
        </w:tc>
        <w:tc>
          <w:tcPr>
            <w:tcW w:w="1660" w:type="dxa"/>
            <w:vAlign w:val="bottom"/>
            <w:tcBorders>
              <w:top w:val="single" w:sz="8" w:color="auto"/>
            </w:tcBorders>
          </w:tcPr>
          <w:p>
            <w:pPr>
              <w:spacing w:after="0"/>
              <w:rPr>
                <w:sz w:val="14"/>
                <w:szCs w:val="14"/>
                <w:color w:val="auto"/>
              </w:rPr>
            </w:pPr>
          </w:p>
        </w:tc>
        <w:tc>
          <w:tcPr>
            <w:tcW w:w="300" w:type="dxa"/>
            <w:vAlign w:val="bottom"/>
            <w:tcBorders>
              <w:top w:val="single" w:sz="8" w:color="auto"/>
            </w:tcBorders>
          </w:tcPr>
          <w:p>
            <w:pPr>
              <w:spacing w:after="0"/>
              <w:rPr>
                <w:sz w:val="14"/>
                <w:szCs w:val="14"/>
                <w:color w:val="auto"/>
              </w:rPr>
            </w:pPr>
          </w:p>
        </w:tc>
        <w:tc>
          <w:tcPr>
            <w:tcW w:w="132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20" w:type="dxa"/>
            <w:vAlign w:val="bottom"/>
            <w:vMerge w:val="restart"/>
          </w:tcPr>
          <w:p>
            <w:pPr>
              <w:spacing w:after="0"/>
              <w:rPr>
                <w:sz w:val="20"/>
                <w:szCs w:val="20"/>
                <w:color w:val="auto"/>
              </w:rPr>
            </w:pPr>
          </w:p>
        </w:tc>
        <w:tc>
          <w:tcPr>
            <w:tcW w:w="2680" w:type="dxa"/>
            <w:vAlign w:val="bottom"/>
            <w:tcBorders>
              <w:top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earnings per share</w:t>
            </w:r>
          </w:p>
        </w:tc>
        <w:tc>
          <w:tcPr>
            <w:tcW w:w="1200" w:type="dxa"/>
            <w:vAlign w:val="bottom"/>
            <w:shd w:val="clear" w:color="auto" w:fill="CCEEFF"/>
          </w:tcPr>
          <w:p>
            <w:pPr>
              <w:jc w:val="right"/>
              <w:ind w:right="1034"/>
              <w:spacing w:after="0"/>
              <w:rPr>
                <w:sz w:val="20"/>
                <w:szCs w:val="20"/>
                <w:color w:val="auto"/>
              </w:rPr>
            </w:pPr>
            <w:r>
              <w:rPr>
                <w:rFonts w:ascii="Times New Roman" w:cs="Times New Roman" w:eastAsia="Times New Roman" w:hAnsi="Times New Roman"/>
                <w:sz w:val="17"/>
                <w:szCs w:val="17"/>
                <w:color w:val="auto"/>
                <w:w w:val="70"/>
              </w:rPr>
              <w:t>$</w:t>
            </w:r>
          </w:p>
        </w:tc>
        <w:tc>
          <w:tcPr>
            <w:tcW w:w="54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608</w:t>
            </w:r>
          </w:p>
        </w:tc>
        <w:tc>
          <w:tcPr>
            <w:tcW w:w="16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10,454,348</w:t>
            </w:r>
          </w:p>
        </w:tc>
        <w:tc>
          <w:tcPr>
            <w:tcW w:w="3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1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Borders>
              <w:bottom w:val="single" w:sz="8" w:color="CCEEFF"/>
            </w:tcBorders>
            <w:gridSpan w:val="3"/>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Options and restricted shares</w:t>
            </w:r>
          </w:p>
        </w:tc>
        <w:tc>
          <w:tcPr>
            <w:tcW w:w="1200" w:type="dxa"/>
            <w:vAlign w:val="bottom"/>
            <w:tcBorders>
              <w:bottom w:val="single" w:sz="8" w:color="auto"/>
            </w:tcBorders>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28,893</w:t>
            </w:r>
          </w:p>
        </w:tc>
        <w:tc>
          <w:tcPr>
            <w:tcW w:w="30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16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1200" w:type="dxa"/>
            <w:vAlign w:val="bottom"/>
          </w:tcPr>
          <w:p>
            <w:pPr>
              <w:jc w:val="right"/>
              <w:ind w:right="1034"/>
              <w:spacing w:after="0"/>
              <w:rPr>
                <w:sz w:val="20"/>
                <w:szCs w:val="20"/>
                <w:color w:val="auto"/>
              </w:rPr>
            </w:pPr>
            <w:r>
              <w:rPr>
                <w:rFonts w:ascii="Times New Roman" w:cs="Times New Roman" w:eastAsia="Times New Roman" w:hAnsi="Times New Roman"/>
                <w:sz w:val="17"/>
                <w:szCs w:val="17"/>
                <w:color w:val="auto"/>
                <w:w w:val="70"/>
              </w:rPr>
              <w:t>$</w:t>
            </w:r>
          </w:p>
        </w:tc>
        <w:tc>
          <w:tcPr>
            <w:tcW w:w="54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608</w:t>
            </w:r>
          </w:p>
        </w:tc>
        <w:tc>
          <w:tcPr>
            <w:tcW w:w="16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10,483,241</w:t>
            </w:r>
          </w:p>
        </w:tc>
        <w:tc>
          <w:tcPr>
            <w:tcW w:w="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0.06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26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1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6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20" w:type="dxa"/>
            <w:vAlign w:val="bottom"/>
            <w:vMerge w:val="continue"/>
          </w:tcPr>
          <w:p>
            <w:pPr>
              <w:spacing w:after="0"/>
              <w:rPr>
                <w:sz w:val="15"/>
                <w:szCs w:val="15"/>
                <w:color w:val="auto"/>
              </w:rPr>
            </w:pPr>
          </w:p>
        </w:tc>
        <w:tc>
          <w:tcPr>
            <w:tcW w:w="5140" w:type="dxa"/>
            <w:vAlign w:val="bottom"/>
            <w:gridSpan w:val="3"/>
          </w:tcPr>
          <w:p>
            <w:pPr>
              <w:spacing w:after="0" w:line="176" w:lineRule="exact"/>
              <w:rPr>
                <w:sz w:val="20"/>
                <w:szCs w:val="20"/>
                <w:color w:val="auto"/>
              </w:rPr>
            </w:pPr>
            <w:r>
              <w:rPr>
                <w:rFonts w:ascii="Times New Roman" w:cs="Times New Roman" w:eastAsia="Times New Roman" w:hAnsi="Times New Roman"/>
                <w:sz w:val="18"/>
                <w:szCs w:val="18"/>
                <w:color w:val="auto"/>
              </w:rPr>
              <w:t>For the quarter ended February 24, 2018:</w:t>
            </w:r>
          </w:p>
        </w:tc>
        <w:tc>
          <w:tcPr>
            <w:tcW w:w="12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6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680" w:type="dxa"/>
            <w:vAlign w:val="bottom"/>
            <w:tcBorders>
              <w:top w:val="single" w:sz="8" w:color="auto"/>
            </w:tcBorders>
          </w:tcPr>
          <w:p>
            <w:pPr>
              <w:spacing w:after="0" w:line="20" w:lineRule="exact"/>
              <w:rPr>
                <w:sz w:val="1"/>
                <w:szCs w:val="1"/>
                <w:color w:val="auto"/>
              </w:rPr>
            </w:pPr>
          </w:p>
        </w:tc>
        <w:tc>
          <w:tcPr>
            <w:tcW w:w="280" w:type="dxa"/>
            <w:vAlign w:val="bottom"/>
            <w:tcBorders>
              <w:top w:val="single" w:sz="8" w:color="auto"/>
            </w:tcBorders>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restart"/>
          </w:tcPr>
          <w:p>
            <w:pPr>
              <w:spacing w:after="0"/>
              <w:rPr>
                <w:sz w:val="18"/>
                <w:szCs w:val="18"/>
                <w:color w:val="auto"/>
              </w:rPr>
            </w:pPr>
          </w:p>
        </w:tc>
        <w:tc>
          <w:tcPr>
            <w:tcW w:w="26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Basic loss per share</w:t>
            </w:r>
          </w:p>
        </w:tc>
        <w:tc>
          <w:tcPr>
            <w:tcW w:w="1200" w:type="dxa"/>
            <w:vAlign w:val="bottom"/>
          </w:tcPr>
          <w:p>
            <w:pPr>
              <w:jc w:val="right"/>
              <w:ind w:right="1034"/>
              <w:spacing w:after="0"/>
              <w:rPr>
                <w:sz w:val="20"/>
                <w:szCs w:val="20"/>
                <w:color w:val="auto"/>
              </w:rPr>
            </w:pPr>
            <w:r>
              <w:rPr>
                <w:rFonts w:ascii="Times New Roman" w:cs="Times New Roman" w:eastAsia="Times New Roman" w:hAnsi="Times New Roman"/>
                <w:sz w:val="17"/>
                <w:szCs w:val="17"/>
                <w:color w:val="auto"/>
                <w:w w:val="70"/>
              </w:rPr>
              <w:t>$</w:t>
            </w:r>
          </w:p>
        </w:tc>
        <w:tc>
          <w:tcPr>
            <w:tcW w:w="5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97"/>
              </w:rPr>
              <w:t>(913)</w:t>
            </w:r>
          </w:p>
        </w:tc>
        <w:tc>
          <w:tcPr>
            <w:tcW w:w="16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10,686,477</w:t>
            </w:r>
          </w:p>
        </w:tc>
        <w:tc>
          <w:tcPr>
            <w:tcW w:w="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(0.09)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Add effect of dilutive securities:</w:t>
            </w:r>
          </w:p>
        </w:tc>
        <w:tc>
          <w:tcPr>
            <w:tcW w:w="12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Options and restricted shares</w:t>
            </w:r>
          </w:p>
        </w:tc>
        <w:tc>
          <w:tcPr>
            <w:tcW w:w="120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6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4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 loss per share</w:t>
            </w:r>
          </w:p>
        </w:tc>
        <w:tc>
          <w:tcPr>
            <w:tcW w:w="1200" w:type="dxa"/>
            <w:vAlign w:val="bottom"/>
            <w:shd w:val="clear" w:color="auto" w:fill="CCEEFF"/>
          </w:tcPr>
          <w:p>
            <w:pPr>
              <w:jc w:val="right"/>
              <w:ind w:right="1034"/>
              <w:spacing w:after="0"/>
              <w:rPr>
                <w:sz w:val="20"/>
                <w:szCs w:val="20"/>
                <w:color w:val="auto"/>
              </w:rPr>
            </w:pPr>
            <w:r>
              <w:rPr>
                <w:rFonts w:ascii="Times New Roman" w:cs="Times New Roman" w:eastAsia="Times New Roman" w:hAnsi="Times New Roman"/>
                <w:sz w:val="17"/>
                <w:szCs w:val="17"/>
                <w:color w:val="auto"/>
                <w:w w:val="70"/>
              </w:rPr>
              <w:t>$</w:t>
            </w:r>
          </w:p>
        </w:tc>
        <w:tc>
          <w:tcPr>
            <w:tcW w:w="5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97"/>
              </w:rPr>
              <w:t>(913)</w:t>
            </w:r>
          </w:p>
        </w:tc>
        <w:tc>
          <w:tcPr>
            <w:tcW w:w="16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10,686,477</w:t>
            </w:r>
          </w:p>
        </w:tc>
        <w:tc>
          <w:tcPr>
            <w:tcW w:w="30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(0.09)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180" w:type="dxa"/>
            <w:vAlign w:val="bottom"/>
            <w:tcBorders>
              <w:top w:val="single" w:sz="8" w:color="CCEEFF"/>
            </w:tcBorders>
            <w:shd w:val="clear" w:color="auto" w:fill="CCEEFF"/>
          </w:tcPr>
          <w:p>
            <w:pPr>
              <w:spacing w:after="0" w:line="20" w:lineRule="exact"/>
              <w:rPr>
                <w:sz w:val="1"/>
                <w:szCs w:val="1"/>
                <w:color w:val="auto"/>
              </w:rPr>
            </w:pPr>
          </w:p>
        </w:tc>
        <w:tc>
          <w:tcPr>
            <w:tcW w:w="120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1660" w:type="dxa"/>
            <w:vAlign w:val="bottom"/>
            <w:tcBorders>
              <w:top w:val="single" w:sz="8" w:color="auto"/>
            </w:tcBorders>
            <w:shd w:val="clear" w:color="auto" w:fill="000000"/>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13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right="380"/>
        <w:spacing w:after="0" w:line="282" w:lineRule="auto"/>
        <w:rPr>
          <w:sz w:val="20"/>
          <w:szCs w:val="20"/>
          <w:color w:val="auto"/>
        </w:rPr>
      </w:pPr>
      <w:r>
        <w:rPr>
          <w:rFonts w:ascii="Times New Roman" w:cs="Times New Roman" w:eastAsia="Times New Roman" w:hAnsi="Times New Roman"/>
          <w:sz w:val="18"/>
          <w:szCs w:val="18"/>
          <w:color w:val="auto"/>
        </w:rPr>
        <w:t>For the three months ended March 2, 2019 and February 24, 2018, the following potentially dilutive shares were excluded from the computations as their effect was anti-dilutive:</w:t>
      </w:r>
    </w:p>
    <w:p>
      <w:pPr>
        <w:spacing w:after="0" w:line="37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3280" w:type="dxa"/>
            <w:vAlign w:val="bottom"/>
          </w:tcPr>
          <w:p>
            <w:pPr>
              <w:spacing w:after="0"/>
              <w:rPr>
                <w:sz w:val="20"/>
                <w:szCs w:val="20"/>
                <w:color w:val="auto"/>
              </w:rPr>
            </w:pPr>
          </w:p>
        </w:tc>
        <w:tc>
          <w:tcPr>
            <w:tcW w:w="2480" w:type="dxa"/>
            <w:vAlign w:val="bottom"/>
          </w:tcPr>
          <w:p>
            <w:pPr>
              <w:spacing w:after="0"/>
              <w:rPr>
                <w:sz w:val="20"/>
                <w:szCs w:val="20"/>
                <w:color w:val="auto"/>
              </w:rPr>
            </w:pPr>
          </w:p>
        </w:tc>
        <w:tc>
          <w:tcPr>
            <w:tcW w:w="3360" w:type="dxa"/>
            <w:vAlign w:val="bottom"/>
            <w:gridSpan w:val="3"/>
          </w:tcPr>
          <w:p>
            <w:pPr>
              <w:ind w:left="104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2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3280" w:type="dxa"/>
            <w:vAlign w:val="bottom"/>
          </w:tcPr>
          <w:p>
            <w:pPr>
              <w:spacing w:after="0"/>
              <w:rPr>
                <w:sz w:val="16"/>
                <w:szCs w:val="16"/>
                <w:color w:val="auto"/>
              </w:rPr>
            </w:pPr>
          </w:p>
        </w:tc>
        <w:tc>
          <w:tcPr>
            <w:tcW w:w="2480" w:type="dxa"/>
            <w:vAlign w:val="bottom"/>
          </w:tcPr>
          <w:p>
            <w:pPr>
              <w:spacing w:after="0"/>
              <w:rPr>
                <w:sz w:val="16"/>
                <w:szCs w:val="16"/>
                <w:color w:val="auto"/>
              </w:rPr>
            </w:pPr>
          </w:p>
        </w:tc>
        <w:tc>
          <w:tcPr>
            <w:tcW w:w="1780" w:type="dxa"/>
            <w:vAlign w:val="bottom"/>
            <w:tcBorders>
              <w:top w:val="single" w:sz="8" w:color="auto"/>
            </w:tcBorders>
          </w:tcPr>
          <w:p>
            <w:pPr>
              <w:jc w:val="right"/>
              <w:ind w:right="570"/>
              <w:spacing w:after="0" w:line="188" w:lineRule="exact"/>
              <w:rPr>
                <w:sz w:val="20"/>
                <w:szCs w:val="20"/>
                <w:color w:val="auto"/>
              </w:rPr>
            </w:pPr>
            <w:r>
              <w:rPr>
                <w:rFonts w:ascii="Times New Roman" w:cs="Times New Roman" w:eastAsia="Times New Roman" w:hAnsi="Times New Roman"/>
                <w:sz w:val="18"/>
                <w:szCs w:val="18"/>
                <w:b w:val="1"/>
                <w:bCs w:val="1"/>
                <w:color w:val="auto"/>
              </w:rPr>
              <w:t>March 2,</w:t>
            </w:r>
          </w:p>
        </w:tc>
        <w:tc>
          <w:tcPr>
            <w:tcW w:w="1500" w:type="dxa"/>
            <w:vAlign w:val="bottom"/>
            <w:tcBorders>
              <w:top w:val="single" w:sz="8" w:color="auto"/>
            </w:tcBorders>
          </w:tcPr>
          <w:p>
            <w:pPr>
              <w:jc w:val="right"/>
              <w:ind w:right="190"/>
              <w:spacing w:after="0" w:line="188" w:lineRule="exact"/>
              <w:rPr>
                <w:sz w:val="20"/>
                <w:szCs w:val="20"/>
                <w:color w:val="auto"/>
              </w:rPr>
            </w:pPr>
            <w:r>
              <w:rPr>
                <w:rFonts w:ascii="Times New Roman" w:cs="Times New Roman" w:eastAsia="Times New Roman" w:hAnsi="Times New Roman"/>
                <w:sz w:val="18"/>
                <w:szCs w:val="18"/>
                <w:b w:val="1"/>
                <w:bCs w:val="1"/>
                <w:color w:val="auto"/>
              </w:rPr>
              <w:t>February 24,</w:t>
            </w:r>
          </w:p>
        </w:tc>
        <w:tc>
          <w:tcPr>
            <w:tcW w:w="80" w:type="dxa"/>
            <w:vAlign w:val="bottom"/>
          </w:tcPr>
          <w:p>
            <w:pPr>
              <w:spacing w:after="0"/>
              <w:rPr>
                <w:sz w:val="16"/>
                <w:szCs w:val="16"/>
                <w:color w:val="auto"/>
              </w:rPr>
            </w:pPr>
          </w:p>
        </w:tc>
        <w:tc>
          <w:tcPr>
            <w:tcW w:w="2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3280" w:type="dxa"/>
            <w:vAlign w:val="bottom"/>
          </w:tcPr>
          <w:p>
            <w:pPr>
              <w:spacing w:after="0"/>
              <w:rPr>
                <w:sz w:val="20"/>
                <w:szCs w:val="20"/>
                <w:color w:val="auto"/>
              </w:rPr>
            </w:pPr>
          </w:p>
        </w:tc>
        <w:tc>
          <w:tcPr>
            <w:tcW w:w="4260" w:type="dxa"/>
            <w:vAlign w:val="bottom"/>
            <w:gridSpan w:val="2"/>
          </w:tcPr>
          <w:p>
            <w:pPr>
              <w:jc w:val="right"/>
              <w:ind w:right="73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500" w:type="dxa"/>
            <w:vAlign w:val="bottom"/>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2018</w:t>
            </w:r>
          </w:p>
        </w:tc>
        <w:tc>
          <w:tcPr>
            <w:tcW w:w="8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28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780" w:type="dxa"/>
            <w:vAlign w:val="bottom"/>
            <w:tcBorders>
              <w:top w:val="single" w:sz="8" w:color="auto"/>
            </w:tcBorders>
          </w:tcPr>
          <w:p>
            <w:pPr>
              <w:spacing w:after="0"/>
              <w:rPr>
                <w:sz w:val="18"/>
                <w:szCs w:val="18"/>
                <w:color w:val="auto"/>
              </w:rPr>
            </w:pPr>
          </w:p>
        </w:tc>
        <w:tc>
          <w:tcPr>
            <w:tcW w:w="150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 options</w:t>
            </w:r>
          </w:p>
        </w:tc>
        <w:tc>
          <w:tcPr>
            <w:tcW w:w="4260" w:type="dxa"/>
            <w:vAlign w:val="bottom"/>
            <w:gridSpan w:val="2"/>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11,750</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33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Unvested shares</w:t>
            </w:r>
          </w:p>
        </w:tc>
        <w:tc>
          <w:tcPr>
            <w:tcW w:w="2480" w:type="dxa"/>
            <w:vAlign w:val="bottom"/>
          </w:tcPr>
          <w:p>
            <w:pPr>
              <w:spacing w:after="0"/>
              <w:rPr>
                <w:sz w:val="22"/>
                <w:szCs w:val="22"/>
                <w:color w:val="auto"/>
              </w:rPr>
            </w:pPr>
          </w:p>
        </w:tc>
        <w:tc>
          <w:tcPr>
            <w:tcW w:w="178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36,000</w:t>
            </w: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59,138</w:t>
            </w:r>
          </w:p>
        </w:tc>
        <w:tc>
          <w:tcPr>
            <w:tcW w:w="80" w:type="dxa"/>
            <w:vAlign w:val="bottom"/>
          </w:tcPr>
          <w:p>
            <w:pPr>
              <w:spacing w:after="0"/>
              <w:rPr>
                <w:sz w:val="22"/>
                <w:szCs w:val="22"/>
                <w:color w:val="auto"/>
              </w:rPr>
            </w:pPr>
          </w:p>
        </w:tc>
        <w:tc>
          <w:tcPr>
            <w:tcW w:w="2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3280" w:type="dxa"/>
            <w:vAlign w:val="bottom"/>
          </w:tcPr>
          <w:p>
            <w:pPr>
              <w:spacing w:after="0"/>
              <w:rPr>
                <w:sz w:val="24"/>
                <w:szCs w:val="24"/>
                <w:color w:val="auto"/>
              </w:rPr>
            </w:pPr>
          </w:p>
        </w:tc>
        <w:tc>
          <w:tcPr>
            <w:tcW w:w="4260" w:type="dxa"/>
            <w:vAlign w:val="bottom"/>
            <w:gridSpan w:val="2"/>
          </w:tcPr>
          <w:p>
            <w:pPr>
              <w:jc w:val="right"/>
              <w:ind w:right="1450"/>
              <w:spacing w:after="0"/>
              <w:rPr>
                <w:sz w:val="20"/>
                <w:szCs w:val="20"/>
                <w:color w:val="auto"/>
              </w:rPr>
            </w:pPr>
            <w:r>
              <w:rPr>
                <w:rFonts w:ascii="Times New Roman" w:cs="Times New Roman" w:eastAsia="Times New Roman" w:hAnsi="Times New Roman"/>
                <w:sz w:val="18"/>
                <w:szCs w:val="18"/>
                <w:color w:val="auto"/>
              </w:rPr>
              <w:t>17 of 37</w:t>
            </w:r>
          </w:p>
        </w:tc>
        <w:tc>
          <w:tcPr>
            <w:tcW w:w="1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3280" w:type="dxa"/>
            <w:vAlign w:val="bottom"/>
            <w:tcBorders>
              <w:bottom w:val="single" w:sz="8" w:color="auto"/>
            </w:tcBorders>
          </w:tcPr>
          <w:p>
            <w:pPr>
              <w:spacing w:after="0"/>
              <w:rPr>
                <w:sz w:val="10"/>
                <w:szCs w:val="10"/>
                <w:color w:val="auto"/>
              </w:rPr>
            </w:pPr>
          </w:p>
        </w:tc>
        <w:tc>
          <w:tcPr>
            <w:tcW w:w="2480" w:type="dxa"/>
            <w:vAlign w:val="bottom"/>
            <w:tcBorders>
              <w:bottom w:val="single" w:sz="8" w:color="auto"/>
            </w:tcBorders>
          </w:tcPr>
          <w:p>
            <w:pPr>
              <w:spacing w:after="0"/>
              <w:rPr>
                <w:sz w:val="10"/>
                <w:szCs w:val="10"/>
                <w:color w:val="auto"/>
              </w:rPr>
            </w:pPr>
          </w:p>
        </w:tc>
        <w:tc>
          <w:tcPr>
            <w:tcW w:w="1780" w:type="dxa"/>
            <w:vAlign w:val="bottom"/>
            <w:tcBorders>
              <w:bottom w:val="single" w:sz="8" w:color="auto"/>
            </w:tcBorders>
          </w:tcPr>
          <w:p>
            <w:pPr>
              <w:spacing w:after="0"/>
              <w:rPr>
                <w:sz w:val="10"/>
                <w:szCs w:val="10"/>
                <w:color w:val="auto"/>
              </w:rPr>
            </w:pPr>
          </w:p>
        </w:tc>
        <w:tc>
          <w:tcPr>
            <w:tcW w:w="150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2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17" w:name="page18"/>
    <w:bookmarkEnd w:id="17"/>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Segment Information</w:t>
      </w: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We have strategically aligned our business into three reportable segments as defined in ASC 280, </w:t>
      </w:r>
      <w:r>
        <w:rPr>
          <w:rFonts w:ascii="Times New Roman" w:cs="Times New Roman" w:eastAsia="Times New Roman" w:hAnsi="Times New Roman"/>
          <w:sz w:val="18"/>
          <w:szCs w:val="18"/>
          <w:i w:val="1"/>
          <w:iCs w:val="1"/>
          <w:color w:val="auto"/>
        </w:rPr>
        <w:t>Segment Reporting</w:t>
      </w:r>
      <w:r>
        <w:rPr>
          <w:rFonts w:ascii="Times New Roman" w:cs="Times New Roman" w:eastAsia="Times New Roman" w:hAnsi="Times New Roman"/>
          <w:sz w:val="18"/>
          <w:szCs w:val="18"/>
          <w:color w:val="auto"/>
        </w:rPr>
        <w:t>, and as described below:</w:t>
      </w:r>
    </w:p>
    <w:p>
      <w:pPr>
        <w:spacing w:after="0" w:line="223" w:lineRule="exact"/>
        <w:rPr>
          <w:sz w:val="20"/>
          <w:szCs w:val="20"/>
          <w:color w:val="auto"/>
        </w:rPr>
      </w:pPr>
    </w:p>
    <w:p>
      <w:pPr>
        <w:jc w:val="both"/>
        <w:ind w:left="660" w:hanging="328"/>
        <w:spacing w:after="0" w:line="257" w:lineRule="auto"/>
        <w:tabs>
          <w:tab w:leader="none" w:pos="66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Wholesale. </w:t>
      </w:r>
      <w:r>
        <w:rPr>
          <w:rFonts w:ascii="Times New Roman" w:cs="Times New Roman" w:eastAsia="Times New Roman" w:hAnsi="Times New Roman"/>
          <w:sz w:val="18"/>
          <w:szCs w:val="18"/>
          <w:color w:val="auto"/>
        </w:rPr>
        <w:t>The wholesale home furnishings segment is involved principally in the design, manufacture, sourcing, sale and distribution of furniture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products to a network of Bassett stores (Company-owned and licensee-owned retail stores) and independent furniture retailers. Our wholesale segment includes our wood and upholstery operations, which now include Lane Venture (see Note 3, Business Combinations), as well as all corporate selling, general and administrative expenses, including those corporate expenses related to both Company- and licensee-owned stores. Our wholesale segment also includes our holdings of short-term investments and retail real estate previously leased as licensee stores. The earnings and costs associated with these assets are included in other loss, net, in our condensed consolidated statements of operations.</w:t>
      </w:r>
    </w:p>
    <w:p>
      <w:pPr>
        <w:spacing w:after="0" w:line="182" w:lineRule="exact"/>
        <w:rPr>
          <w:rFonts w:ascii="Times New Roman" w:cs="Times New Roman" w:eastAsia="Times New Roman" w:hAnsi="Times New Roman"/>
          <w:sz w:val="18"/>
          <w:szCs w:val="18"/>
          <w:b w:val="1"/>
          <w:bCs w:val="1"/>
          <w:color w:val="auto"/>
        </w:rPr>
      </w:pPr>
    </w:p>
    <w:p>
      <w:pPr>
        <w:jc w:val="both"/>
        <w:ind w:left="660" w:hanging="328"/>
        <w:spacing w:after="0" w:line="268" w:lineRule="auto"/>
        <w:tabs>
          <w:tab w:leader="none" w:pos="66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Retail – Company-owned stores. </w:t>
      </w:r>
      <w:r>
        <w:rPr>
          <w:rFonts w:ascii="Times New Roman" w:cs="Times New Roman" w:eastAsia="Times New Roman" w:hAnsi="Times New Roman"/>
          <w:sz w:val="18"/>
          <w:szCs w:val="18"/>
          <w:color w:val="auto"/>
        </w:rPr>
        <w:t>Our retail segment consists of Company-owned stores and includes the revenues, expenses, assets and liabilities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capital expenditures directly related to these stores and the Company-owned distribution network utilized to deliver products to our retail customers.</w:t>
      </w:r>
    </w:p>
    <w:p>
      <w:pPr>
        <w:spacing w:after="0" w:line="170" w:lineRule="exact"/>
        <w:rPr>
          <w:rFonts w:ascii="Times New Roman" w:cs="Times New Roman" w:eastAsia="Times New Roman" w:hAnsi="Times New Roman"/>
          <w:sz w:val="18"/>
          <w:szCs w:val="18"/>
          <w:b w:val="1"/>
          <w:bCs w:val="1"/>
          <w:color w:val="auto"/>
        </w:rPr>
      </w:pPr>
    </w:p>
    <w:p>
      <w:pPr>
        <w:jc w:val="both"/>
        <w:ind w:left="660" w:hanging="328"/>
        <w:spacing w:after="0" w:line="259" w:lineRule="auto"/>
        <w:tabs>
          <w:tab w:leader="none" w:pos="66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Logistical services. </w:t>
      </w:r>
      <w:r>
        <w:rPr>
          <w:rFonts w:ascii="Times New Roman" w:cs="Times New Roman" w:eastAsia="Times New Roman" w:hAnsi="Times New Roman"/>
          <w:sz w:val="18"/>
          <w:szCs w:val="18"/>
          <w:color w:val="auto"/>
        </w:rPr>
        <w:t>Our logistical services segment reflects the operations of Zenith. In addition to providing shipping and warehousing services for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Zenith also provides similar services to other customers, primarily in the furniture industry. Revenue from the performance of these services to other customers is included in logistical services revenue in our condensed consolidated statements of operations. Zenith’s total operating costs, including those associated with providing logistical services to the Company as well as to third-party customers, are included in selling, general and administrative expenses and were $21,039 and $21,092 for the three months ended March 2, 2019 and February 24, 2018, respectively.</w:t>
      </w:r>
    </w:p>
    <w:p>
      <w:pPr>
        <w:spacing w:after="0" w:line="184"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During the fourth quarter of fiscal 2018, we substantially completed transferring operational control of home delivery services for BHF stores from Zenith to our retail segment, including the transfer of the assets and many of the employees used in providing that service. Accordingly, the results for the retail and logistical services segments for all periods presented have been restated to present the depreciation and amortization, capital expenditures and identifiable assets associated with home delivery services formerly provided by Zenith to the Bassett retail segment as though they had been incurred within the retail segment, and intercompany revenues for those services are no longer included in the logistical services segment. The impact of the restatement upon the income (loss) from operations for both the logistical services and retail segments was not material. Concurrently with the transfer of home delivery operations to retail, Zenith also ceased providing such services to third party customers. Revenues from Zenith’s home delivery services formerly provided to third party customers and the associated costs thereof continue to be reported in the logistical services segment. Zenith continues to provide other intercompany shipping and warehousing services to Bassett which are eliminated in consolidation.</w:t>
      </w:r>
    </w:p>
    <w:p>
      <w:pPr>
        <w:spacing w:after="0" w:line="18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Inter-company net sales elimination represents the elimination of wholesale sales to our Company-owned stores and the elimination of Zenith logistics revenue from our wholesale and retail segments. Inter-company income elimination includes the embedded wholesale profit in the Company-owned store inventory that has not been realized. These profits will be recorded when merchandise is delivered to the retail consumer. The inter-company income elimination also includes rent paid by our retail stores occupying Company-owned real estate, and the elimination of shipping and handling charges from Zenith for services provided to our wholesale and retail operations.</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18" w:name="page19"/>
    <w:bookmarkEnd w:id="18"/>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presents our segment information:</w:t>
      </w:r>
    </w:p>
    <w:p>
      <w:pPr>
        <w:spacing w:after="0" w:line="221" w:lineRule="exact"/>
        <w:rPr>
          <w:sz w:val="20"/>
          <w:szCs w:val="20"/>
          <w:color w:val="auto"/>
        </w:rPr>
      </w:pPr>
    </w:p>
    <w:p>
      <w:pPr>
        <w:ind w:left="7380"/>
        <w:spacing w:after="0"/>
        <w:rPr>
          <w:sz w:val="20"/>
          <w:szCs w:val="20"/>
          <w:color w:val="auto"/>
        </w:rPr>
      </w:pPr>
      <w:r>
        <w:rPr>
          <w:rFonts w:ascii="Times New Roman" w:cs="Times New Roman" w:eastAsia="Times New Roman" w:hAnsi="Times New Roman"/>
          <w:sz w:val="18"/>
          <w:szCs w:val="18"/>
          <w:b w:val="1"/>
          <w:bCs w:val="1"/>
          <w:color w:val="auto"/>
        </w:rPr>
        <w:t>Quarter Ended</w:t>
      </w:r>
    </w:p>
    <w:p>
      <w:pPr>
        <w:spacing w:after="0" w:line="31" w:lineRule="exact"/>
        <w:rPr>
          <w:sz w:val="20"/>
          <w:szCs w:val="20"/>
          <w:color w:val="auto"/>
        </w:rPr>
      </w:pPr>
    </w:p>
    <w:p>
      <w:pPr>
        <w:jc w:val="right"/>
        <w:ind w:right="2080"/>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March 2,</w:t>
      </w:r>
      <w:r>
        <w:rPr>
          <w:sz w:val="20"/>
          <w:szCs w:val="20"/>
          <w:color w:val="auto"/>
        </w:rPr>
        <w:tab/>
      </w:r>
      <w:r>
        <w:rPr>
          <w:rFonts w:ascii="Times New Roman" w:cs="Times New Roman" w:eastAsia="Times New Roman" w:hAnsi="Times New Roman"/>
          <w:sz w:val="17"/>
          <w:szCs w:val="17"/>
          <w:b w:val="1"/>
          <w:bCs w:val="1"/>
          <w:color w:val="auto"/>
        </w:rPr>
        <w:t>February 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4018280</wp:posOffset>
            </wp:positionH>
            <wp:positionV relativeFrom="paragraph">
              <wp:posOffset>-130810</wp:posOffset>
            </wp:positionV>
            <wp:extent cx="208407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084070" cy="8890"/>
                    </a:xfrm>
                    <a:prstGeom prst="rect">
                      <a:avLst/>
                    </a:prstGeom>
                    <a:noFill/>
                  </pic:spPr>
                </pic:pic>
              </a:graphicData>
            </a:graphic>
          </wp:anchor>
        </w:drawing>
      </w:r>
    </w:p>
    <w:p>
      <w:pPr>
        <w:spacing w:after="0" w:line="3" w:lineRule="exact"/>
        <w:rPr>
          <w:sz w:val="20"/>
          <w:szCs w:val="20"/>
          <w:color w:val="auto"/>
        </w:rPr>
      </w:pPr>
    </w:p>
    <w:p>
      <w:pPr>
        <w:ind w:left="6920"/>
        <w:spacing w:after="0"/>
        <w:tabs>
          <w:tab w:leader="none" w:pos="8640" w:val="left"/>
        </w:tabs>
        <w:rPr>
          <w:sz w:val="20"/>
          <w:szCs w:val="20"/>
          <w:color w:val="auto"/>
        </w:rPr>
      </w:pPr>
      <w:r>
        <w:rPr>
          <w:rFonts w:ascii="Times New Roman" w:cs="Times New Roman" w:eastAsia="Times New Roman" w:hAnsi="Times New Roman"/>
          <w:sz w:val="18"/>
          <w:szCs w:val="18"/>
          <w:b w:val="1"/>
          <w:bCs w:val="1"/>
          <w:color w:val="auto"/>
        </w:rPr>
        <w:t>2019</w:t>
      </w:r>
      <w:r>
        <w:rPr>
          <w:sz w:val="20"/>
          <w:szCs w:val="20"/>
          <w:color w:val="auto"/>
        </w:rPr>
        <w:tab/>
      </w:r>
      <w:r>
        <w:rPr>
          <w:rFonts w:ascii="Times New Roman" w:cs="Times New Roman" w:eastAsia="Times New Roman" w:hAnsi="Times New Roman"/>
          <w:sz w:val="18"/>
          <w:szCs w:val="18"/>
          <w:b w:val="1"/>
          <w:bCs w:val="1"/>
          <w:color w:val="auto"/>
        </w:rPr>
        <w:t>2018</w:t>
      </w:r>
    </w:p>
    <w:p>
      <w:pPr>
        <w:sectPr>
          <w:pgSz w:w="11900" w:h="16838" w:orient="portrait"/>
          <w:cols w:equalWidth="0" w:num="1">
            <w:col w:w="11420"/>
          </w:cols>
          <w:pgMar w:left="240" w:top="580" w:right="239" w:bottom="1440" w:gutter="0" w:footer="0" w:header="0"/>
        </w:sectPr>
      </w:pP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Sales Revenue</w:t>
      </w:r>
    </w:p>
    <w:p>
      <w:pPr>
        <w:spacing w:after="0" w:line="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Wholesale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Retail - Company-owned stores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Logistical services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Inter-company eliminations:</w:t>
      </w:r>
    </w:p>
    <w:p>
      <w:pPr>
        <w:spacing w:after="0" w:line="9"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Furniture and accessories</w:t>
      </w:r>
    </w:p>
    <w:p>
      <w:pPr>
        <w:spacing w:after="0" w:line="9"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Logistical services</w:t>
      </w:r>
    </w:p>
    <w:p>
      <w:pPr>
        <w:spacing w:after="0" w:line="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Consolidated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540" w:type="dxa"/>
            <w:vAlign w:val="bottom"/>
            <w:gridSpan w:val="2"/>
          </w:tcPr>
          <w:p>
            <w:pPr>
              <w:jc w:val="right"/>
              <w:ind w:right="355"/>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72,781</w:t>
            </w:r>
          </w:p>
        </w:tc>
        <w:tc>
          <w:tcPr>
            <w:tcW w:w="60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63,100</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1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69,629</w:t>
            </w:r>
          </w:p>
        </w:tc>
        <w:tc>
          <w:tcPr>
            <w:tcW w:w="6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64,661</w:t>
            </w:r>
          </w:p>
        </w:tc>
        <w:tc>
          <w:tcPr>
            <w:tcW w:w="60" w:type="dxa"/>
            <w:vAlign w:val="bottom"/>
          </w:tcPr>
          <w:p>
            <w:pPr>
              <w:spacing w:after="0"/>
              <w:rPr>
                <w:sz w:val="18"/>
                <w:szCs w:val="18"/>
                <w:color w:val="auto"/>
              </w:rPr>
            </w:pPr>
          </w:p>
        </w:tc>
      </w:tr>
      <w:tr>
        <w:trPr>
          <w:trHeight w:val="234"/>
        </w:trPr>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1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21,751</w:t>
            </w:r>
          </w:p>
        </w:tc>
        <w:tc>
          <w:tcPr>
            <w:tcW w:w="6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21,422</w:t>
            </w:r>
          </w:p>
        </w:tc>
        <w:tc>
          <w:tcPr>
            <w:tcW w:w="60" w:type="dxa"/>
            <w:vAlign w:val="bottom"/>
          </w:tcPr>
          <w:p>
            <w:pPr>
              <w:spacing w:after="0"/>
              <w:rPr>
                <w:sz w:val="20"/>
                <w:szCs w:val="20"/>
                <w:color w:val="auto"/>
              </w:rPr>
            </w:pPr>
          </w:p>
        </w:tc>
      </w:tr>
      <w:tr>
        <w:trPr>
          <w:trHeight w:val="414"/>
        </w:trPr>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(35,054)</w:t>
            </w:r>
          </w:p>
        </w:tc>
        <w:tc>
          <w:tcPr>
            <w:tcW w:w="600" w:type="dxa"/>
            <w:vAlign w:val="bottom"/>
          </w:tcPr>
          <w:p>
            <w:pPr>
              <w:spacing w:after="0"/>
              <w:rPr>
                <w:sz w:val="24"/>
                <w:szCs w:val="24"/>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(31,638)</w:t>
            </w:r>
          </w:p>
        </w:tc>
      </w:tr>
      <w:tr>
        <w:trPr>
          <w:trHeight w:val="234"/>
        </w:trPr>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(8,266)</w:t>
            </w:r>
          </w:p>
        </w:tc>
        <w:tc>
          <w:tcPr>
            <w:tcW w:w="600" w:type="dxa"/>
            <w:vAlign w:val="bottom"/>
          </w:tcPr>
          <w:p>
            <w:pPr>
              <w:spacing w:after="0"/>
              <w:rPr>
                <w:sz w:val="20"/>
                <w:szCs w:val="20"/>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(7,273)</w:t>
            </w:r>
          </w:p>
        </w:tc>
      </w:tr>
      <w:tr>
        <w:trPr>
          <w:trHeight w:val="210"/>
        </w:trPr>
        <w:tc>
          <w:tcPr>
            <w:tcW w:w="20" w:type="dxa"/>
            <w:vAlign w:val="bottom"/>
            <w:tcBorders>
              <w:bottom w:val="single" w:sz="8" w:color="auto"/>
            </w:tcBorders>
          </w:tcPr>
          <w:p>
            <w:pPr>
              <w:spacing w:after="0"/>
              <w:rPr>
                <w:sz w:val="18"/>
                <w:szCs w:val="18"/>
                <w:color w:val="auto"/>
              </w:rPr>
            </w:pPr>
          </w:p>
        </w:tc>
        <w:tc>
          <w:tcPr>
            <w:tcW w:w="520" w:type="dxa"/>
            <w:vAlign w:val="bottom"/>
            <w:tcBorders>
              <w:top w:val="single" w:sz="8" w:color="auto"/>
              <w:bottom w:val="single" w:sz="8" w:color="auto"/>
            </w:tcBorders>
          </w:tcPr>
          <w:p>
            <w:pPr>
              <w:jc w:val="right"/>
              <w:ind w:right="355"/>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120,841</w:t>
            </w:r>
          </w:p>
        </w:tc>
        <w:tc>
          <w:tcPr>
            <w:tcW w:w="600" w:type="dxa"/>
            <w:vAlign w:val="bottom"/>
            <w:tcBorders>
              <w:top w:val="single" w:sz="8" w:color="auto"/>
              <w:bottom w:val="single" w:sz="8" w:color="auto"/>
            </w:tcBorders>
          </w:tcPr>
          <w:p>
            <w:pPr>
              <w:jc w:val="right"/>
              <w:ind w:right="35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110,272</w:t>
            </w:r>
          </w:p>
        </w:tc>
        <w:tc>
          <w:tcPr>
            <w:tcW w:w="6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-4007485</wp:posOffset>
            </wp:positionH>
            <wp:positionV relativeFrom="paragraph">
              <wp:posOffset>-1139825</wp:posOffset>
            </wp:positionV>
            <wp:extent cx="6157595" cy="9779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157595" cy="977900"/>
                    </a:xfrm>
                    <a:prstGeom prst="rect">
                      <a:avLst/>
                    </a:prstGeom>
                    <a:noFill/>
                  </pic:spPr>
                </pic:pic>
              </a:graphicData>
            </a:graphic>
          </wp:anchor>
        </w:drawing>
      </w:r>
    </w:p>
    <w:p>
      <w:pPr>
        <w:spacing w:after="0" w:line="20" w:lineRule="exact"/>
        <w:rPr>
          <w:sz w:val="20"/>
          <w:szCs w:val="20"/>
          <w:color w:val="auto"/>
        </w:rPr>
      </w:pPr>
    </w:p>
    <w:p>
      <w:pPr>
        <w:sectPr>
          <w:pgSz w:w="11900" w:h="16838" w:orient="portrait"/>
          <w:cols w:equalWidth="0" w:num="2">
            <w:col w:w="5600" w:space="720"/>
            <w:col w:w="5100"/>
          </w:cols>
          <w:pgMar w:left="240" w:top="580" w:right="239" w:bottom="144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20" w:type="dxa"/>
            <w:vAlign w:val="bottom"/>
          </w:tcPr>
          <w:p>
            <w:pPr>
              <w:spacing w:after="0"/>
              <w:rPr>
                <w:sz w:val="17"/>
                <w:szCs w:val="17"/>
                <w:color w:val="auto"/>
              </w:rPr>
            </w:pPr>
          </w:p>
        </w:tc>
        <w:tc>
          <w:tcPr>
            <w:tcW w:w="46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Income from Operations</w:t>
            </w:r>
          </w:p>
        </w:tc>
        <w:tc>
          <w:tcPr>
            <w:tcW w:w="4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40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4,182</w:t>
            </w:r>
          </w:p>
        </w:tc>
        <w:tc>
          <w:tcPr>
            <w:tcW w:w="1020" w:type="dxa"/>
            <w:vAlign w:val="bottom"/>
            <w:shd w:val="clear" w:color="auto" w:fill="CCEEFF"/>
          </w:tcPr>
          <w:p>
            <w:pPr>
              <w:jc w:val="right"/>
              <w:ind w:right="77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3,064</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4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(3,046)</w:t>
            </w:r>
          </w:p>
        </w:tc>
        <w:tc>
          <w:tcPr>
            <w:tcW w:w="102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(1,513)</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Logistical services</w:t>
            </w:r>
          </w:p>
        </w:tc>
        <w:tc>
          <w:tcPr>
            <w:tcW w:w="4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712</w:t>
            </w:r>
          </w:p>
        </w:tc>
        <w:tc>
          <w:tcPr>
            <w:tcW w:w="10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330</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Inter-company elimination</w:t>
            </w:r>
          </w:p>
        </w:tc>
        <w:tc>
          <w:tcPr>
            <w:tcW w:w="4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(64)</w:t>
            </w:r>
          </w:p>
        </w:tc>
        <w:tc>
          <w:tcPr>
            <w:tcW w:w="102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169</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Early retirement program</w:t>
            </w:r>
          </w:p>
        </w:tc>
        <w:tc>
          <w:tcPr>
            <w:tcW w:w="400" w:type="dxa"/>
            <w:vAlign w:val="bottom"/>
            <w:tcBorders>
              <w:bottom w:val="single" w:sz="8" w:color="CCEEFF"/>
            </w:tcBorders>
            <w:shd w:val="clear" w:color="auto" w:fill="CCEEFF"/>
          </w:tcPr>
          <w:p>
            <w:pPr>
              <w:spacing w:after="0"/>
              <w:rPr>
                <w:sz w:val="18"/>
                <w:szCs w:val="18"/>
                <w:color w:val="auto"/>
              </w:rPr>
            </w:pPr>
          </w:p>
        </w:tc>
        <w:tc>
          <w:tcPr>
            <w:tcW w:w="13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(835)</w:t>
            </w:r>
          </w:p>
        </w:tc>
        <w:tc>
          <w:tcPr>
            <w:tcW w:w="10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bottom w:val="single" w:sz="8" w:color="CCEEFF"/>
            </w:tcBorders>
            <w:shd w:val="clear" w:color="auto" w:fill="CCEEFF"/>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400" w:type="dxa"/>
            <w:vAlign w:val="bottom"/>
          </w:tcPr>
          <w:p>
            <w:pPr>
              <w:spacing w:after="0"/>
              <w:rPr>
                <w:sz w:val="18"/>
                <w:szCs w:val="18"/>
                <w:color w:val="auto"/>
              </w:rPr>
            </w:pPr>
          </w:p>
        </w:tc>
        <w:tc>
          <w:tcPr>
            <w:tcW w:w="160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949</w:t>
            </w:r>
          </w:p>
        </w:tc>
        <w:tc>
          <w:tcPr>
            <w:tcW w:w="1020" w:type="dxa"/>
            <w:vAlign w:val="bottom"/>
          </w:tcPr>
          <w:p>
            <w:pPr>
              <w:jc w:val="right"/>
              <w:ind w:right="77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2,050</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46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Depreciation and Amortization</w:t>
            </w:r>
          </w:p>
        </w:tc>
        <w:tc>
          <w:tcPr>
            <w:tcW w:w="4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40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818</w:t>
            </w:r>
          </w:p>
        </w:tc>
        <w:tc>
          <w:tcPr>
            <w:tcW w:w="1020" w:type="dxa"/>
            <w:vAlign w:val="bottom"/>
            <w:shd w:val="clear" w:color="auto" w:fill="CCEEFF"/>
          </w:tcPr>
          <w:p>
            <w:pPr>
              <w:jc w:val="right"/>
              <w:ind w:right="77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703</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4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1,505</w:t>
            </w:r>
          </w:p>
        </w:tc>
        <w:tc>
          <w:tcPr>
            <w:tcW w:w="102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1,598</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Logistical services</w:t>
            </w:r>
          </w:p>
        </w:tc>
        <w:tc>
          <w:tcPr>
            <w:tcW w:w="400" w:type="dxa"/>
            <w:vAlign w:val="bottom"/>
            <w:tcBorders>
              <w:bottom w:val="single" w:sz="8" w:color="CCEEFF"/>
            </w:tcBorders>
            <w:shd w:val="clear" w:color="auto" w:fill="CCEEFF"/>
          </w:tcPr>
          <w:p>
            <w:pPr>
              <w:spacing w:after="0"/>
              <w:rPr>
                <w:sz w:val="18"/>
                <w:szCs w:val="18"/>
                <w:color w:val="auto"/>
              </w:rPr>
            </w:pPr>
          </w:p>
        </w:tc>
        <w:tc>
          <w:tcPr>
            <w:tcW w:w="13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1,047</w:t>
            </w:r>
          </w:p>
        </w:tc>
        <w:tc>
          <w:tcPr>
            <w:tcW w:w="10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1,003</w:t>
            </w:r>
          </w:p>
        </w:tc>
        <w:tc>
          <w:tcPr>
            <w:tcW w:w="80" w:type="dxa"/>
            <w:vAlign w:val="bottom"/>
            <w:tcBorders>
              <w:bottom w:val="single" w:sz="8" w:color="CCEEFF"/>
            </w:tcBorders>
            <w:shd w:val="clear" w:color="auto" w:fill="CCEEFF"/>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400" w:type="dxa"/>
            <w:vAlign w:val="bottom"/>
          </w:tcPr>
          <w:p>
            <w:pPr>
              <w:spacing w:after="0"/>
              <w:rPr>
                <w:sz w:val="18"/>
                <w:szCs w:val="18"/>
                <w:color w:val="auto"/>
              </w:rPr>
            </w:pPr>
          </w:p>
        </w:tc>
        <w:tc>
          <w:tcPr>
            <w:tcW w:w="160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3,370</w:t>
            </w:r>
          </w:p>
        </w:tc>
        <w:tc>
          <w:tcPr>
            <w:tcW w:w="1020" w:type="dxa"/>
            <w:vAlign w:val="bottom"/>
          </w:tcPr>
          <w:p>
            <w:pPr>
              <w:jc w:val="right"/>
              <w:ind w:right="77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3,304</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46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Capital Expenditures</w:t>
            </w:r>
          </w:p>
        </w:tc>
        <w:tc>
          <w:tcPr>
            <w:tcW w:w="4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40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1,065</w:t>
            </w:r>
          </w:p>
        </w:tc>
        <w:tc>
          <w:tcPr>
            <w:tcW w:w="1020" w:type="dxa"/>
            <w:vAlign w:val="bottom"/>
            <w:shd w:val="clear" w:color="auto" w:fill="CCEEFF"/>
          </w:tcPr>
          <w:p>
            <w:pPr>
              <w:jc w:val="right"/>
              <w:ind w:right="77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1,217</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4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4,017</w:t>
            </w:r>
          </w:p>
        </w:tc>
        <w:tc>
          <w:tcPr>
            <w:tcW w:w="102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2,617</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Logistical services</w:t>
            </w:r>
          </w:p>
        </w:tc>
        <w:tc>
          <w:tcPr>
            <w:tcW w:w="400" w:type="dxa"/>
            <w:vAlign w:val="bottom"/>
            <w:tcBorders>
              <w:bottom w:val="single" w:sz="8" w:color="CCEEFF"/>
            </w:tcBorders>
            <w:shd w:val="clear" w:color="auto" w:fill="CCEEFF"/>
          </w:tcPr>
          <w:p>
            <w:pPr>
              <w:spacing w:after="0"/>
              <w:rPr>
                <w:sz w:val="18"/>
                <w:szCs w:val="18"/>
                <w:color w:val="auto"/>
              </w:rPr>
            </w:pPr>
          </w:p>
        </w:tc>
        <w:tc>
          <w:tcPr>
            <w:tcW w:w="13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470</w:t>
            </w:r>
          </w:p>
        </w:tc>
        <w:tc>
          <w:tcPr>
            <w:tcW w:w="10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w:t>
            </w:r>
          </w:p>
        </w:tc>
        <w:tc>
          <w:tcPr>
            <w:tcW w:w="80" w:type="dxa"/>
            <w:vAlign w:val="bottom"/>
            <w:tcBorders>
              <w:bottom w:val="single" w:sz="8" w:color="CCEEFF"/>
            </w:tcBorders>
            <w:shd w:val="clear" w:color="auto" w:fill="CCEEFF"/>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4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30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5,552</w:t>
            </w:r>
          </w:p>
        </w:tc>
        <w:tc>
          <w:tcPr>
            <w:tcW w:w="1020" w:type="dxa"/>
            <w:vAlign w:val="bottom"/>
            <w:tcBorders>
              <w:bottom w:val="single" w:sz="8" w:color="auto"/>
            </w:tcBorders>
          </w:tcPr>
          <w:p>
            <w:pPr>
              <w:jc w:val="right"/>
              <w:ind w:right="770"/>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3,958</w:t>
            </w: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7"/>
        </w:trPr>
        <w:tc>
          <w:tcPr>
            <w:tcW w:w="20" w:type="dxa"/>
            <w:vAlign w:val="bottom"/>
          </w:tcPr>
          <w:p>
            <w:pPr>
              <w:spacing w:after="0"/>
              <w:rPr>
                <w:sz w:val="24"/>
                <w:szCs w:val="24"/>
                <w:color w:val="auto"/>
              </w:rPr>
            </w:pPr>
          </w:p>
        </w:tc>
        <w:tc>
          <w:tcPr>
            <w:tcW w:w="46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60" w:type="dxa"/>
            <w:vAlign w:val="bottom"/>
            <w:gridSpan w:val="2"/>
          </w:tcPr>
          <w:p>
            <w:pPr>
              <w:jc w:val="center"/>
              <w:ind w:left="110"/>
              <w:spacing w:after="0"/>
              <w:rPr>
                <w:sz w:val="20"/>
                <w:szCs w:val="20"/>
                <w:color w:val="auto"/>
              </w:rPr>
            </w:pPr>
            <w:r>
              <w:rPr>
                <w:rFonts w:ascii="Times New Roman" w:cs="Times New Roman" w:eastAsia="Times New Roman" w:hAnsi="Times New Roman"/>
                <w:sz w:val="18"/>
                <w:szCs w:val="18"/>
                <w:b w:val="1"/>
                <w:bCs w:val="1"/>
                <w:color w:val="auto"/>
              </w:rPr>
              <w:t>As of</w:t>
            </w: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80" w:type="dxa"/>
            <w:vAlign w:val="bottom"/>
            <w:gridSpan w:val="5"/>
          </w:tcPr>
          <w:p>
            <w:pPr>
              <w:jc w:val="center"/>
              <w:ind w:right="600"/>
              <w:spacing w:after="0"/>
              <w:rPr>
                <w:sz w:val="20"/>
                <w:szCs w:val="20"/>
                <w:color w:val="auto"/>
              </w:rPr>
            </w:pPr>
            <w:r>
              <w:rPr>
                <w:rFonts w:ascii="Times New Roman" w:cs="Times New Roman" w:eastAsia="Times New Roman" w:hAnsi="Times New Roman"/>
                <w:sz w:val="18"/>
                <w:szCs w:val="18"/>
                <w:b w:val="1"/>
                <w:bCs w:val="1"/>
                <w:color w:val="auto"/>
              </w:rPr>
              <w:t>As of</w:t>
            </w: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80" w:type="dxa"/>
            <w:vAlign w:val="bottom"/>
            <w:gridSpan w:val="4"/>
          </w:tcPr>
          <w:p>
            <w:pPr>
              <w:jc w:val="center"/>
              <w:ind w:right="400"/>
              <w:spacing w:after="0"/>
              <w:rPr>
                <w:sz w:val="20"/>
                <w:szCs w:val="20"/>
                <w:color w:val="auto"/>
              </w:rPr>
            </w:pPr>
            <w:r>
              <w:rPr>
                <w:rFonts w:ascii="Times New Roman" w:cs="Times New Roman" w:eastAsia="Times New Roman" w:hAnsi="Times New Roman"/>
                <w:sz w:val="18"/>
                <w:szCs w:val="18"/>
                <w:b w:val="1"/>
                <w:bCs w:val="1"/>
                <w:color w:val="auto"/>
                <w:w w:val="99"/>
              </w:rPr>
              <w:t>March 2,</w:t>
            </w:r>
          </w:p>
        </w:tc>
        <w:tc>
          <w:tcPr>
            <w:tcW w:w="2280" w:type="dxa"/>
            <w:vAlign w:val="bottom"/>
            <w:gridSpan w:val="5"/>
          </w:tcPr>
          <w:p>
            <w:pPr>
              <w:jc w:val="center"/>
              <w:ind w:right="600"/>
              <w:spacing w:after="0"/>
              <w:rPr>
                <w:sz w:val="20"/>
                <w:szCs w:val="20"/>
                <w:color w:val="auto"/>
              </w:rPr>
            </w:pPr>
            <w:r>
              <w:rPr>
                <w:rFonts w:ascii="Times New Roman" w:cs="Times New Roman" w:eastAsia="Times New Roman" w:hAnsi="Times New Roman"/>
                <w:sz w:val="18"/>
                <w:szCs w:val="18"/>
                <w:b w:val="1"/>
                <w:bCs w:val="1"/>
                <w:color w:val="auto"/>
              </w:rPr>
              <w:t>November 24,</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Identifiable Assets</w:t>
            </w:r>
          </w:p>
        </w:tc>
        <w:tc>
          <w:tcPr>
            <w:tcW w:w="4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gridSpan w:val="2"/>
          </w:tcPr>
          <w:p>
            <w:pPr>
              <w:jc w:val="center"/>
              <w:ind w:left="110"/>
              <w:spacing w:after="0"/>
              <w:rPr>
                <w:sz w:val="20"/>
                <w:szCs w:val="20"/>
                <w:color w:val="auto"/>
              </w:rPr>
            </w:pPr>
            <w:r>
              <w:rPr>
                <w:rFonts w:ascii="Times New Roman" w:cs="Times New Roman" w:eastAsia="Times New Roman" w:hAnsi="Times New Roman"/>
                <w:sz w:val="18"/>
                <w:szCs w:val="18"/>
                <w:b w:val="1"/>
                <w:bCs w:val="1"/>
                <w:color w:val="auto"/>
                <w:w w:val="99"/>
              </w:rPr>
              <w:t>2019</w:t>
            </w:r>
          </w:p>
        </w:tc>
        <w:tc>
          <w:tcPr>
            <w:tcW w:w="10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center"/>
              <w:ind w:left="570"/>
              <w:spacing w:after="0"/>
              <w:rPr>
                <w:sz w:val="20"/>
                <w:szCs w:val="20"/>
                <w:color w:val="auto"/>
              </w:rPr>
            </w:pPr>
            <w:r>
              <w:rPr>
                <w:rFonts w:ascii="Times New Roman" w:cs="Times New Roman" w:eastAsia="Times New Roman" w:hAnsi="Times New Roman"/>
                <w:sz w:val="18"/>
                <w:szCs w:val="18"/>
                <w:b w:val="1"/>
                <w:bCs w:val="1"/>
                <w:color w:val="auto"/>
                <w:w w:val="99"/>
              </w:rPr>
              <w:t>2018</w:t>
            </w:r>
          </w:p>
        </w:tc>
        <w:tc>
          <w:tcPr>
            <w:tcW w:w="60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40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4"/>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133,214</w:t>
            </w:r>
          </w:p>
        </w:tc>
        <w:tc>
          <w:tcPr>
            <w:tcW w:w="1020" w:type="dxa"/>
            <w:vAlign w:val="bottom"/>
            <w:shd w:val="clear" w:color="auto" w:fill="CCEEFF"/>
          </w:tcPr>
          <w:p>
            <w:pPr>
              <w:jc w:val="right"/>
              <w:ind w:right="77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w w:val="99"/>
              </w:rPr>
              <w:t>144,209</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Retail - Company-owned stores</w:t>
            </w:r>
          </w:p>
        </w:tc>
        <w:tc>
          <w:tcPr>
            <w:tcW w:w="4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80" w:type="dxa"/>
            <w:vAlign w:val="bottom"/>
            <w:gridSpan w:val="4"/>
          </w:tcPr>
          <w:p>
            <w:pPr>
              <w:jc w:val="right"/>
              <w:ind w:right="120"/>
              <w:spacing w:after="0"/>
              <w:rPr>
                <w:sz w:val="20"/>
                <w:szCs w:val="20"/>
                <w:color w:val="auto"/>
              </w:rPr>
            </w:pPr>
            <w:r>
              <w:rPr>
                <w:rFonts w:ascii="Times New Roman" w:cs="Times New Roman" w:eastAsia="Times New Roman" w:hAnsi="Times New Roman"/>
                <w:sz w:val="18"/>
                <w:szCs w:val="18"/>
                <w:color w:val="auto"/>
              </w:rPr>
              <w:t>102,662</w:t>
            </w:r>
          </w:p>
        </w:tc>
        <w:tc>
          <w:tcPr>
            <w:tcW w:w="102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96,241</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Logistical services</w:t>
            </w:r>
          </w:p>
        </w:tc>
        <w:tc>
          <w:tcPr>
            <w:tcW w:w="400" w:type="dxa"/>
            <w:vAlign w:val="bottom"/>
            <w:tcBorders>
              <w:bottom w:val="single" w:sz="8" w:color="CCEEFF"/>
            </w:tcBorders>
            <w:shd w:val="clear" w:color="auto" w:fill="CCEEFF"/>
          </w:tcPr>
          <w:p>
            <w:pPr>
              <w:spacing w:after="0"/>
              <w:rPr>
                <w:sz w:val="18"/>
                <w:szCs w:val="18"/>
                <w:color w:val="auto"/>
              </w:rPr>
            </w:pPr>
          </w:p>
        </w:tc>
        <w:tc>
          <w:tcPr>
            <w:tcW w:w="13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w w:val="96"/>
              </w:rPr>
              <w:t>46,159</w:t>
            </w:r>
          </w:p>
        </w:tc>
        <w:tc>
          <w:tcPr>
            <w:tcW w:w="10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51,191</w:t>
            </w:r>
          </w:p>
        </w:tc>
        <w:tc>
          <w:tcPr>
            <w:tcW w:w="80" w:type="dxa"/>
            <w:vAlign w:val="bottom"/>
            <w:tcBorders>
              <w:bottom w:val="single" w:sz="8" w:color="CCEEFF"/>
            </w:tcBorders>
            <w:shd w:val="clear" w:color="auto" w:fill="CCEEFF"/>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400" w:type="dxa"/>
            <w:vAlign w:val="bottom"/>
          </w:tcPr>
          <w:p>
            <w:pPr>
              <w:spacing w:after="0"/>
              <w:rPr>
                <w:sz w:val="18"/>
                <w:szCs w:val="18"/>
                <w:color w:val="auto"/>
              </w:rPr>
            </w:pPr>
          </w:p>
        </w:tc>
        <w:tc>
          <w:tcPr>
            <w:tcW w:w="160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gridSpan w:val="4"/>
          </w:tcPr>
          <w:p>
            <w:pPr>
              <w:jc w:val="right"/>
              <w:ind w:right="120"/>
              <w:spacing w:after="0"/>
              <w:rPr>
                <w:sz w:val="20"/>
                <w:szCs w:val="20"/>
                <w:color w:val="auto"/>
              </w:rPr>
            </w:pPr>
            <w:r>
              <w:rPr>
                <w:rFonts w:ascii="Times New Roman" w:cs="Times New Roman" w:eastAsia="Times New Roman" w:hAnsi="Times New Roman"/>
                <w:sz w:val="18"/>
                <w:szCs w:val="18"/>
                <w:color w:val="auto"/>
              </w:rPr>
              <w:t>282,035</w:t>
            </w:r>
          </w:p>
        </w:tc>
        <w:tc>
          <w:tcPr>
            <w:tcW w:w="1020" w:type="dxa"/>
            <w:vAlign w:val="bottom"/>
          </w:tcPr>
          <w:p>
            <w:pPr>
              <w:jc w:val="right"/>
              <w:ind w:right="77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w w:val="99"/>
              </w:rPr>
              <w:t>291,641</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b w:val="1"/>
                <w:bCs w:val="1"/>
                <w:color w:val="auto"/>
              </w:rPr>
              <w:t>Wholesale shipments by type</w:t>
            </w:r>
          </w:p>
        </w:tc>
        <w:tc>
          <w:tcPr>
            <w:tcW w:w="4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4620" w:type="dxa"/>
            <w:vAlign w:val="bottom"/>
            <w:gridSpan w:val="2"/>
            <w:vMerge w:val="continue"/>
          </w:tcPr>
          <w:p>
            <w:pPr>
              <w:spacing w:after="0"/>
              <w:rPr>
                <w:sz w:val="24"/>
                <w:szCs w:val="24"/>
                <w:color w:val="auto"/>
              </w:rPr>
            </w:pPr>
          </w:p>
        </w:tc>
        <w:tc>
          <w:tcPr>
            <w:tcW w:w="4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380" w:type="dxa"/>
            <w:vAlign w:val="bottom"/>
            <w:gridSpan w:val="4"/>
            <w:vMerge w:val="restart"/>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10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gridSpan w:val="4"/>
            <w:vMerge w:val="continue"/>
          </w:tcPr>
          <w:p>
            <w:pPr>
              <w:spacing w:after="0"/>
              <w:rPr>
                <w:sz w:val="18"/>
                <w:szCs w:val="18"/>
                <w:color w:val="auto"/>
              </w:rPr>
            </w:pPr>
          </w:p>
        </w:tc>
        <w:tc>
          <w:tcPr>
            <w:tcW w:w="102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0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gridSpan w:val="2"/>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March 2, 2019</w:t>
            </w:r>
          </w:p>
        </w:tc>
        <w:tc>
          <w:tcPr>
            <w:tcW w:w="62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2100" w:type="dxa"/>
            <w:vAlign w:val="bottom"/>
            <w:tcBorders>
              <w:bottom w:val="single" w:sz="8" w:color="auto"/>
            </w:tcBorders>
            <w:gridSpan w:val="4"/>
          </w:tcPr>
          <w:p>
            <w:pPr>
              <w:ind w:left="100"/>
              <w:spacing w:after="0"/>
              <w:rPr>
                <w:sz w:val="20"/>
                <w:szCs w:val="20"/>
                <w:color w:val="auto"/>
              </w:rPr>
            </w:pPr>
            <w:r>
              <w:rPr>
                <w:rFonts w:ascii="Times New Roman" w:cs="Times New Roman" w:eastAsia="Times New Roman" w:hAnsi="Times New Roman"/>
                <w:sz w:val="18"/>
                <w:szCs w:val="18"/>
                <w:b w:val="1"/>
                <w:bCs w:val="1"/>
                <w:color w:val="auto"/>
              </w:rPr>
              <w:t>February 24, 2018</w:t>
            </w: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Upholstery</w:t>
            </w:r>
          </w:p>
        </w:tc>
        <w:tc>
          <w:tcPr>
            <w:tcW w:w="400" w:type="dxa"/>
            <w:vAlign w:val="bottom"/>
            <w:shd w:val="clear" w:color="auto" w:fill="CCEEFF"/>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shd w:val="clear" w:color="auto" w:fill="CCEEFF"/>
          </w:tcPr>
          <w:p>
            <w:pPr>
              <w:jc w:val="right"/>
              <w:ind w:right="410"/>
              <w:spacing w:after="0"/>
              <w:rPr>
                <w:sz w:val="20"/>
                <w:szCs w:val="20"/>
                <w:color w:val="auto"/>
              </w:rPr>
            </w:pPr>
            <w:r>
              <w:rPr>
                <w:rFonts w:ascii="Times New Roman" w:cs="Times New Roman" w:eastAsia="Times New Roman" w:hAnsi="Times New Roman"/>
                <w:sz w:val="18"/>
                <w:szCs w:val="18"/>
                <w:color w:val="auto"/>
              </w:rPr>
              <w:t>41,538</w:t>
            </w:r>
          </w:p>
        </w:tc>
        <w:tc>
          <w:tcPr>
            <w:tcW w:w="3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57.1%</w:t>
            </w:r>
          </w:p>
        </w:tc>
        <w:tc>
          <w:tcPr>
            <w:tcW w:w="620" w:type="dxa"/>
            <w:vAlign w:val="bottom"/>
            <w:gridSpan w:val="2"/>
            <w:shd w:val="clear" w:color="auto" w:fill="CCEEFF"/>
          </w:tcPr>
          <w:p>
            <w:pPr>
              <w:jc w:val="right"/>
              <w:ind w:right="42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rPr>
              <w:t>33,568</w:t>
            </w:r>
          </w:p>
        </w:tc>
        <w:tc>
          <w:tcPr>
            <w:tcW w:w="1260" w:type="dxa"/>
            <w:vAlign w:val="bottom"/>
            <w:gridSpan w:val="4"/>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53.2%</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Bassett Leather</w:t>
            </w:r>
          </w:p>
        </w:tc>
        <w:tc>
          <w:tcPr>
            <w:tcW w:w="400" w:type="dxa"/>
            <w:vAlign w:val="bottom"/>
          </w:tcPr>
          <w:p>
            <w:pPr>
              <w:spacing w:after="0"/>
              <w:rPr>
                <w:sz w:val="18"/>
                <w:szCs w:val="18"/>
                <w:color w:val="auto"/>
              </w:rPr>
            </w:pPr>
          </w:p>
        </w:tc>
        <w:tc>
          <w:tcPr>
            <w:tcW w:w="1300" w:type="dxa"/>
            <w:vAlign w:val="bottom"/>
          </w:tcPr>
          <w:p>
            <w:pPr>
              <w:jc w:val="right"/>
              <w:ind w:right="410"/>
              <w:spacing w:after="0"/>
              <w:rPr>
                <w:sz w:val="20"/>
                <w:szCs w:val="20"/>
                <w:color w:val="auto"/>
              </w:rPr>
            </w:pPr>
            <w:r>
              <w:rPr>
                <w:rFonts w:ascii="Times New Roman" w:cs="Times New Roman" w:eastAsia="Times New Roman" w:hAnsi="Times New Roman"/>
                <w:sz w:val="18"/>
                <w:szCs w:val="18"/>
                <w:color w:val="auto"/>
              </w:rPr>
              <w:t>5,771</w:t>
            </w:r>
          </w:p>
        </w:tc>
        <w:tc>
          <w:tcPr>
            <w:tcW w:w="3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7.9%</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rPr>
              <w:t>6,524</w:t>
            </w:r>
          </w:p>
        </w:tc>
        <w:tc>
          <w:tcPr>
            <w:tcW w:w="126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auto"/>
              </w:rPr>
              <w:t>10.3%</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Wood</w:t>
            </w:r>
          </w:p>
        </w:tc>
        <w:tc>
          <w:tcPr>
            <w:tcW w:w="40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410"/>
              <w:spacing w:after="0"/>
              <w:rPr>
                <w:sz w:val="20"/>
                <w:szCs w:val="20"/>
                <w:color w:val="auto"/>
              </w:rPr>
            </w:pPr>
            <w:r>
              <w:rPr>
                <w:rFonts w:ascii="Times New Roman" w:cs="Times New Roman" w:eastAsia="Times New Roman" w:hAnsi="Times New Roman"/>
                <w:sz w:val="18"/>
                <w:szCs w:val="18"/>
                <w:color w:val="auto"/>
              </w:rPr>
              <w:t>11,675</w:t>
            </w:r>
          </w:p>
        </w:tc>
        <w:tc>
          <w:tcPr>
            <w:tcW w:w="3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16.0%</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rPr>
              <w:t>10,987</w:t>
            </w:r>
          </w:p>
        </w:tc>
        <w:tc>
          <w:tcPr>
            <w:tcW w:w="1260" w:type="dxa"/>
            <w:vAlign w:val="bottom"/>
            <w:gridSpan w:val="4"/>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17.4%</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Bassett Casegoods</w:t>
            </w:r>
          </w:p>
        </w:tc>
        <w:tc>
          <w:tcPr>
            <w:tcW w:w="400" w:type="dxa"/>
            <w:vAlign w:val="bottom"/>
          </w:tcPr>
          <w:p>
            <w:pPr>
              <w:spacing w:after="0"/>
              <w:rPr>
                <w:sz w:val="18"/>
                <w:szCs w:val="18"/>
                <w:color w:val="auto"/>
              </w:rPr>
            </w:pPr>
          </w:p>
        </w:tc>
        <w:tc>
          <w:tcPr>
            <w:tcW w:w="1300" w:type="dxa"/>
            <w:vAlign w:val="bottom"/>
          </w:tcPr>
          <w:p>
            <w:pPr>
              <w:jc w:val="right"/>
              <w:ind w:right="410"/>
              <w:spacing w:after="0"/>
              <w:rPr>
                <w:sz w:val="20"/>
                <w:szCs w:val="20"/>
                <w:color w:val="auto"/>
              </w:rPr>
            </w:pPr>
            <w:r>
              <w:rPr>
                <w:rFonts w:ascii="Times New Roman" w:cs="Times New Roman" w:eastAsia="Times New Roman" w:hAnsi="Times New Roman"/>
                <w:sz w:val="18"/>
                <w:szCs w:val="18"/>
                <w:color w:val="auto"/>
              </w:rPr>
              <w:t>12,640</w:t>
            </w:r>
          </w:p>
        </w:tc>
        <w:tc>
          <w:tcPr>
            <w:tcW w:w="3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17.4%</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rPr>
              <w:t>10,797</w:t>
            </w:r>
          </w:p>
        </w:tc>
        <w:tc>
          <w:tcPr>
            <w:tcW w:w="126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auto"/>
              </w:rPr>
              <w:t>17.1%</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Accessories</w:t>
            </w:r>
          </w:p>
        </w:tc>
        <w:tc>
          <w:tcPr>
            <w:tcW w:w="40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410"/>
              <w:spacing w:after="0"/>
              <w:rPr>
                <w:sz w:val="20"/>
                <w:szCs w:val="20"/>
                <w:color w:val="auto"/>
              </w:rPr>
            </w:pPr>
            <w:r>
              <w:rPr>
                <w:rFonts w:ascii="Times New Roman" w:cs="Times New Roman" w:eastAsia="Times New Roman" w:hAnsi="Times New Roman"/>
                <w:sz w:val="18"/>
                <w:szCs w:val="18"/>
                <w:color w:val="auto"/>
              </w:rPr>
              <w:t>1,157</w:t>
            </w:r>
          </w:p>
        </w:tc>
        <w:tc>
          <w:tcPr>
            <w:tcW w:w="3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rPr>
              <w:t>1,224</w:t>
            </w:r>
          </w:p>
        </w:tc>
        <w:tc>
          <w:tcPr>
            <w:tcW w:w="1260" w:type="dxa"/>
            <w:vAlign w:val="bottom"/>
            <w:gridSpan w:val="4"/>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1.9%</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0" w:type="dxa"/>
            <w:vAlign w:val="bottom"/>
            <w:shd w:val="clear" w:color="auto" w:fill="CCEEFF"/>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w:t>
            </w:r>
          </w:p>
        </w:tc>
        <w:tc>
          <w:tcPr>
            <w:tcW w:w="400" w:type="dxa"/>
            <w:vAlign w:val="bottom"/>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tcPr>
          <w:p>
            <w:pPr>
              <w:jc w:val="right"/>
              <w:ind w:right="410"/>
              <w:spacing w:after="0"/>
              <w:rPr>
                <w:sz w:val="20"/>
                <w:szCs w:val="20"/>
                <w:color w:val="auto"/>
              </w:rPr>
            </w:pPr>
            <w:r>
              <w:rPr>
                <w:rFonts w:ascii="Times New Roman" w:cs="Times New Roman" w:eastAsia="Times New Roman" w:hAnsi="Times New Roman"/>
                <w:sz w:val="18"/>
                <w:szCs w:val="18"/>
                <w:color w:val="auto"/>
              </w:rPr>
              <w:t>72,781</w:t>
            </w:r>
          </w:p>
        </w:tc>
        <w:tc>
          <w:tcPr>
            <w:tcW w:w="3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62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rPr>
              <w:t>63,100</w:t>
            </w:r>
          </w:p>
        </w:tc>
        <w:tc>
          <w:tcPr>
            <w:tcW w:w="126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gridSpan w:val="2"/>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46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0" w:type="dxa"/>
            <w:vAlign w:val="bottom"/>
            <w:gridSpan w:val="2"/>
          </w:tcPr>
          <w:p>
            <w:pPr>
              <w:jc w:val="right"/>
              <w:ind w:right="510"/>
              <w:spacing w:after="0"/>
              <w:rPr>
                <w:sz w:val="20"/>
                <w:szCs w:val="20"/>
                <w:color w:val="auto"/>
              </w:rPr>
            </w:pPr>
            <w:r>
              <w:rPr>
                <w:rFonts w:ascii="Times New Roman" w:cs="Times New Roman" w:eastAsia="Times New Roman" w:hAnsi="Times New Roman"/>
                <w:sz w:val="18"/>
                <w:szCs w:val="18"/>
                <w:color w:val="auto"/>
              </w:rPr>
              <w:t>19 of 37</w:t>
            </w: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460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102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type w:val="continuous"/>
        </w:sectPr>
      </w:pPr>
    </w:p>
    <w:bookmarkStart w:id="19" w:name="page20"/>
    <w:bookmarkEnd w:id="19"/>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Revenue Recognition</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adopted ASU 2014-09, Revenue - Revenue from Contracts with Customers (ASC Topic 606 or "ASC 606") effective as of November 25, 2018, the beginning of our 2019 fiscal year. ASC 606 requires a company to recognize revenue when it transfers promised goods or services to customers in an amount that reflects the consideration the company expects to receive in exchange for those goods or services. For our wholesale and retail segments, revenue is recognized when the risks and rewards of ownership and title to the product have transferred to the buyer.</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At wholesale, transfer occurs and revenue is recognized upon the shipment of goods to independent dealers and licensee-owned BHF stores. We offer payment terms varying from 30 to 60 days for wholesale customers. Estimates for returns and allowances have been recorded as a reduction of revenue based on our historical return patterns. The contracts with our licensee store owners do not provide for any royalty or license fee to be paid to us.</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At retail, transfer occurs and revenue is recognized upon delivery of goods to the customer. We typically collect a significant portion of the purchase price as a customer deposit upon order, with the balance typically collected upon delivery. These deposits are carried on our balance sheet as a current liability until delivery is fulfilled and amounted to $24,416 and $27,157 as of March 2, 2019 and November 24, 2018, respectively. Substantially all of the customer deposits held at November 24, 2018 related to performance obligations satisfied during the current period and have therefore been recognized in revenue for the quarter ended March 2, 2019. Estimates for returns and allowances have been recorded as a reduction of revenue based on our historical return patterns. We also sell furniture protection plans to our retail customers on behalf of a third party which is responsible for the performance obligations under the plans. Revenue from the sale of these plans is recognized upon delivery of the goods net of amounts payable to the third party service provider.</w:t>
      </w:r>
    </w:p>
    <w:p>
      <w:pPr>
        <w:spacing w:after="0" w:line="18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For our logistical services segment, line-haul freight revenue is recognized as services are performed and are billed to the customer upon the completion of delivery to the destination. Because the customer receives the benefits of these services as the freight is in transit from point of origin to destination, we recognize revenue using a percentage of completion method based on our estimate the amount of time freight has been in transit as of the reporting date compared with our estimate total required time for the deliveries. We recognize an asset for the amount of line-haul revenue earned but not yet billed which is included in other current assets. The balance of this asset was $528 at March 2, 2019 and $512 at the beginning of the first quarter of fiscal 2019. Warehousing services revenue is based upon warehouse space occupied by a customer’s goods and inventory movements in and out of a warehouse and is recognized as such services are provided and billed to the customer concurrently in the same period. All invoices for logistical services are due 30 days from invoice date.</w:t>
      </w:r>
    </w:p>
    <w:p>
      <w:pPr>
        <w:spacing w:after="0" w:line="18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Sales commissions are expensed as part of selling, general and administrative expenses at the time revenue is recognized because the amortization period would have been one year or less. Sales commissions at wholesale are accrued upon the shipment of goods. Sales commissions at retail are accrued at the time a sale is written (e.i. – when the customer’s order is placed) and are carried as prepaid commissions in other current assets until the goods are delivered and revenue is recognized. At March 2, 2019 and November 24, 2018, our balance of prepaid commissions included in other current assets was $2,453 and $2,739, respectively. We do not incur sales commissions in our logistical services segment.</w:t>
      </w:r>
    </w:p>
    <w:p>
      <w:pPr>
        <w:spacing w:after="0" w:line="18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adopted ASC 606 using the modified retrospective method and applied the standard only to contracts that were not completed as of initial application. Results for reporting periods beginning after November 24, 2018 are presented under the new standard, while prior period amounts are not adjusted and continue to be reported in accordance with our historic accounting. Our adoption of ASC 606 did not have a material impact on our consolidated financial statements except for our enhanced presentation and disclosures. We also expect the impact of the adoption of ASC 606 to be immaterial to our net income and financial position on an ongoing basis.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Upon adoption of ASC 606, we have adopted the following policy elections and practical expedients:</w:t>
      </w:r>
    </w:p>
    <w:p>
      <w:pPr>
        <w:spacing w:after="0" w:line="225" w:lineRule="exact"/>
        <w:rPr>
          <w:sz w:val="20"/>
          <w:szCs w:val="20"/>
          <w:color w:val="auto"/>
        </w:rPr>
      </w:pPr>
    </w:p>
    <w:p>
      <w:pPr>
        <w:ind w:left="660" w:hanging="328"/>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exclude from revenue amounts collected from customers for sales tax, which is consistent with our policy prior to the adoption of ASC 606.</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do not adjust the promised amount of consideration for the effects of a significant financing component since the period of time between transfer of our goods or services and the collection of consideration from the customer is less than one year.</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do not disclose the value of unsatisfied performance obligations because the transfer or goods or services is made within one year of the placement of customer orders.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See Note 13, Segments, for disaggregated revenue information.</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0" w:name="page21"/>
    <w:bookmarkEnd w:id="20"/>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15. Changes to Stockholders’ Equity</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changes in our stockholders’ equity occurred during the three months ended March 2, 2019 and February 24, 2018:</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6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3040" w:type="dxa"/>
            <w:vAlign w:val="bottom"/>
            <w:tcBorders>
              <w:bottom w:val="single" w:sz="8" w:color="auto"/>
            </w:tcBorders>
            <w:gridSpan w:val="5"/>
          </w:tcPr>
          <w:p>
            <w:pPr>
              <w:jc w:val="right"/>
              <w:ind w:right="97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8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3"/>
        </w:trPr>
        <w:tc>
          <w:tcPr>
            <w:tcW w:w="20" w:type="dxa"/>
            <w:vAlign w:val="bottom"/>
          </w:tcPr>
          <w:p>
            <w:pPr>
              <w:spacing w:after="0"/>
              <w:rPr>
                <w:sz w:val="24"/>
                <w:szCs w:val="24"/>
                <w:color w:val="auto"/>
              </w:rPr>
            </w:pPr>
          </w:p>
        </w:tc>
        <w:tc>
          <w:tcPr>
            <w:tcW w:w="6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2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9"/>
              </w:rPr>
              <w:t>March 2,</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4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b w:val="1"/>
                <w:bCs w:val="1"/>
                <w:color w:val="auto"/>
              </w:rPr>
              <w:t>February 24,</w:t>
            </w: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6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2018</w:t>
            </w:r>
          </w:p>
        </w:tc>
        <w:tc>
          <w:tcPr>
            <w:tcW w:w="8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Common Stock:</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38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52,638</w:t>
            </w:r>
          </w:p>
        </w:tc>
        <w:tc>
          <w:tcPr>
            <w:tcW w:w="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53,690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Issuance of common stock</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217</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193</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(257)</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(107)</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8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2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3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52,598</w:t>
            </w:r>
          </w:p>
        </w:tc>
        <w:tc>
          <w:tcPr>
            <w:tcW w:w="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53,776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6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Common Shares Issued and Outstanding:</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80" w:type="dxa"/>
            <w:vAlign w:val="bottom"/>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10,527,636</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10,737,950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Issuance of common stock</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43,472</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38,641</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(51,468)</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(21,300)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6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4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10,519,640</w:t>
            </w:r>
          </w:p>
        </w:tc>
        <w:tc>
          <w:tcPr>
            <w:tcW w:w="8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10,755,291</w:t>
            </w:r>
          </w:p>
        </w:tc>
        <w:tc>
          <w:tcPr>
            <w:tcW w:w="17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6180" w:type="dxa"/>
            <w:vAlign w:val="bottom"/>
            <w:tcBorders>
              <w:top w:val="single" w:sz="8" w:color="CCEEFF"/>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360" w:type="dxa"/>
            <w:vAlign w:val="bottom"/>
            <w:tcBorders>
              <w:top w:val="single" w:sz="8" w:color="auto"/>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Additional Paid-in Capital:</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38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962</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Issuance of common stock</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(118)</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(109)</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(137)</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(659)</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Stock based compensation</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255</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305</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6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499</w:t>
            </w:r>
          </w:p>
        </w:tc>
        <w:tc>
          <w:tcPr>
            <w:tcW w:w="17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6180" w:type="dxa"/>
            <w:vAlign w:val="bottom"/>
            <w:tcBorders>
              <w:top w:val="single" w:sz="8" w:color="CCEEFF"/>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360" w:type="dxa"/>
            <w:vAlign w:val="bottom"/>
            <w:tcBorders>
              <w:top w:val="single" w:sz="8" w:color="auto"/>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Retained Earnings:</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38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140,009</w:t>
            </w:r>
          </w:p>
        </w:tc>
        <w:tc>
          <w:tcPr>
            <w:tcW w:w="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139,378</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Cumulative effect of a change in accounting principal</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(21)</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Reclassification of certain tax effects from accumulated other comprehensive loss</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545</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Net income (loss) for the period</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608</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(913)</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Purchase and retirement of common stock</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(618)</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Cash dividends</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(1,291)</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(1,183)</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6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138,687</w:t>
            </w:r>
          </w:p>
        </w:tc>
        <w:tc>
          <w:tcPr>
            <w:tcW w:w="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137,827</w:t>
            </w:r>
          </w:p>
        </w:tc>
        <w:tc>
          <w:tcPr>
            <w:tcW w:w="17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6180" w:type="dxa"/>
            <w:vAlign w:val="bottom"/>
            <w:tcBorders>
              <w:top w:val="single" w:sz="8" w:color="CCEEFF"/>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360" w:type="dxa"/>
            <w:vAlign w:val="bottom"/>
            <w:tcBorders>
              <w:top w:val="single" w:sz="8" w:color="auto"/>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7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Accumulated Other Comprehensive Loss:</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Beginning of period</w:t>
            </w:r>
          </w:p>
        </w:tc>
        <w:tc>
          <w:tcPr>
            <w:tcW w:w="38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(2,338)</w:t>
            </w:r>
          </w:p>
        </w:tc>
        <w:tc>
          <w:tcPr>
            <w:tcW w:w="2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(2,570)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Reclassification of certain tax effects from accumulated other comprehensive loss</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(545)</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Amortization of pension costs, net of tax</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58</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w:t>
            </w:r>
          </w:p>
        </w:tc>
        <w:tc>
          <w:tcPr>
            <w:tcW w:w="80" w:type="dxa"/>
            <w:vAlign w:val="bottom"/>
            <w:shd w:val="clear" w:color="auto" w:fill="CCEEFF"/>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8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2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End of period</w:t>
            </w:r>
          </w:p>
        </w:tc>
        <w:tc>
          <w:tcPr>
            <w:tcW w:w="3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(2,280)</w:t>
            </w:r>
          </w:p>
        </w:tc>
        <w:tc>
          <w:tcPr>
            <w:tcW w:w="2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(3,036)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80" w:type="dxa"/>
            <w:vAlign w:val="bottom"/>
            <w:vMerge w:val="restart"/>
          </w:tcPr>
          <w:p>
            <w:pPr>
              <w:ind w:left="5400"/>
              <w:spacing w:after="0"/>
              <w:rPr>
                <w:sz w:val="20"/>
                <w:szCs w:val="20"/>
                <w:color w:val="auto"/>
              </w:rPr>
            </w:pPr>
            <w:r>
              <w:rPr>
                <w:rFonts w:ascii="Times New Roman" w:cs="Times New Roman" w:eastAsia="Times New Roman" w:hAnsi="Times New Roman"/>
                <w:sz w:val="18"/>
                <w:szCs w:val="18"/>
                <w:color w:val="auto"/>
              </w:rPr>
              <w:t>21 of 37</w:t>
            </w: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618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10"/>
                <w:szCs w:val="10"/>
                <w:color w:val="auto"/>
              </w:rPr>
            </w:pPr>
          </w:p>
        </w:tc>
        <w:tc>
          <w:tcPr>
            <w:tcW w:w="61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3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7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21" w:name="page22"/>
    <w:bookmarkEnd w:id="21"/>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NOTES TO CONDENSED CONSOLIDATED FINANCIAL STATEMENTS-UNAUDITED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16. Recent Accounting Pronouncements</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In February 2016, the FASB issued Accounting Standards Update No. 2016-02, Leases (Topic 842). The guidance in ASU 2016-02 (as subsequently amended by ASU 2018-01, ASU 2018-10, ASU 2018-11, ASU 2018-20 and ASU 2019-01) requires that a lessee recognize in the statement of financial position a liability to make lease payments (the lease liability) and a right-of-use asset representing its right to use the underlying asset for the lease term. For leases with a term of 12 months or less, a lessee is permitted to make an accounting policy election by class of underlying asset not to recognize lease assets and lease liabilities. As with previous guidance, there continues to be a differentiation between finance leases and operating leases, however this distinction now primarily relates to differences in the manner of expense recognition over time and in the classification of lease payments in the statement of cash flows. Lease assets and liabilities arising from both finance and operating leases will be recognized in the statement of financial position. ASU 2016-02 leaves the accounting for leases by lessors largely unchanged from previous GAAP. The transitional guidance for adopting the requirements of ASU 2016-02 calls for a modified retrospective approach that includes a number of optional practical expedients that entities may elect to apply. In addition, ASU 2018-11 provides for an additional (and optional) transition method by which entities may elect to initially apply the transition requirements in Topic 842 at that Topic’s effective date with the effects of initially applying Topic 842 recognized as a cumulative effect adjustment to the opening balance of retained earnings in the period of adoption and without retrospective application to any comparative prior periods presented. Also, ASU 2018-20 provides certain narrow-scope improvements to Topic 842 as it relates to lessors. The guidance in ASU 2016-02 will become effective for us as of the beginning of our 2020 fiscal year. We are currently evaluating the impact that the adoption of ASU 2016-02 will have on our consolidated financial statements, which we expect will have a material effect on our statement of financial position (refer to Note 11 for information regarding our leases currently classified as operating leases under ASC Topic 840). We currently anticipate that we will adopt the guidance of ASU 2016-02 as of the beginning of our 2020 fiscal year using the optional transition method as provided by ASU 2018-11.</w:t>
      </w:r>
    </w:p>
    <w:p>
      <w:pPr>
        <w:spacing w:after="0" w:line="193"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 xml:space="preserve">In January 2017, the FASB issued Accounting Standards Update No. 2017-04, </w:t>
      </w:r>
      <w:r>
        <w:rPr>
          <w:rFonts w:ascii="Times New Roman" w:cs="Times New Roman" w:eastAsia="Times New Roman" w:hAnsi="Times New Roman"/>
          <w:sz w:val="18"/>
          <w:szCs w:val="18"/>
          <w:i w:val="1"/>
          <w:iCs w:val="1"/>
          <w:color w:val="auto"/>
        </w:rPr>
        <w:t>Intangibles – Goodwill and Other (Topic 350): Simplifying the Test for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Goodwill Impairment</w:t>
      </w:r>
      <w:r>
        <w:rPr>
          <w:rFonts w:ascii="Times New Roman" w:cs="Times New Roman" w:eastAsia="Times New Roman" w:hAnsi="Times New Roman"/>
          <w:sz w:val="18"/>
          <w:szCs w:val="18"/>
          <w:color w:val="auto"/>
        </w:rPr>
        <w:t>. ASU 2017-04 eliminates Step 2 from the goodwill impairment test. Under Step 2, an entity had to perform procedures to determine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fair value at the impairment testing date of its assets and liabilities (including unrecognized assets and liabilities) following the procedure that would be required in determining the fair value of assets acquired and liabilities assumed in a business combination. Instead, under the amendments in ASU 2017-04, an entity should perform its annual, or interim, goodwill impairment test by comparing the fair value of a reporting unit with its carrying amount. An entity should recognize an impairment charge for the amount by which the carrying amount exceeds the reporting unit’s fair value; however, the loss recognized should not exceed the total amount of goodwill allocated to that reporting unit. Additionally, an entity should consider income tax effects from any tax deductible goodwill on the carrying amount of the reporting unit when measuring the goodwill impairment loss, if applicable. An entity still has the option to perform the qualitative assessment for a reporting unit to determine if the quantitative impairment test is necessary. The amendments in ASU 2017-04 will become effective for us as of the beginning of our 2021 fiscal year. Early adoption is permitted for interim or annual goodwill impairment tests performed on testing dates after January 1, 2017. The adoption of this guidance is not expected to have a material impact upon our financial condition or results of operations.</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In August 2018, the FASB issued Accounting Standards Update No. 2018-15, </w:t>
      </w:r>
      <w:r>
        <w:rPr>
          <w:rFonts w:ascii="Times New Roman" w:cs="Times New Roman" w:eastAsia="Times New Roman" w:hAnsi="Times New Roman"/>
          <w:sz w:val="18"/>
          <w:szCs w:val="18"/>
          <w:i w:val="1"/>
          <w:iCs w:val="1"/>
          <w:color w:val="auto"/>
        </w:rPr>
        <w:t>Accounting Standards Update No. 2018-15 – Intangibles - Goodwill and Other</w:t>
      </w:r>
    </w:p>
    <w:p>
      <w:pPr>
        <w:spacing w:after="0" w:line="29" w:lineRule="exact"/>
        <w:rPr>
          <w:sz w:val="20"/>
          <w:szCs w:val="20"/>
          <w:color w:val="auto"/>
        </w:rPr>
      </w:pPr>
    </w:p>
    <w:p>
      <w:pPr>
        <w:jc w:val="both"/>
        <w:ind w:firstLine="8"/>
        <w:spacing w:after="0" w:line="252" w:lineRule="auto"/>
        <w:tabs>
          <w:tab w:leader="none" w:pos="105" w:val="left"/>
        </w:tabs>
        <w:numPr>
          <w:ilvl w:val="0"/>
          <w:numId w:val="6"/>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Internal-Use Software (Subtopic 350-40): Customer's Accounting for Implementation Costs Incurred in a Cloud Computing Arrangement That Is a Service Contract, </w:t>
      </w:r>
      <w:r>
        <w:rPr>
          <w:rFonts w:ascii="Times New Roman" w:cs="Times New Roman" w:eastAsia="Times New Roman" w:hAnsi="Times New Roman"/>
          <w:sz w:val="18"/>
          <w:szCs w:val="18"/>
          <w:color w:val="auto"/>
        </w:rPr>
        <w:t>to help entities evaluate the accounting for fees paid by a customer in a cloud computing arrangement (hosting arrangement) by providing guidance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for determining when the arrangement includes a software license. The amendments in ASU 2018-15 align the requirements for capitalizing implementation costs incurred in a hosting arrangement that is a service contract with the requirements for capitalizing implementation costs incurred to develop or obtain internal-use software (and hosting arrangements that include an internal use software license). The accounting for the service element of a hosting arrangement that is a service contract is not affected by the amendments in ASU 2018-15. The amendments in ASU 2018-15 will become effective for us as of the beginning of our 2021 fiscal year. Early adoption is permitted, including adoption in any interim period. We are currently evaluating the impact that this guidance will have upon our financial position and results of operations, if any.</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2" w:name="page23"/>
    <w:bookmarkEnd w:id="22"/>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w:t>
      </w:r>
    </w:p>
    <w:p>
      <w:pPr>
        <w:spacing w:after="0" w:line="227"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8"/>
          <w:szCs w:val="18"/>
          <w:i w:val="1"/>
          <w:iCs w:val="1"/>
          <w:color w:val="auto"/>
        </w:rPr>
        <w:t>Our fiscal year, which ends on the last Saturday of November, periodically results in a 53-week year instead of the normal 52 weeks. The current fiscal year ending November 30, 2019 is a 53-week year, with the additional week being included in our first fiscal quarter. Accordingly, the information presented below includes 14 weeks of operations for the quarter ended March 2, 2019 as compared to 13 weeks included in the quarter ended February 24, 2018.</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Bassett is a leading retailer, manufacturer and marketer of branded home furnishings. Our products are sold primarily through a network of Company-owned and licensee-owned branded stores under the Bassett Home Furnishings (“BHF”) name, with additional distribution through other wholesale channels including multi-line furniture stores, many of which feature Bassett galleries or design centers. We were founded in 1902 and incorporated under the laws of Virginia in 1930. Our rich 117-year history has instilled the principles of quality, value, and integrity in everything we do, while simultaneously providing us with the expertise to respond to ever-changing consumer tastes and meet the demands of a global economy.</w:t>
      </w:r>
    </w:p>
    <w:p>
      <w:pPr>
        <w:spacing w:after="0" w:line="1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With 102 BHF stores at March 2, 2019 we have leveraged our strong brand name in furniture into a network of Company-owned and licensed stores that focus on providing consumers with a friendly environment for buying furniture and accessories. Our store program is designed to provide a single source home furnishings retail store that provides a unique combination of stylish, quality furniture and accessories with a high level of customer service. In order to reach markets that cannot be effectively served by our retail store network, we also distribute our products through other wholesale channels including multi-line furniture stores, many of which feature Bassett galleries or design centers. We use a network of over 30 independent sales representatives who have stated geographical territories. These sales representatives are compensated based on a standard commission rate. We believe this blended strategy provides us the greatest ability to effectively distribute our products throughout the United States and ultimately gain market share.</w:t>
      </w:r>
    </w:p>
    <w:p>
      <w:pPr>
        <w:spacing w:after="0" w:line="18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BHF stores feature custom order furniture, free in-home design visits (“home makeovers”), and coordinated decorating accessories. Our philosophy is based on building strong long-term relationships with each customer. Sales people are referred to as “Design Consultants” and are trained to evaluate customer needs and provide comprehensive solutions for their home decor. Until a rigorous training and design certification program is completed, Design Consultants are not authorized to perform in-home design services for our customers.</w:t>
      </w:r>
    </w:p>
    <w:p>
      <w:pPr>
        <w:spacing w:after="0" w:line="18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have factories in Newton, North Carolina and Grand Prairie, Texas that manufacture custom upholstered furniture, a factory in Martinsville, Virginia that primarily assembles and finishes our custom casual dining offerings and a factory in Bassett, Virginia that assembles and finishes our “Bench Made” line of custom, solid hardwood furniture. Our manufacturing team takes great pride in the breadth of its options, the precision of its craftsmanship, and the speed of its process, with custom pieces often manufactured within two weeks of taking the order in our stores. Our logistics team then promptly ships the product to one of our home delivery hubs or to a location specified by our licensees. In addition to the furniture that we manufacture domestically, we source most of our formal bedroom and dining room furniture (casegoods) and certain leather upholstery offerings from several foreign plants, primarily in Vietnam and China. Over 70% of the products we currently sell are manufactured in the United States.</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also own Zenith Freight Lines, LLC (“Zenith”) which provides logistical services to Bassett along with other furniture manufacturers and retailers. Zenith delivers best-of-class shipping and logistical support services that are uniquely tailored to the needs of Bassett and the furniture industry. Over 60% of Zenith’s revenue is generated from services provided to non-Bassett customers.</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December 21, 2017, we purchased certain assets and assumed certain liabilities of Lane Venture from Heritage Home Group, LLC for $15,556 in cash. Lane Venture is a manufacturer and distributor of premium outdoor furniture, and is now being operated as a component of our wholesale segment. This acquisition marked our entry into the market for outdoor furniture and we believe that Lane Venture has provided a foundation for us to become a significant participant in this category. We plan to distribute this brand outside of our Bassett store network with plans to introduce a Bassett-branded line in the stores in the first quarter of fiscal 2020. See Note 3 to our consolidated financial statements for additional details regarding this acquisition.</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823" w:right="239" w:bottom="1440" w:gutter="0" w:footer="0" w:header="0"/>
        </w:sectPr>
      </w:pPr>
    </w:p>
    <w:bookmarkStart w:id="23" w:name="page24"/>
    <w:bookmarkEnd w:id="23"/>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At March 2, 2019, our BHF store network included 69 Company-owned stores and 33 licensee-owned stores. During the first quarter of fiscal 2019, we opened new stores in Coral Gables, Florida, Columbus, Ohio, Tucson, Arizona and Estero, Florida, and a new licensee store was opened in Boise, Idaho. We also completed the repositioning of our store in Friendswood, Texas to a new location in the Baybrook Mall area of Friendswood.</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continue to execute our strategy of growing the Company through opening new stores, repositioning stores to improved locations within a market and closing underperforming stores. The following table shows planned store openings where leases have been executed:</w:t>
      </w:r>
    </w:p>
    <w:p>
      <w:pPr>
        <w:spacing w:after="0" w:line="162"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330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1160" w:type="dxa"/>
            <w:vAlign w:val="bottom"/>
          </w:tcPr>
          <w:p>
            <w:pPr>
              <w:jc w:val="center"/>
              <w:ind w:left="510"/>
              <w:spacing w:after="0"/>
              <w:rPr>
                <w:sz w:val="20"/>
                <w:szCs w:val="20"/>
                <w:color w:val="auto"/>
              </w:rPr>
            </w:pPr>
            <w:r>
              <w:rPr>
                <w:rFonts w:ascii="Times New Roman" w:cs="Times New Roman" w:eastAsia="Times New Roman" w:hAnsi="Times New Roman"/>
                <w:sz w:val="18"/>
                <w:szCs w:val="18"/>
                <w:color w:val="auto"/>
              </w:rPr>
              <w:t>Size</w:t>
            </w:r>
          </w:p>
        </w:tc>
        <w:tc>
          <w:tcPr>
            <w:tcW w:w="1080" w:type="dxa"/>
            <w:vAlign w:val="bottom"/>
          </w:tcPr>
          <w:p>
            <w:pPr>
              <w:spacing w:after="0"/>
              <w:rPr>
                <w:sz w:val="18"/>
                <w:szCs w:val="18"/>
                <w:color w:val="auto"/>
              </w:rPr>
            </w:pPr>
          </w:p>
        </w:tc>
        <w:tc>
          <w:tcPr>
            <w:tcW w:w="2220" w:type="dxa"/>
            <w:vAlign w:val="bottom"/>
          </w:tcPr>
          <w:p>
            <w:pPr>
              <w:ind w:left="580"/>
              <w:spacing w:after="0"/>
              <w:rPr>
                <w:sz w:val="20"/>
                <w:szCs w:val="20"/>
                <w:color w:val="auto"/>
              </w:rPr>
            </w:pPr>
            <w:r>
              <w:rPr>
                <w:rFonts w:ascii="Times New Roman" w:cs="Times New Roman" w:eastAsia="Times New Roman" w:hAnsi="Times New Roman"/>
                <w:sz w:val="18"/>
                <w:szCs w:val="18"/>
                <w:color w:val="auto"/>
              </w:rPr>
              <w:t>Planned</w:t>
            </w:r>
          </w:p>
        </w:tc>
      </w:tr>
      <w:tr>
        <w:trPr>
          <w:trHeight w:val="234"/>
        </w:trPr>
        <w:tc>
          <w:tcPr>
            <w:tcW w:w="3300" w:type="dxa"/>
            <w:vAlign w:val="bottom"/>
            <w:tcBorders>
              <w:bottom w:val="single" w:sz="8" w:color="auto"/>
            </w:tcBorders>
          </w:tcPr>
          <w:p>
            <w:pPr>
              <w:ind w:left="1780"/>
              <w:spacing w:after="0"/>
              <w:rPr>
                <w:sz w:val="20"/>
                <w:szCs w:val="20"/>
                <w:color w:val="auto"/>
              </w:rPr>
            </w:pPr>
            <w:r>
              <w:rPr>
                <w:rFonts w:ascii="Times New Roman" w:cs="Times New Roman" w:eastAsia="Times New Roman" w:hAnsi="Times New Roman"/>
                <w:sz w:val="18"/>
                <w:szCs w:val="18"/>
                <w:color w:val="auto"/>
              </w:rPr>
              <w:t>Location</w:t>
            </w:r>
          </w:p>
        </w:tc>
        <w:tc>
          <w:tcPr>
            <w:tcW w:w="2500" w:type="dxa"/>
            <w:vAlign w:val="bottom"/>
            <w:tcBorders>
              <w:bottom w:val="single" w:sz="8" w:color="auto"/>
            </w:tcBorders>
          </w:tcPr>
          <w:p>
            <w:pPr>
              <w:ind w:left="1520"/>
              <w:spacing w:after="0"/>
              <w:rPr>
                <w:sz w:val="20"/>
                <w:szCs w:val="20"/>
                <w:color w:val="auto"/>
              </w:rPr>
            </w:pPr>
            <w:r>
              <w:rPr>
                <w:rFonts w:ascii="Times New Roman" w:cs="Times New Roman" w:eastAsia="Times New Roman" w:hAnsi="Times New Roman"/>
                <w:sz w:val="18"/>
                <w:szCs w:val="18"/>
                <w:color w:val="auto"/>
              </w:rPr>
              <w:t>Type</w:t>
            </w:r>
          </w:p>
        </w:tc>
        <w:tc>
          <w:tcPr>
            <w:tcW w:w="1160" w:type="dxa"/>
            <w:vAlign w:val="bottom"/>
            <w:tcBorders>
              <w:bottom w:val="single" w:sz="8" w:color="auto"/>
            </w:tcBorders>
          </w:tcPr>
          <w:p>
            <w:pPr>
              <w:jc w:val="center"/>
              <w:ind w:left="510"/>
              <w:spacing w:after="0"/>
              <w:rPr>
                <w:sz w:val="20"/>
                <w:szCs w:val="20"/>
                <w:color w:val="auto"/>
              </w:rPr>
            </w:pPr>
            <w:r>
              <w:rPr>
                <w:rFonts w:ascii="Times New Roman" w:cs="Times New Roman" w:eastAsia="Times New Roman" w:hAnsi="Times New Roman"/>
                <w:sz w:val="18"/>
                <w:szCs w:val="18"/>
                <w:color w:val="auto"/>
              </w:rPr>
              <w:t>Sq. Ft.</w:t>
            </w:r>
          </w:p>
        </w:tc>
        <w:tc>
          <w:tcPr>
            <w:tcW w:w="1080" w:type="dxa"/>
            <w:vAlign w:val="bottom"/>
            <w:tcBorders>
              <w:bottom w:val="single" w:sz="8" w:color="auto"/>
            </w:tcBorders>
          </w:tcPr>
          <w:p>
            <w:pPr>
              <w:spacing w:after="0"/>
              <w:rPr>
                <w:sz w:val="20"/>
                <w:szCs w:val="20"/>
                <w:color w:val="auto"/>
              </w:rPr>
            </w:pPr>
          </w:p>
        </w:tc>
        <w:tc>
          <w:tcPr>
            <w:tcW w:w="222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Opening</w:t>
            </w:r>
          </w:p>
        </w:tc>
      </w:tr>
      <w:tr>
        <w:trPr>
          <w:trHeight w:val="210"/>
        </w:trPr>
        <w:tc>
          <w:tcPr>
            <w:tcW w:w="33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i w:val="1"/>
                <w:iCs w:val="1"/>
                <w:color w:val="auto"/>
              </w:rPr>
              <w:t>New Stores:</w:t>
            </w:r>
          </w:p>
        </w:tc>
        <w:tc>
          <w:tcPr>
            <w:tcW w:w="25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220" w:type="dxa"/>
            <w:vAlign w:val="bottom"/>
            <w:shd w:val="clear" w:color="auto" w:fill="CCEEFF"/>
          </w:tcPr>
          <w:p>
            <w:pPr>
              <w:spacing w:after="0"/>
              <w:rPr>
                <w:sz w:val="18"/>
                <w:szCs w:val="18"/>
                <w:color w:val="auto"/>
              </w:rPr>
            </w:pPr>
          </w:p>
        </w:tc>
      </w:tr>
      <w:tr>
        <w:trPr>
          <w:trHeight w:val="216"/>
        </w:trPr>
        <w:tc>
          <w:tcPr>
            <w:tcW w:w="33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Sarasota, FL</w:t>
            </w:r>
          </w:p>
        </w:tc>
        <w:tc>
          <w:tcPr>
            <w:tcW w:w="2500" w:type="dxa"/>
            <w:vAlign w:val="bottom"/>
          </w:tcPr>
          <w:p>
            <w:pPr>
              <w:ind w:left="880"/>
              <w:spacing w:after="0"/>
              <w:rPr>
                <w:sz w:val="20"/>
                <w:szCs w:val="20"/>
                <w:color w:val="auto"/>
              </w:rPr>
            </w:pPr>
            <w:r>
              <w:rPr>
                <w:rFonts w:ascii="Times New Roman" w:cs="Times New Roman" w:eastAsia="Times New Roman" w:hAnsi="Times New Roman"/>
                <w:sz w:val="18"/>
                <w:szCs w:val="18"/>
                <w:color w:val="auto"/>
              </w:rPr>
              <w:t>Corporate</w:t>
            </w:r>
          </w:p>
        </w:tc>
        <w:tc>
          <w:tcPr>
            <w:tcW w:w="1160" w:type="dxa"/>
            <w:vAlign w:val="bottom"/>
          </w:tcPr>
          <w:p>
            <w:pPr>
              <w:spacing w:after="0"/>
              <w:rPr>
                <w:sz w:val="18"/>
                <w:szCs w:val="18"/>
                <w:color w:val="auto"/>
              </w:rPr>
            </w:pPr>
          </w:p>
        </w:tc>
        <w:tc>
          <w:tcPr>
            <w:tcW w:w="10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8,000</w:t>
            </w:r>
          </w:p>
        </w:tc>
        <w:tc>
          <w:tcPr>
            <w:tcW w:w="2220" w:type="dxa"/>
            <w:vAlign w:val="bottom"/>
          </w:tcPr>
          <w:p>
            <w:pPr>
              <w:ind w:left="560"/>
              <w:spacing w:after="0"/>
              <w:rPr>
                <w:sz w:val="20"/>
                <w:szCs w:val="20"/>
                <w:color w:val="auto"/>
              </w:rPr>
            </w:pPr>
            <w:r>
              <w:rPr>
                <w:rFonts w:ascii="Times New Roman" w:cs="Times New Roman" w:eastAsia="Times New Roman" w:hAnsi="Times New Roman"/>
                <w:sz w:val="18"/>
                <w:szCs w:val="18"/>
                <w:color w:val="auto"/>
              </w:rPr>
              <w:t>Q2 2019</w:t>
            </w:r>
          </w:p>
        </w:tc>
      </w:tr>
      <w:tr>
        <w:trPr>
          <w:trHeight w:val="216"/>
        </w:trPr>
        <w:tc>
          <w:tcPr>
            <w:tcW w:w="330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Princeton, NJ</w:t>
            </w:r>
          </w:p>
        </w:tc>
        <w:tc>
          <w:tcPr>
            <w:tcW w:w="2500" w:type="dxa"/>
            <w:vAlign w:val="bottom"/>
            <w:shd w:val="clear" w:color="auto" w:fill="CCEEFF"/>
          </w:tcPr>
          <w:p>
            <w:pPr>
              <w:ind w:left="880"/>
              <w:spacing w:after="0"/>
              <w:rPr>
                <w:sz w:val="20"/>
                <w:szCs w:val="20"/>
                <w:color w:val="auto"/>
              </w:rPr>
            </w:pPr>
            <w:r>
              <w:rPr>
                <w:rFonts w:ascii="Times New Roman" w:cs="Times New Roman" w:eastAsia="Times New Roman" w:hAnsi="Times New Roman"/>
                <w:sz w:val="18"/>
                <w:szCs w:val="18"/>
                <w:color w:val="auto"/>
              </w:rPr>
              <w:t>Corporate</w:t>
            </w:r>
          </w:p>
        </w:tc>
        <w:tc>
          <w:tcPr>
            <w:tcW w:w="116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470"/>
              <w:spacing w:after="0"/>
              <w:rPr>
                <w:sz w:val="20"/>
                <w:szCs w:val="20"/>
                <w:color w:val="auto"/>
              </w:rPr>
            </w:pPr>
            <w:r>
              <w:rPr>
                <w:rFonts w:ascii="Times New Roman" w:cs="Times New Roman" w:eastAsia="Times New Roman" w:hAnsi="Times New Roman"/>
                <w:sz w:val="18"/>
                <w:szCs w:val="18"/>
                <w:color w:val="auto"/>
              </w:rPr>
              <w:t>13,000</w:t>
            </w:r>
          </w:p>
        </w:tc>
        <w:tc>
          <w:tcPr>
            <w:tcW w:w="2220" w:type="dxa"/>
            <w:vAlign w:val="bottom"/>
            <w:shd w:val="clear" w:color="auto" w:fill="CCEEFF"/>
          </w:tcPr>
          <w:p>
            <w:pPr>
              <w:ind w:left="560"/>
              <w:spacing w:after="0"/>
              <w:rPr>
                <w:sz w:val="20"/>
                <w:szCs w:val="20"/>
                <w:color w:val="auto"/>
              </w:rPr>
            </w:pPr>
            <w:r>
              <w:rPr>
                <w:rFonts w:ascii="Times New Roman" w:cs="Times New Roman" w:eastAsia="Times New Roman" w:hAnsi="Times New Roman"/>
                <w:sz w:val="18"/>
                <w:szCs w:val="18"/>
                <w:color w:val="auto"/>
              </w:rPr>
              <w:t>Q4 2019</w:t>
            </w:r>
          </w:p>
        </w:tc>
      </w:tr>
      <w:tr>
        <w:trPr>
          <w:trHeight w:val="234"/>
        </w:trPr>
        <w:tc>
          <w:tcPr>
            <w:tcW w:w="33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Thornton, CO</w:t>
            </w:r>
          </w:p>
        </w:tc>
        <w:tc>
          <w:tcPr>
            <w:tcW w:w="2500" w:type="dxa"/>
            <w:vAlign w:val="bottom"/>
          </w:tcPr>
          <w:p>
            <w:pPr>
              <w:ind w:left="880"/>
              <w:spacing w:after="0"/>
              <w:rPr>
                <w:sz w:val="20"/>
                <w:szCs w:val="20"/>
                <w:color w:val="auto"/>
              </w:rPr>
            </w:pPr>
            <w:r>
              <w:rPr>
                <w:rFonts w:ascii="Times New Roman" w:cs="Times New Roman" w:eastAsia="Times New Roman" w:hAnsi="Times New Roman"/>
                <w:sz w:val="18"/>
                <w:szCs w:val="18"/>
                <w:color w:val="auto"/>
              </w:rPr>
              <w:t>Licensee</w:t>
            </w:r>
          </w:p>
        </w:tc>
        <w:tc>
          <w:tcPr>
            <w:tcW w:w="1160" w:type="dxa"/>
            <w:vAlign w:val="bottom"/>
          </w:tcPr>
          <w:p>
            <w:pPr>
              <w:spacing w:after="0"/>
              <w:rPr>
                <w:sz w:val="20"/>
                <w:szCs w:val="20"/>
                <w:color w:val="auto"/>
              </w:rPr>
            </w:pPr>
          </w:p>
        </w:tc>
        <w:tc>
          <w:tcPr>
            <w:tcW w:w="10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23,000</w:t>
            </w:r>
          </w:p>
        </w:tc>
        <w:tc>
          <w:tcPr>
            <w:tcW w:w="2220" w:type="dxa"/>
            <w:vAlign w:val="bottom"/>
          </w:tcPr>
          <w:p>
            <w:pPr>
              <w:ind w:left="560"/>
              <w:spacing w:after="0"/>
              <w:rPr>
                <w:sz w:val="20"/>
                <w:szCs w:val="20"/>
                <w:color w:val="auto"/>
              </w:rPr>
            </w:pPr>
            <w:r>
              <w:rPr>
                <w:rFonts w:ascii="Times New Roman" w:cs="Times New Roman" w:eastAsia="Times New Roman" w:hAnsi="Times New Roman"/>
                <w:sz w:val="18"/>
                <w:szCs w:val="18"/>
                <w:color w:val="auto"/>
              </w:rPr>
              <w:t>Q1 2020</w:t>
            </w:r>
          </w:p>
        </w:tc>
      </w:tr>
    </w:tbl>
    <w:p>
      <w:pPr>
        <w:spacing w:after="0" w:line="17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Following the planned openings shown above, we expect to significantly reduce the pace of the BHF network expansion and focus on maximizing profitable sales volume through our existing stores.</w:t>
      </w:r>
    </w:p>
    <w:p>
      <w:pPr>
        <w:spacing w:after="0" w:line="162"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As with any retail operation, prior to opening a new store we incur such expenses as rent, training costs and other payroll related costs. These costs generally range between $200 to $400 per store depending on the overall rent costs for the location and the period between the time when we take physical possession of the store space and the time of the store opening. Generally, rent payments during a buildout period between delivery of possession and opening of a new store are deferred and therefore straight line rent expense recognized during that time does not require cash. Inherent in our retail business model, we also incur losses in the two to three months of operation following a new store opening. Like other furniture retailers, we do not recognize a sale until the furniture is delivered to our customer. Because our retail business model generally does not involve maintaining a stock of retail inventory that would result in quick delivery and because of the custom nature of many of our furniture offerings, delivery to our customers usually occurs about 30 days after an order is placed. We generally require a deposit at the time of order and collect the remaining balance when the furniture is delivered, at which time the sale is recognized. Coupled with the previously discussed store pre-opening costs, total start-up losses can range from $400 to $600 per store. While our retail expansion is initially costly, we believe our site selection and new store presentation will generally result in locations that operate at or above a retail break-even level within a reasonable period of time following store opening. Factors affecting the length of time required to achieve this goal on a store-by-store basis may include the level of brand recognition, the degree of local competition and the depth of penetration in a particular market. Even as new stores ramp up to break-even, we do realize additional wholesale sales volume that leverages the fixed costs in our wholesale business.</w:t>
      </w:r>
    </w:p>
    <w:p>
      <w:pPr>
        <w:spacing w:after="0" w:line="18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continue to invest in our digital effort to improve our customers’ journey from the time they begin on our website to the final step of delivering the goods to their homes. Today’s customers expect their digital experiences and communications to be personalized, highly-relevant and catered to match their specific needs and preferences. We are in the process of establishing a centralized customer care center that will track each customer's path from initial engagement through point of sale and ultimately to their post-delivery experience with the furniture using customer relationship management (CRM) software. We believe that the data captured during the customer's journey will provide valuable insights and result in driving operational best practices in the months and years ahead.</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4" w:name="page25"/>
    <w:bookmarkEnd w:id="24"/>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 – Three months ended March 2, 2019 compared with the three months ended February 24, 2018:</w:t>
      </w:r>
    </w:p>
    <w:p>
      <w:pPr>
        <w:spacing w:after="0" w:line="229"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Net sales of furniture and accessories, logistics revenue, cost of furniture and accessories sold, selling, general and administrative (SG&amp;A) expense, other charges and income from operations were as follows for the three months ended March 2, 2019 and February 24, 2018:</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6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gridSpan w:val="3"/>
          </w:tcPr>
          <w:p>
            <w:pPr>
              <w:jc w:val="right"/>
              <w:ind w:right="15"/>
              <w:spacing w:after="0"/>
              <w:rPr>
                <w:sz w:val="20"/>
                <w:szCs w:val="20"/>
                <w:color w:val="auto"/>
              </w:rPr>
            </w:pPr>
            <w:r>
              <w:rPr>
                <w:rFonts w:ascii="Times New Roman" w:cs="Times New Roman" w:eastAsia="Times New Roman" w:hAnsi="Times New Roman"/>
                <w:sz w:val="18"/>
                <w:szCs w:val="18"/>
                <w:color w:val="auto"/>
              </w:rPr>
              <w:t>Quarter Ended*</w:t>
            </w:r>
          </w:p>
        </w:tc>
        <w:tc>
          <w:tcPr>
            <w:tcW w:w="1540" w:type="dxa"/>
            <w:vAlign w:val="bottom"/>
            <w:tcBorders>
              <w:bottom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Change</w:t>
            </w:r>
          </w:p>
        </w:tc>
        <w:tc>
          <w:tcPr>
            <w:tcW w:w="940" w:type="dxa"/>
            <w:vAlign w:val="bottom"/>
            <w:tcBorders>
              <w:bottom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March 2, 2019</w:t>
            </w:r>
          </w:p>
        </w:tc>
        <w:tc>
          <w:tcPr>
            <w:tcW w:w="6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February 24, 2018</w:t>
            </w:r>
          </w:p>
        </w:tc>
        <w:tc>
          <w:tcPr>
            <w:tcW w:w="54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color w:val="auto"/>
              </w:rPr>
              <w:t>Dollars</w:t>
            </w:r>
          </w:p>
        </w:tc>
        <w:tc>
          <w:tcPr>
            <w:tcW w:w="94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Percent</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7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36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720" w:type="dxa"/>
            <w:vAlign w:val="bottom"/>
          </w:tcPr>
          <w:p>
            <w:pPr>
              <w:ind w:left="160"/>
              <w:spacing w:after="0" w:line="198" w:lineRule="exact"/>
              <w:rPr>
                <w:sz w:val="20"/>
                <w:szCs w:val="20"/>
                <w:color w:val="auto"/>
              </w:rPr>
            </w:pPr>
            <w:r>
              <w:rPr>
                <w:rFonts w:ascii="Times New Roman" w:cs="Times New Roman" w:eastAsia="Times New Roman" w:hAnsi="Times New Roman"/>
                <w:sz w:val="18"/>
                <w:szCs w:val="18"/>
                <w:color w:val="auto"/>
              </w:rPr>
              <w:t>Furniture and</w:t>
            </w:r>
          </w:p>
        </w:tc>
        <w:tc>
          <w:tcPr>
            <w:tcW w:w="36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72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accessories</w:t>
            </w:r>
          </w:p>
        </w:tc>
        <w:tc>
          <w:tcPr>
            <w:tcW w:w="360" w:type="dxa"/>
            <w:vAlign w:val="bottom"/>
          </w:tcPr>
          <w:p>
            <w:pPr>
              <w:jc w:val="right"/>
              <w:ind w:right="195"/>
              <w:spacing w:after="0"/>
              <w:rPr>
                <w:sz w:val="20"/>
                <w:szCs w:val="20"/>
                <w:color w:val="auto"/>
              </w:rPr>
            </w:pPr>
            <w:r>
              <w:rPr>
                <w:rFonts w:ascii="Times New Roman" w:cs="Times New Roman" w:eastAsia="Times New Roman" w:hAnsi="Times New Roman"/>
                <w:sz w:val="17"/>
                <w:szCs w:val="17"/>
                <w:color w:val="auto"/>
                <w:w w:val="70"/>
              </w:rPr>
              <w:t>$</w:t>
            </w:r>
          </w:p>
        </w:tc>
        <w:tc>
          <w:tcPr>
            <w:tcW w:w="164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107,357</w:t>
            </w: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88.8%</w:t>
            </w:r>
          </w:p>
        </w:tc>
        <w:tc>
          <w:tcPr>
            <w:tcW w:w="540" w:type="dxa"/>
            <w:vAlign w:val="bottom"/>
          </w:tcPr>
          <w:p>
            <w:pPr>
              <w:jc w:val="right"/>
              <w:ind w:right="375"/>
              <w:spacing w:after="0"/>
              <w:rPr>
                <w:sz w:val="20"/>
                <w:szCs w:val="20"/>
                <w:color w:val="auto"/>
              </w:rPr>
            </w:pPr>
            <w:r>
              <w:rPr>
                <w:rFonts w:ascii="Times New Roman" w:cs="Times New Roman" w:eastAsia="Times New Roman" w:hAnsi="Times New Roman"/>
                <w:sz w:val="17"/>
                <w:szCs w:val="17"/>
                <w:color w:val="auto"/>
                <w:w w:val="70"/>
              </w:rPr>
              <w:t>$</w:t>
            </w:r>
          </w:p>
        </w:tc>
        <w:tc>
          <w:tcPr>
            <w:tcW w:w="1540" w:type="dxa"/>
            <w:vAlign w:val="bottom"/>
          </w:tcPr>
          <w:p>
            <w:pPr>
              <w:jc w:val="right"/>
              <w:ind w:right="790"/>
              <w:spacing w:after="0"/>
              <w:rPr>
                <w:sz w:val="20"/>
                <w:szCs w:val="20"/>
                <w:color w:val="auto"/>
              </w:rPr>
            </w:pPr>
            <w:r>
              <w:rPr>
                <w:rFonts w:ascii="Times New Roman" w:cs="Times New Roman" w:eastAsia="Times New Roman" w:hAnsi="Times New Roman"/>
                <w:sz w:val="18"/>
                <w:szCs w:val="18"/>
                <w:color w:val="auto"/>
              </w:rPr>
              <w:t>96,123</w:t>
            </w: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87.2%</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11,234</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Logistics revenue</w:t>
            </w:r>
          </w:p>
        </w:tc>
        <w:tc>
          <w:tcPr>
            <w:tcW w:w="360" w:type="dxa"/>
            <w:vAlign w:val="bottom"/>
            <w:shd w:val="clear" w:color="auto" w:fill="CCEEFF"/>
          </w:tcPr>
          <w:p>
            <w:pPr>
              <w:spacing w:after="0"/>
              <w:rPr>
                <w:sz w:val="18"/>
                <w:szCs w:val="18"/>
                <w:color w:val="auto"/>
              </w:rPr>
            </w:pPr>
          </w:p>
        </w:tc>
        <w:tc>
          <w:tcPr>
            <w:tcW w:w="164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13,484</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11.2%</w:t>
            </w:r>
          </w:p>
        </w:tc>
        <w:tc>
          <w:tcPr>
            <w:tcW w:w="54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14,149</w:t>
            </w: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12.8%</w:t>
            </w:r>
          </w:p>
        </w:tc>
        <w:tc>
          <w:tcPr>
            <w:tcW w:w="220" w:type="dxa"/>
            <w:vAlign w:val="bottom"/>
            <w:shd w:val="clear" w:color="auto" w:fill="CCEEFF"/>
          </w:tcPr>
          <w:p>
            <w:pPr>
              <w:spacing w:after="0"/>
              <w:rPr>
                <w:sz w:val="18"/>
                <w:szCs w:val="18"/>
                <w:color w:val="auto"/>
              </w:rPr>
            </w:pPr>
          </w:p>
        </w:tc>
        <w:tc>
          <w:tcPr>
            <w:tcW w:w="1460" w:type="dxa"/>
            <w:vAlign w:val="bottom"/>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(665)</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-4.7%</w:t>
            </w: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1720" w:type="dxa"/>
            <w:vAlign w:val="bottom"/>
            <w:tcBorders>
              <w:top w:val="single" w:sz="8" w:color="CCEEFF"/>
            </w:tcBorders>
          </w:tcPr>
          <w:p>
            <w:pPr>
              <w:ind w:left="320"/>
              <w:spacing w:after="0" w:line="191" w:lineRule="exact"/>
              <w:rPr>
                <w:sz w:val="20"/>
                <w:szCs w:val="20"/>
                <w:color w:val="auto"/>
              </w:rPr>
            </w:pPr>
            <w:r>
              <w:rPr>
                <w:rFonts w:ascii="Times New Roman" w:cs="Times New Roman" w:eastAsia="Times New Roman" w:hAnsi="Times New Roman"/>
                <w:sz w:val="18"/>
                <w:szCs w:val="18"/>
                <w:color w:val="auto"/>
              </w:rPr>
              <w:t>Total sales</w:t>
            </w:r>
          </w:p>
        </w:tc>
        <w:tc>
          <w:tcPr>
            <w:tcW w:w="360" w:type="dxa"/>
            <w:vAlign w:val="bottom"/>
            <w:tcBorders>
              <w:top w:val="single" w:sz="8" w:color="auto"/>
            </w:tcBorders>
          </w:tcPr>
          <w:p>
            <w:pPr>
              <w:spacing w:after="0"/>
              <w:rPr>
                <w:sz w:val="16"/>
                <w:szCs w:val="16"/>
                <w:color w:val="auto"/>
              </w:rPr>
            </w:pPr>
          </w:p>
        </w:tc>
        <w:tc>
          <w:tcPr>
            <w:tcW w:w="1640" w:type="dxa"/>
            <w:vAlign w:val="bottom"/>
            <w:tcBorders>
              <w:top w:val="single" w:sz="8" w:color="auto"/>
            </w:tcBorders>
          </w:tcPr>
          <w:p>
            <w:pPr>
              <w:spacing w:after="0"/>
              <w:rPr>
                <w:sz w:val="16"/>
                <w:szCs w:val="16"/>
                <w:color w:val="auto"/>
              </w:rPr>
            </w:pPr>
          </w:p>
        </w:tc>
        <w:tc>
          <w:tcPr>
            <w:tcW w:w="620" w:type="dxa"/>
            <w:vAlign w:val="bottom"/>
            <w:tcBorders>
              <w:top w:val="single" w:sz="8" w:color="auto"/>
            </w:tcBorders>
          </w:tcPr>
          <w:p>
            <w:pPr>
              <w:spacing w:after="0"/>
              <w:rPr>
                <w:sz w:val="16"/>
                <w:szCs w:val="16"/>
                <w:color w:val="auto"/>
              </w:rPr>
            </w:pPr>
          </w:p>
        </w:tc>
        <w:tc>
          <w:tcPr>
            <w:tcW w:w="260" w:type="dxa"/>
            <w:vAlign w:val="bottom"/>
            <w:tcBorders>
              <w:top w:val="single" w:sz="8" w:color="CCEEFF"/>
            </w:tcBorders>
          </w:tcPr>
          <w:p>
            <w:pPr>
              <w:spacing w:after="0"/>
              <w:rPr>
                <w:sz w:val="16"/>
                <w:szCs w:val="16"/>
                <w:color w:val="auto"/>
              </w:rPr>
            </w:pPr>
          </w:p>
        </w:tc>
        <w:tc>
          <w:tcPr>
            <w:tcW w:w="540" w:type="dxa"/>
            <w:vAlign w:val="bottom"/>
            <w:tcBorders>
              <w:top w:val="single" w:sz="8" w:color="auto"/>
            </w:tcBorders>
          </w:tcPr>
          <w:p>
            <w:pPr>
              <w:spacing w:after="0"/>
              <w:rPr>
                <w:sz w:val="16"/>
                <w:szCs w:val="16"/>
                <w:color w:val="auto"/>
              </w:rPr>
            </w:pPr>
          </w:p>
        </w:tc>
        <w:tc>
          <w:tcPr>
            <w:tcW w:w="1540" w:type="dxa"/>
            <w:vAlign w:val="bottom"/>
            <w:tcBorders>
              <w:top w:val="single" w:sz="8" w:color="auto"/>
            </w:tcBorders>
          </w:tcPr>
          <w:p>
            <w:pPr>
              <w:spacing w:after="0"/>
              <w:rPr>
                <w:sz w:val="16"/>
                <w:szCs w:val="16"/>
                <w:color w:val="auto"/>
              </w:rPr>
            </w:pPr>
          </w:p>
        </w:tc>
        <w:tc>
          <w:tcPr>
            <w:tcW w:w="540" w:type="dxa"/>
            <w:vAlign w:val="bottom"/>
            <w:tcBorders>
              <w:top w:val="single" w:sz="8" w:color="auto"/>
            </w:tcBorders>
          </w:tcPr>
          <w:p>
            <w:pPr>
              <w:spacing w:after="0"/>
              <w:rPr>
                <w:sz w:val="16"/>
                <w:szCs w:val="16"/>
                <w:color w:val="auto"/>
              </w:rPr>
            </w:pPr>
          </w:p>
        </w:tc>
        <w:tc>
          <w:tcPr>
            <w:tcW w:w="240" w:type="dxa"/>
            <w:vAlign w:val="bottom"/>
            <w:tcBorders>
              <w:top w:val="single" w:sz="8" w:color="CCEEFF"/>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46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spacing w:after="0"/>
              <w:rPr>
                <w:sz w:val="16"/>
                <w:szCs w:val="16"/>
                <w:color w:val="auto"/>
              </w:rPr>
            </w:pPr>
          </w:p>
        </w:tc>
        <w:tc>
          <w:tcPr>
            <w:tcW w:w="180" w:type="dxa"/>
            <w:vAlign w:val="bottom"/>
            <w:tcBorders>
              <w:top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72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revenue</w:t>
            </w:r>
          </w:p>
        </w:tc>
        <w:tc>
          <w:tcPr>
            <w:tcW w:w="360" w:type="dxa"/>
            <w:vAlign w:val="bottom"/>
          </w:tcPr>
          <w:p>
            <w:pPr>
              <w:spacing w:after="0"/>
              <w:rPr>
                <w:sz w:val="20"/>
                <w:szCs w:val="20"/>
                <w:color w:val="auto"/>
              </w:rPr>
            </w:pPr>
          </w:p>
        </w:tc>
        <w:tc>
          <w:tcPr>
            <w:tcW w:w="164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120,841</w:t>
            </w: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540" w:type="dxa"/>
            <w:vAlign w:val="bottom"/>
          </w:tcPr>
          <w:p>
            <w:pPr>
              <w:spacing w:after="0"/>
              <w:rPr>
                <w:sz w:val="20"/>
                <w:szCs w:val="20"/>
                <w:color w:val="auto"/>
              </w:rPr>
            </w:pPr>
          </w:p>
        </w:tc>
        <w:tc>
          <w:tcPr>
            <w:tcW w:w="1540" w:type="dxa"/>
            <w:vAlign w:val="bottom"/>
          </w:tcPr>
          <w:p>
            <w:pPr>
              <w:jc w:val="right"/>
              <w:ind w:right="790"/>
              <w:spacing w:after="0"/>
              <w:rPr>
                <w:sz w:val="20"/>
                <w:szCs w:val="20"/>
                <w:color w:val="auto"/>
              </w:rPr>
            </w:pPr>
            <w:r>
              <w:rPr>
                <w:rFonts w:ascii="Times New Roman" w:cs="Times New Roman" w:eastAsia="Times New Roman" w:hAnsi="Times New Roman"/>
                <w:sz w:val="18"/>
                <w:szCs w:val="18"/>
                <w:color w:val="auto"/>
              </w:rPr>
              <w:t>110,272</w:t>
            </w: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tcPr>
          <w:p>
            <w:pPr>
              <w:spacing w:after="0"/>
              <w:rPr>
                <w:sz w:val="20"/>
                <w:szCs w:val="20"/>
                <w:color w:val="auto"/>
              </w:rPr>
            </w:pPr>
          </w:p>
        </w:tc>
        <w:tc>
          <w:tcPr>
            <w:tcW w:w="146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10,569</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9.6%</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72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Cost of furniture and</w:t>
            </w:r>
          </w:p>
        </w:tc>
        <w:tc>
          <w:tcPr>
            <w:tcW w:w="360" w:type="dxa"/>
            <w:vAlign w:val="bottom"/>
            <w:shd w:val="clear" w:color="auto" w:fill="CCEEFF"/>
          </w:tcPr>
          <w:p>
            <w:pPr>
              <w:spacing w:after="0"/>
              <w:rPr>
                <w:sz w:val="17"/>
                <w:szCs w:val="17"/>
                <w:color w:val="auto"/>
              </w:rPr>
            </w:pPr>
          </w:p>
        </w:tc>
        <w:tc>
          <w:tcPr>
            <w:tcW w:w="16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7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accessories sold</w:t>
            </w:r>
          </w:p>
        </w:tc>
        <w:tc>
          <w:tcPr>
            <w:tcW w:w="360" w:type="dxa"/>
            <w:vAlign w:val="bottom"/>
            <w:shd w:val="clear" w:color="auto" w:fill="CCEEFF"/>
          </w:tcPr>
          <w:p>
            <w:pPr>
              <w:spacing w:after="0"/>
              <w:rPr>
                <w:sz w:val="20"/>
                <w:szCs w:val="20"/>
                <w:color w:val="auto"/>
              </w:rPr>
            </w:pPr>
          </w:p>
        </w:tc>
        <w:tc>
          <w:tcPr>
            <w:tcW w:w="164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49,177</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40.7%</w:t>
            </w:r>
          </w:p>
        </w:tc>
        <w:tc>
          <w:tcPr>
            <w:tcW w:w="540" w:type="dxa"/>
            <w:vAlign w:val="bottom"/>
            <w:shd w:val="clear" w:color="auto" w:fill="CCEEFF"/>
          </w:tcPr>
          <w:p>
            <w:pPr>
              <w:spacing w:after="0"/>
              <w:rPr>
                <w:sz w:val="20"/>
                <w:szCs w:val="20"/>
                <w:color w:val="auto"/>
              </w:rPr>
            </w:pPr>
          </w:p>
        </w:tc>
        <w:tc>
          <w:tcPr>
            <w:tcW w:w="154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43,269</w:t>
            </w: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39.2%</w:t>
            </w:r>
          </w:p>
        </w:tc>
        <w:tc>
          <w:tcPr>
            <w:tcW w:w="220" w:type="dxa"/>
            <w:vAlign w:val="bottom"/>
            <w:shd w:val="clear" w:color="auto" w:fill="CCEEFF"/>
          </w:tcPr>
          <w:p>
            <w:pPr>
              <w:spacing w:after="0"/>
              <w:rPr>
                <w:sz w:val="20"/>
                <w:szCs w:val="20"/>
                <w:color w:val="auto"/>
              </w:rPr>
            </w:pPr>
          </w:p>
        </w:tc>
        <w:tc>
          <w:tcPr>
            <w:tcW w:w="14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5,908</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2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360" w:type="dxa"/>
            <w:vAlign w:val="bottom"/>
          </w:tcPr>
          <w:p>
            <w:pPr>
              <w:spacing w:after="0"/>
              <w:rPr>
                <w:sz w:val="18"/>
                <w:szCs w:val="18"/>
                <w:color w:val="auto"/>
              </w:rPr>
            </w:pPr>
          </w:p>
        </w:tc>
        <w:tc>
          <w:tcPr>
            <w:tcW w:w="164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69,386</w:t>
            </w: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57.4%</w:t>
            </w:r>
          </w:p>
        </w:tc>
        <w:tc>
          <w:tcPr>
            <w:tcW w:w="540" w:type="dxa"/>
            <w:vAlign w:val="bottom"/>
          </w:tcPr>
          <w:p>
            <w:pPr>
              <w:spacing w:after="0"/>
              <w:rPr>
                <w:sz w:val="18"/>
                <w:szCs w:val="18"/>
                <w:color w:val="auto"/>
              </w:rPr>
            </w:pPr>
          </w:p>
        </w:tc>
        <w:tc>
          <w:tcPr>
            <w:tcW w:w="1540" w:type="dxa"/>
            <w:vAlign w:val="bottom"/>
          </w:tcPr>
          <w:p>
            <w:pPr>
              <w:jc w:val="right"/>
              <w:ind w:right="790"/>
              <w:spacing w:after="0"/>
              <w:rPr>
                <w:sz w:val="20"/>
                <w:szCs w:val="20"/>
                <w:color w:val="auto"/>
              </w:rPr>
            </w:pPr>
            <w:r>
              <w:rPr>
                <w:rFonts w:ascii="Times New Roman" w:cs="Times New Roman" w:eastAsia="Times New Roman" w:hAnsi="Times New Roman"/>
                <w:sz w:val="18"/>
                <w:szCs w:val="18"/>
                <w:color w:val="auto"/>
              </w:rPr>
              <w:t>64,251</w:t>
            </w: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58.3%</w:t>
            </w:r>
          </w:p>
        </w:tc>
        <w:tc>
          <w:tcPr>
            <w:tcW w:w="220" w:type="dxa"/>
            <w:vAlign w:val="bottom"/>
          </w:tcPr>
          <w:p>
            <w:pPr>
              <w:spacing w:after="0"/>
              <w:rPr>
                <w:sz w:val="18"/>
                <w:szCs w:val="18"/>
                <w:color w:val="auto"/>
              </w:rPr>
            </w:pPr>
          </w:p>
        </w:tc>
        <w:tc>
          <w:tcPr>
            <w:tcW w:w="146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5,135</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8.0%</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72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New store pre-</w:t>
            </w:r>
          </w:p>
        </w:tc>
        <w:tc>
          <w:tcPr>
            <w:tcW w:w="360" w:type="dxa"/>
            <w:vAlign w:val="bottom"/>
            <w:shd w:val="clear" w:color="auto" w:fill="CCEEFF"/>
          </w:tcPr>
          <w:p>
            <w:pPr>
              <w:spacing w:after="0"/>
              <w:rPr>
                <w:sz w:val="17"/>
                <w:szCs w:val="17"/>
                <w:color w:val="auto"/>
              </w:rPr>
            </w:pPr>
          </w:p>
        </w:tc>
        <w:tc>
          <w:tcPr>
            <w:tcW w:w="16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7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opening costs</w:t>
            </w:r>
          </w:p>
        </w:tc>
        <w:tc>
          <w:tcPr>
            <w:tcW w:w="360" w:type="dxa"/>
            <w:vAlign w:val="bottom"/>
            <w:shd w:val="clear" w:color="auto" w:fill="CCEEFF"/>
          </w:tcPr>
          <w:p>
            <w:pPr>
              <w:spacing w:after="0"/>
              <w:rPr>
                <w:sz w:val="20"/>
                <w:szCs w:val="20"/>
                <w:color w:val="auto"/>
              </w:rPr>
            </w:pPr>
          </w:p>
        </w:tc>
        <w:tc>
          <w:tcPr>
            <w:tcW w:w="164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494</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0.4%</w:t>
            </w:r>
          </w:p>
        </w:tc>
        <w:tc>
          <w:tcPr>
            <w:tcW w:w="540" w:type="dxa"/>
            <w:vAlign w:val="bottom"/>
            <w:shd w:val="clear" w:color="auto" w:fill="CCEEFF"/>
          </w:tcPr>
          <w:p>
            <w:pPr>
              <w:spacing w:after="0"/>
              <w:rPr>
                <w:sz w:val="20"/>
                <w:szCs w:val="20"/>
                <w:color w:val="auto"/>
              </w:rPr>
            </w:pPr>
          </w:p>
        </w:tc>
        <w:tc>
          <w:tcPr>
            <w:tcW w:w="154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702</w:t>
            </w: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0.6%</w:t>
            </w:r>
          </w:p>
        </w:tc>
        <w:tc>
          <w:tcPr>
            <w:tcW w:w="220" w:type="dxa"/>
            <w:vAlign w:val="bottom"/>
            <w:shd w:val="clear" w:color="auto" w:fill="CCEEFF"/>
          </w:tcPr>
          <w:p>
            <w:pPr>
              <w:spacing w:after="0"/>
              <w:rPr>
                <w:sz w:val="20"/>
                <w:szCs w:val="20"/>
                <w:color w:val="auto"/>
              </w:rPr>
            </w:pPr>
          </w:p>
        </w:tc>
        <w:tc>
          <w:tcPr>
            <w:tcW w:w="1460" w:type="dxa"/>
            <w:vAlign w:val="bottom"/>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(208)</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20" w:type="dxa"/>
            <w:vAlign w:val="bottom"/>
          </w:tcPr>
          <w:p>
            <w:pPr>
              <w:spacing w:after="0"/>
              <w:rPr>
                <w:sz w:val="20"/>
                <w:szCs w:val="20"/>
                <w:color w:val="auto"/>
              </w:rPr>
            </w:pPr>
            <w:r>
              <w:rPr>
                <w:rFonts w:ascii="Times New Roman" w:cs="Times New Roman" w:eastAsia="Times New Roman" w:hAnsi="Times New Roman"/>
                <w:sz w:val="18"/>
                <w:szCs w:val="18"/>
                <w:color w:val="auto"/>
              </w:rPr>
              <w:t>Other charges</w:t>
            </w:r>
          </w:p>
        </w:tc>
        <w:tc>
          <w:tcPr>
            <w:tcW w:w="360" w:type="dxa"/>
            <w:vAlign w:val="bottom"/>
          </w:tcPr>
          <w:p>
            <w:pPr>
              <w:spacing w:after="0"/>
              <w:rPr>
                <w:sz w:val="18"/>
                <w:szCs w:val="18"/>
                <w:color w:val="auto"/>
              </w:rPr>
            </w:pPr>
          </w:p>
        </w:tc>
        <w:tc>
          <w:tcPr>
            <w:tcW w:w="164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835</w:t>
            </w: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0.7%</w:t>
            </w:r>
          </w:p>
        </w:tc>
        <w:tc>
          <w:tcPr>
            <w:tcW w:w="540" w:type="dxa"/>
            <w:vAlign w:val="bottom"/>
          </w:tcPr>
          <w:p>
            <w:pPr>
              <w:spacing w:after="0"/>
              <w:rPr>
                <w:sz w:val="18"/>
                <w:szCs w:val="18"/>
                <w:color w:val="auto"/>
              </w:rPr>
            </w:pPr>
          </w:p>
        </w:tc>
        <w:tc>
          <w:tcPr>
            <w:tcW w:w="1540" w:type="dxa"/>
            <w:vAlign w:val="bottom"/>
          </w:tcPr>
          <w:p>
            <w:pPr>
              <w:jc w:val="right"/>
              <w:ind w:right="79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0.0%</w:t>
            </w:r>
          </w:p>
        </w:tc>
        <w:tc>
          <w:tcPr>
            <w:tcW w:w="220" w:type="dxa"/>
            <w:vAlign w:val="bottom"/>
          </w:tcPr>
          <w:p>
            <w:pPr>
              <w:spacing w:after="0"/>
              <w:rPr>
                <w:sz w:val="18"/>
                <w:szCs w:val="18"/>
                <w:color w:val="auto"/>
              </w:rPr>
            </w:pPr>
          </w:p>
        </w:tc>
        <w:tc>
          <w:tcPr>
            <w:tcW w:w="146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835</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164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154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172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Income from</w:t>
            </w:r>
          </w:p>
        </w:tc>
        <w:tc>
          <w:tcPr>
            <w:tcW w:w="360" w:type="dxa"/>
            <w:vAlign w:val="bottom"/>
            <w:vMerge w:val="restart"/>
          </w:tcPr>
          <w:p>
            <w:pPr>
              <w:jc w:val="right"/>
              <w:ind w:right="195"/>
              <w:spacing w:after="0"/>
              <w:rPr>
                <w:sz w:val="20"/>
                <w:szCs w:val="20"/>
                <w:color w:val="auto"/>
              </w:rPr>
            </w:pPr>
            <w:r>
              <w:rPr>
                <w:rFonts w:ascii="Times New Roman" w:cs="Times New Roman" w:eastAsia="Times New Roman" w:hAnsi="Times New Roman"/>
                <w:sz w:val="17"/>
                <w:szCs w:val="17"/>
                <w:color w:val="auto"/>
                <w:w w:val="70"/>
              </w:rPr>
              <w:t>$</w:t>
            </w:r>
          </w:p>
        </w:tc>
        <w:tc>
          <w:tcPr>
            <w:tcW w:w="1640" w:type="dxa"/>
            <w:vAlign w:val="bottom"/>
            <w:vMerge w:val="restart"/>
          </w:tcPr>
          <w:p>
            <w:pPr>
              <w:jc w:val="right"/>
              <w:ind w:right="690"/>
              <w:spacing w:after="0"/>
              <w:rPr>
                <w:sz w:val="20"/>
                <w:szCs w:val="20"/>
                <w:color w:val="auto"/>
              </w:rPr>
            </w:pPr>
            <w:r>
              <w:rPr>
                <w:rFonts w:ascii="Times New Roman" w:cs="Times New Roman" w:eastAsia="Times New Roman" w:hAnsi="Times New Roman"/>
                <w:sz w:val="18"/>
                <w:szCs w:val="18"/>
                <w:color w:val="auto"/>
              </w:rPr>
              <w:t>949</w:t>
            </w:r>
          </w:p>
        </w:tc>
        <w:tc>
          <w:tcPr>
            <w:tcW w:w="8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0.8%</w:t>
            </w:r>
          </w:p>
        </w:tc>
        <w:tc>
          <w:tcPr>
            <w:tcW w:w="540" w:type="dxa"/>
            <w:vAlign w:val="bottom"/>
            <w:vMerge w:val="restart"/>
          </w:tcPr>
          <w:p>
            <w:pPr>
              <w:jc w:val="right"/>
              <w:ind w:right="375"/>
              <w:spacing w:after="0"/>
              <w:rPr>
                <w:sz w:val="20"/>
                <w:szCs w:val="20"/>
                <w:color w:val="auto"/>
              </w:rPr>
            </w:pPr>
            <w:r>
              <w:rPr>
                <w:rFonts w:ascii="Times New Roman" w:cs="Times New Roman" w:eastAsia="Times New Roman" w:hAnsi="Times New Roman"/>
                <w:sz w:val="17"/>
                <w:szCs w:val="17"/>
                <w:color w:val="auto"/>
                <w:w w:val="70"/>
              </w:rPr>
              <w:t>$</w:t>
            </w:r>
          </w:p>
        </w:tc>
        <w:tc>
          <w:tcPr>
            <w:tcW w:w="1540" w:type="dxa"/>
            <w:vAlign w:val="bottom"/>
            <w:vMerge w:val="restart"/>
          </w:tcPr>
          <w:p>
            <w:pPr>
              <w:jc w:val="right"/>
              <w:ind w:right="790"/>
              <w:spacing w:after="0"/>
              <w:rPr>
                <w:sz w:val="20"/>
                <w:szCs w:val="20"/>
                <w:color w:val="auto"/>
              </w:rPr>
            </w:pPr>
            <w:r>
              <w:rPr>
                <w:rFonts w:ascii="Times New Roman" w:cs="Times New Roman" w:eastAsia="Times New Roman" w:hAnsi="Times New Roman"/>
                <w:sz w:val="18"/>
                <w:szCs w:val="18"/>
                <w:color w:val="auto"/>
              </w:rPr>
              <w:t>2,050</w:t>
            </w:r>
          </w:p>
        </w:tc>
        <w:tc>
          <w:tcPr>
            <w:tcW w:w="7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color w:val="auto"/>
              </w:rPr>
              <w:t>1.9%</w:t>
            </w:r>
          </w:p>
        </w:tc>
        <w:tc>
          <w:tcPr>
            <w:tcW w:w="220" w:type="dxa"/>
            <w:vAlign w:val="bottom"/>
            <w:vMerge w:val="restart"/>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vMerge w:val="restart"/>
          </w:tcPr>
          <w:p>
            <w:pPr>
              <w:jc w:val="right"/>
              <w:ind w:right="310"/>
              <w:spacing w:after="0"/>
              <w:rPr>
                <w:sz w:val="20"/>
                <w:szCs w:val="20"/>
                <w:color w:val="auto"/>
              </w:rPr>
            </w:pPr>
            <w:r>
              <w:rPr>
                <w:rFonts w:ascii="Times New Roman" w:cs="Times New Roman" w:eastAsia="Times New Roman" w:hAnsi="Times New Roman"/>
                <w:sz w:val="18"/>
                <w:szCs w:val="18"/>
                <w:color w:val="auto"/>
              </w:rPr>
              <w:t>(1,101)</w:t>
            </w:r>
          </w:p>
        </w:tc>
        <w:tc>
          <w:tcPr>
            <w:tcW w:w="11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color w:val="auto"/>
              </w:rPr>
              <w:t>-53.7%</w:t>
            </w:r>
          </w:p>
        </w:tc>
        <w:tc>
          <w:tcPr>
            <w:tcW w:w="0" w:type="dxa"/>
            <w:vAlign w:val="bottom"/>
          </w:tcPr>
          <w:p>
            <w:pPr>
              <w:spacing w:after="0"/>
              <w:rPr>
                <w:sz w:val="1"/>
                <w:szCs w:val="1"/>
                <w:color w:val="auto"/>
              </w:rPr>
            </w:pPr>
          </w:p>
        </w:tc>
      </w:tr>
      <w:tr>
        <w:trPr>
          <w:trHeight w:val="194"/>
        </w:trPr>
        <w:tc>
          <w:tcPr>
            <w:tcW w:w="1740" w:type="dxa"/>
            <w:vAlign w:val="bottom"/>
            <w:gridSpan w:val="2"/>
          </w:tcPr>
          <w:p>
            <w:pPr>
              <w:spacing w:after="0" w:line="194" w:lineRule="exact"/>
              <w:rPr>
                <w:sz w:val="20"/>
                <w:szCs w:val="20"/>
                <w:color w:val="auto"/>
              </w:rPr>
            </w:pPr>
            <w:r>
              <w:rPr>
                <w:rFonts w:ascii="Times New Roman" w:cs="Times New Roman" w:eastAsia="Times New Roman" w:hAnsi="Times New Roman"/>
                <w:sz w:val="18"/>
                <w:szCs w:val="18"/>
                <w:color w:val="auto"/>
              </w:rPr>
              <w:t>operations</w:t>
            </w:r>
          </w:p>
        </w:tc>
        <w:tc>
          <w:tcPr>
            <w:tcW w:w="360" w:type="dxa"/>
            <w:vAlign w:val="bottom"/>
            <w:vMerge w:val="continue"/>
          </w:tcPr>
          <w:p>
            <w:pPr>
              <w:spacing w:after="0"/>
              <w:rPr>
                <w:sz w:val="16"/>
                <w:szCs w:val="16"/>
                <w:color w:val="auto"/>
              </w:rPr>
            </w:pPr>
          </w:p>
        </w:tc>
        <w:tc>
          <w:tcPr>
            <w:tcW w:w="1640" w:type="dxa"/>
            <w:vAlign w:val="bottom"/>
            <w:vMerge w:val="continue"/>
          </w:tcPr>
          <w:p>
            <w:pPr>
              <w:spacing w:after="0"/>
              <w:rPr>
                <w:sz w:val="16"/>
                <w:szCs w:val="16"/>
                <w:color w:val="auto"/>
              </w:rPr>
            </w:pPr>
          </w:p>
        </w:tc>
        <w:tc>
          <w:tcPr>
            <w:tcW w:w="880" w:type="dxa"/>
            <w:vAlign w:val="bottom"/>
            <w:gridSpan w:val="2"/>
            <w:vMerge w:val="continue"/>
          </w:tcPr>
          <w:p>
            <w:pPr>
              <w:spacing w:after="0"/>
              <w:rPr>
                <w:sz w:val="16"/>
                <w:szCs w:val="16"/>
                <w:color w:val="auto"/>
              </w:rPr>
            </w:pPr>
          </w:p>
        </w:tc>
        <w:tc>
          <w:tcPr>
            <w:tcW w:w="540" w:type="dxa"/>
            <w:vAlign w:val="bottom"/>
            <w:vMerge w:val="continue"/>
          </w:tcPr>
          <w:p>
            <w:pPr>
              <w:spacing w:after="0"/>
              <w:rPr>
                <w:sz w:val="16"/>
                <w:szCs w:val="16"/>
                <w:color w:val="auto"/>
              </w:rPr>
            </w:pPr>
          </w:p>
        </w:tc>
        <w:tc>
          <w:tcPr>
            <w:tcW w:w="1540" w:type="dxa"/>
            <w:vAlign w:val="bottom"/>
            <w:vMerge w:val="continue"/>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220" w:type="dxa"/>
            <w:vAlign w:val="bottom"/>
            <w:vMerge w:val="continue"/>
          </w:tcPr>
          <w:p>
            <w:pPr>
              <w:spacing w:after="0"/>
              <w:rPr>
                <w:sz w:val="16"/>
                <w:szCs w:val="16"/>
                <w:color w:val="auto"/>
              </w:rPr>
            </w:pPr>
          </w:p>
        </w:tc>
        <w:tc>
          <w:tcPr>
            <w:tcW w:w="1460" w:type="dxa"/>
            <w:vAlign w:val="bottom"/>
            <w:vMerge w:val="continue"/>
          </w:tcPr>
          <w:p>
            <w:pPr>
              <w:spacing w:after="0"/>
              <w:rPr>
                <w:sz w:val="16"/>
                <w:szCs w:val="16"/>
                <w:color w:val="auto"/>
              </w:rPr>
            </w:pPr>
          </w:p>
        </w:tc>
        <w:tc>
          <w:tcPr>
            <w:tcW w:w="112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*14 weeks for fiscal 2019 as compared with 13 weeks for fiscal 2018.</w:t>
      </w:r>
    </w:p>
    <w:p>
      <w:pPr>
        <w:spacing w:after="0" w:line="200" w:lineRule="exact"/>
        <w:rPr>
          <w:sz w:val="20"/>
          <w:szCs w:val="20"/>
          <w:color w:val="auto"/>
        </w:rPr>
      </w:pPr>
    </w:p>
    <w:p>
      <w:pPr>
        <w:spacing w:after="0" w:line="241"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Refer to the segment information which follows for a discussion of the significant factors and trends affecting our results of operations for the three months ended March 2, 2019 as compared with the prior year period.</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25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5" w:name="page26"/>
    <w:bookmarkEnd w:id="25"/>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Segment Information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strategically aligned our business into three reportable segments as described below:</w:t>
      </w:r>
    </w:p>
    <w:p>
      <w:pPr>
        <w:spacing w:after="0" w:line="221" w:lineRule="exact"/>
        <w:rPr>
          <w:sz w:val="20"/>
          <w:szCs w:val="20"/>
          <w:color w:val="auto"/>
        </w:rPr>
      </w:pPr>
    </w:p>
    <w:p>
      <w:pPr>
        <w:jc w:val="both"/>
        <w:ind w:left="66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Wholesale. </w:t>
      </w:r>
      <w:r>
        <w:rPr>
          <w:rFonts w:ascii="Times New Roman" w:cs="Times New Roman" w:eastAsia="Times New Roman" w:hAnsi="Times New Roman"/>
          <w:sz w:val="18"/>
          <w:szCs w:val="18"/>
          <w:color w:val="auto"/>
        </w:rPr>
        <w:t>The wholesale home furnishings segment is involved principally in the design, manufacture, sourcing, sale and distribution of furniture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products to a network of Bassett stores (Company-owned and licensee-owned retail stores) and independent furniture retailers. Our wholesale segment includes our wood and upholstery operations, which now include Lane Venture, as well as all corporate selling, general and administrative expenses, including those corporate expenses related to both Company- and licensee-owned stores. We eliminate the sales between our wholesale and retail segments as well as the imbedded profit in the retail inventory for the consolidated presentation in our financial statements. Also included in our wholesale segment are our short-term investments and our holdings of retail real estate previously leased as licensee stores. The earnings and costs associated with these assets are included in other loss, net, in our condensed consolidated statements of operations.</w:t>
      </w:r>
    </w:p>
    <w:p>
      <w:pPr>
        <w:spacing w:after="0" w:line="183" w:lineRule="exact"/>
        <w:rPr>
          <w:sz w:val="20"/>
          <w:szCs w:val="20"/>
          <w:color w:val="auto"/>
        </w:rPr>
      </w:pPr>
    </w:p>
    <w:p>
      <w:pPr>
        <w:jc w:val="both"/>
        <w:ind w:left="66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Retail – Company-owned stores. </w:t>
      </w:r>
      <w:r>
        <w:rPr>
          <w:rFonts w:ascii="Times New Roman" w:cs="Times New Roman" w:eastAsia="Times New Roman" w:hAnsi="Times New Roman"/>
          <w:sz w:val="18"/>
          <w:szCs w:val="18"/>
          <w:color w:val="auto"/>
        </w:rPr>
        <w:t>Our retail segment consists of Company-owned stores and includes the revenues, expenses, assets and liabilities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(including real estate) and capital expenditures directly related to these stores and the Company-owned distribution network utilized to deliver products to our retail customers.</w:t>
      </w:r>
    </w:p>
    <w:p>
      <w:pPr>
        <w:spacing w:after="0" w:line="171" w:lineRule="exact"/>
        <w:rPr>
          <w:sz w:val="20"/>
          <w:szCs w:val="20"/>
          <w:color w:val="auto"/>
        </w:rPr>
      </w:pPr>
    </w:p>
    <w:p>
      <w:pPr>
        <w:jc w:val="both"/>
        <w:ind w:left="660"/>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Logistical services. </w:t>
      </w:r>
      <w:r>
        <w:rPr>
          <w:rFonts w:ascii="Times New Roman" w:cs="Times New Roman" w:eastAsia="Times New Roman" w:hAnsi="Times New Roman"/>
          <w:sz w:val="18"/>
          <w:szCs w:val="18"/>
          <w:color w:val="auto"/>
        </w:rPr>
        <w:t>Our logistical services segment reflects the operations of Zenith. In addition to providing shipping and warehousing services for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Zenith also provides similar services to other customers, primarily in the furniture industry. Revenue from the performance of these services to other customers is included in logistical services revenue in our condensed consolidated statements of operations. Zenith’s operating costs are included in selling, general and administrative expenses.</w:t>
      </w:r>
    </w:p>
    <w:p>
      <w:pPr>
        <w:spacing w:after="0" w:line="1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6" w:name="page27"/>
    <w:bookmarkEnd w:id="26"/>
    <w:p>
      <w:pPr>
        <w:jc w:val="center"/>
        <w:ind w:right="-319"/>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tables illustrate the effects of various intercompany eliminations on income from operations in the consolidation of our segment results: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6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3860" w:type="dxa"/>
            <w:vAlign w:val="bottom"/>
            <w:tcBorders>
              <w:bottom w:val="single" w:sz="8" w:color="auto"/>
            </w:tcBorders>
            <w:gridSpan w:val="5"/>
          </w:tcPr>
          <w:p>
            <w:pPr>
              <w:jc w:val="right"/>
              <w:ind w:right="770"/>
              <w:spacing w:after="0"/>
              <w:rPr>
                <w:sz w:val="20"/>
                <w:szCs w:val="20"/>
                <w:color w:val="auto"/>
              </w:rPr>
            </w:pPr>
            <w:r>
              <w:rPr>
                <w:rFonts w:ascii="Times New Roman" w:cs="Times New Roman" w:eastAsia="Times New Roman" w:hAnsi="Times New Roman"/>
                <w:sz w:val="18"/>
                <w:szCs w:val="18"/>
                <w:color w:val="auto"/>
              </w:rPr>
              <w:t>Quarter Ended March 2, 2019*</w:t>
            </w:r>
          </w:p>
        </w:tc>
        <w:tc>
          <w:tcPr>
            <w:tcW w:w="28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Wholesale</w:t>
            </w:r>
          </w:p>
        </w:tc>
        <w:tc>
          <w:tcPr>
            <w:tcW w:w="34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color w:val="auto"/>
              </w:rPr>
              <w:t>Retail</w:t>
            </w:r>
          </w:p>
        </w:tc>
        <w:tc>
          <w:tcPr>
            <w:tcW w:w="2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rPr>
              <w:t>Logistics</w:t>
            </w:r>
          </w:p>
        </w:tc>
        <w:tc>
          <w:tcPr>
            <w:tcW w:w="22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w w:val="99"/>
              </w:rPr>
              <w:t>Eliminations</w:t>
            </w:r>
          </w:p>
        </w:tc>
        <w:tc>
          <w:tcPr>
            <w:tcW w:w="2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Consolidated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Furniture &amp; accessories</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72,781</w:t>
            </w:r>
          </w:p>
        </w:tc>
        <w:tc>
          <w:tcPr>
            <w:tcW w:w="3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69,629</w:t>
            </w:r>
          </w:p>
        </w:tc>
        <w:tc>
          <w:tcPr>
            <w:tcW w:w="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(35,053)</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(1)</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107,357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tcBorders>
              <w:bottom w:val="single" w:sz="8" w:color="CCEEFF"/>
            </w:tcBorders>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Logistics</w:t>
            </w:r>
          </w:p>
        </w:tc>
        <w:tc>
          <w:tcPr>
            <w:tcW w:w="1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21,751</w:t>
            </w:r>
          </w:p>
        </w:tc>
        <w:tc>
          <w:tcPr>
            <w:tcW w:w="220" w:type="dxa"/>
            <w:vAlign w:val="bottom"/>
            <w:tcBorders>
              <w:bottom w:val="single" w:sz="8" w:color="auto"/>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(8,267)</w:t>
            </w:r>
          </w:p>
        </w:tc>
        <w:tc>
          <w:tcPr>
            <w:tcW w:w="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(2)</w:t>
            </w: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13,484</w:t>
            </w:r>
          </w:p>
        </w:tc>
        <w:tc>
          <w:tcPr>
            <w:tcW w:w="100" w:type="dxa"/>
            <w:vAlign w:val="bottom"/>
            <w:tcBorders>
              <w:bottom w:val="single" w:sz="8" w:color="CCEEFF"/>
            </w:tcBorders>
            <w:gridSpan w:val="2"/>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sales revenue</w:t>
            </w:r>
          </w:p>
        </w:tc>
        <w:tc>
          <w:tcPr>
            <w:tcW w:w="160" w:type="dxa"/>
            <w:vAlign w:val="bottom"/>
          </w:tcPr>
          <w:p>
            <w:pPr>
              <w:spacing w:after="0"/>
              <w:rPr>
                <w:sz w:val="18"/>
                <w:szCs w:val="18"/>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72,781</w:t>
            </w:r>
          </w:p>
        </w:tc>
        <w:tc>
          <w:tcPr>
            <w:tcW w:w="340" w:type="dxa"/>
            <w:vAlign w:val="bottom"/>
          </w:tcPr>
          <w:p>
            <w:pPr>
              <w:spacing w:after="0"/>
              <w:rPr>
                <w:sz w:val="18"/>
                <w:szCs w:val="18"/>
                <w:color w:val="auto"/>
              </w:rPr>
            </w:pPr>
          </w:p>
        </w:tc>
        <w:tc>
          <w:tcPr>
            <w:tcW w:w="11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69,629</w:t>
            </w:r>
          </w:p>
        </w:tc>
        <w:tc>
          <w:tcPr>
            <w:tcW w:w="260" w:type="dxa"/>
            <w:vAlign w:val="bottom"/>
          </w:tcPr>
          <w:p>
            <w:pPr>
              <w:spacing w:after="0"/>
              <w:rPr>
                <w:sz w:val="18"/>
                <w:szCs w:val="18"/>
                <w:color w:val="auto"/>
              </w:rPr>
            </w:pPr>
          </w:p>
        </w:tc>
        <w:tc>
          <w:tcPr>
            <w:tcW w:w="11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21,751</w:t>
            </w:r>
          </w:p>
        </w:tc>
        <w:tc>
          <w:tcPr>
            <w:tcW w:w="22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(43,320)</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120,841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48,850</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34,951</w:t>
            </w:r>
          </w:p>
        </w:tc>
        <w:tc>
          <w:tcPr>
            <w:tcW w:w="26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(34,624)</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(3)</w:t>
            </w:r>
          </w:p>
        </w:tc>
        <w:tc>
          <w:tcPr>
            <w:tcW w:w="16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49,177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160" w:type="dxa"/>
            <w:vAlign w:val="bottom"/>
          </w:tcPr>
          <w:p>
            <w:pPr>
              <w:spacing w:after="0"/>
              <w:rPr>
                <w:sz w:val="18"/>
                <w:szCs w:val="18"/>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19,749</w:t>
            </w:r>
          </w:p>
        </w:tc>
        <w:tc>
          <w:tcPr>
            <w:tcW w:w="340" w:type="dxa"/>
            <w:vAlign w:val="bottom"/>
          </w:tcPr>
          <w:p>
            <w:pPr>
              <w:spacing w:after="0"/>
              <w:rPr>
                <w:sz w:val="18"/>
                <w:szCs w:val="18"/>
                <w:color w:val="auto"/>
              </w:rPr>
            </w:pPr>
          </w:p>
        </w:tc>
        <w:tc>
          <w:tcPr>
            <w:tcW w:w="11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37,230</w:t>
            </w:r>
          </w:p>
        </w:tc>
        <w:tc>
          <w:tcPr>
            <w:tcW w:w="260" w:type="dxa"/>
            <w:vAlign w:val="bottom"/>
          </w:tcPr>
          <w:p>
            <w:pPr>
              <w:spacing w:after="0"/>
              <w:rPr>
                <w:sz w:val="18"/>
                <w:szCs w:val="18"/>
                <w:color w:val="auto"/>
              </w:rPr>
            </w:pPr>
          </w:p>
        </w:tc>
        <w:tc>
          <w:tcPr>
            <w:tcW w:w="11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21,039</w:t>
            </w:r>
          </w:p>
        </w:tc>
        <w:tc>
          <w:tcPr>
            <w:tcW w:w="22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(8,632)</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(4)</w:t>
            </w:r>
          </w:p>
        </w:tc>
        <w:tc>
          <w:tcPr>
            <w:tcW w:w="160" w:type="dxa"/>
            <w:vAlign w:val="bottom"/>
          </w:tcPr>
          <w:p>
            <w:pPr>
              <w:spacing w:after="0"/>
              <w:rPr>
                <w:sz w:val="18"/>
                <w:szCs w:val="18"/>
                <w:color w:val="auto"/>
              </w:rPr>
            </w:pPr>
          </w:p>
        </w:tc>
        <w:tc>
          <w:tcPr>
            <w:tcW w:w="120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69,386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1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494</w:t>
            </w:r>
          </w:p>
        </w:tc>
        <w:tc>
          <w:tcPr>
            <w:tcW w:w="26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494</w:t>
            </w:r>
          </w:p>
        </w:tc>
        <w:tc>
          <w:tcPr>
            <w:tcW w:w="100" w:type="dxa"/>
            <w:vAlign w:val="bottom"/>
            <w:tcBorders>
              <w:bottom w:val="single" w:sz="8" w:color="CCEEFF"/>
            </w:tcBorders>
            <w:gridSpan w:val="2"/>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Income (loss) from operations (5)</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4,182</w:t>
            </w:r>
          </w:p>
        </w:tc>
        <w:tc>
          <w:tcPr>
            <w:tcW w:w="3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(3,046)</w:t>
            </w:r>
          </w:p>
        </w:tc>
        <w:tc>
          <w:tcPr>
            <w:tcW w:w="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712</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w:t>
            </w:r>
          </w:p>
        </w:tc>
        <w:tc>
          <w:tcPr>
            <w:tcW w:w="2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1,784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3860" w:type="dxa"/>
            <w:vAlign w:val="bottom"/>
            <w:tcBorders>
              <w:top w:val="single" w:sz="8" w:color="auto"/>
              <w:bottom w:val="single" w:sz="8" w:color="auto"/>
            </w:tcBorders>
            <w:gridSpan w:val="5"/>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2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860" w:type="dxa"/>
            <w:vAlign w:val="bottom"/>
            <w:tcBorders>
              <w:bottom w:val="single" w:sz="8" w:color="auto"/>
            </w:tcBorders>
            <w:gridSpan w:val="5"/>
          </w:tcPr>
          <w:p>
            <w:pPr>
              <w:jc w:val="right"/>
              <w:ind w:right="630"/>
              <w:spacing w:after="0"/>
              <w:rPr>
                <w:sz w:val="20"/>
                <w:szCs w:val="20"/>
                <w:color w:val="auto"/>
              </w:rPr>
            </w:pPr>
            <w:r>
              <w:rPr>
                <w:rFonts w:ascii="Times New Roman" w:cs="Times New Roman" w:eastAsia="Times New Roman" w:hAnsi="Times New Roman"/>
                <w:sz w:val="18"/>
                <w:szCs w:val="18"/>
                <w:color w:val="auto"/>
              </w:rPr>
              <w:t>Quarter Ended February 24, 2018*</w:t>
            </w: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rPr>
              <w:t>Wholesale</w:t>
            </w:r>
          </w:p>
        </w:tc>
        <w:tc>
          <w:tcPr>
            <w:tcW w:w="34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color w:val="auto"/>
              </w:rPr>
              <w:t>Retail</w:t>
            </w:r>
          </w:p>
        </w:tc>
        <w:tc>
          <w:tcPr>
            <w:tcW w:w="2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rPr>
              <w:t>Logistics</w:t>
            </w:r>
          </w:p>
        </w:tc>
        <w:tc>
          <w:tcPr>
            <w:tcW w:w="22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w w:val="99"/>
              </w:rPr>
              <w:t>Eliminations</w:t>
            </w:r>
          </w:p>
        </w:tc>
        <w:tc>
          <w:tcPr>
            <w:tcW w:w="2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Consolidated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Sales revenue:</w:t>
            </w: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Furniture &amp; accessories</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63,100</w:t>
            </w:r>
          </w:p>
        </w:tc>
        <w:tc>
          <w:tcPr>
            <w:tcW w:w="3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64,661</w:t>
            </w:r>
          </w:p>
        </w:tc>
        <w:tc>
          <w:tcPr>
            <w:tcW w:w="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(31,638)</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(1)</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96,123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tcBorders>
              <w:bottom w:val="single" w:sz="8" w:color="CCEEFF"/>
            </w:tcBorders>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Logistics</w:t>
            </w:r>
          </w:p>
        </w:tc>
        <w:tc>
          <w:tcPr>
            <w:tcW w:w="1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21,422</w:t>
            </w:r>
          </w:p>
        </w:tc>
        <w:tc>
          <w:tcPr>
            <w:tcW w:w="220" w:type="dxa"/>
            <w:vAlign w:val="bottom"/>
            <w:tcBorders>
              <w:bottom w:val="single" w:sz="8" w:color="auto"/>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(7,273)</w:t>
            </w:r>
          </w:p>
        </w:tc>
        <w:tc>
          <w:tcPr>
            <w:tcW w:w="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(2)</w:t>
            </w: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14,149</w:t>
            </w:r>
          </w:p>
        </w:tc>
        <w:tc>
          <w:tcPr>
            <w:tcW w:w="100" w:type="dxa"/>
            <w:vAlign w:val="bottom"/>
            <w:tcBorders>
              <w:bottom w:val="single" w:sz="8" w:color="CCEEFF"/>
            </w:tcBorders>
            <w:gridSpan w:val="2"/>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Total sales revenue</w:t>
            </w:r>
          </w:p>
        </w:tc>
        <w:tc>
          <w:tcPr>
            <w:tcW w:w="160" w:type="dxa"/>
            <w:vAlign w:val="bottom"/>
          </w:tcPr>
          <w:p>
            <w:pPr>
              <w:spacing w:after="0"/>
              <w:rPr>
                <w:sz w:val="18"/>
                <w:szCs w:val="18"/>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63,100</w:t>
            </w:r>
          </w:p>
        </w:tc>
        <w:tc>
          <w:tcPr>
            <w:tcW w:w="340" w:type="dxa"/>
            <w:vAlign w:val="bottom"/>
          </w:tcPr>
          <w:p>
            <w:pPr>
              <w:spacing w:after="0"/>
              <w:rPr>
                <w:sz w:val="18"/>
                <w:szCs w:val="18"/>
                <w:color w:val="auto"/>
              </w:rPr>
            </w:pPr>
          </w:p>
        </w:tc>
        <w:tc>
          <w:tcPr>
            <w:tcW w:w="11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64,661</w:t>
            </w:r>
          </w:p>
        </w:tc>
        <w:tc>
          <w:tcPr>
            <w:tcW w:w="260" w:type="dxa"/>
            <w:vAlign w:val="bottom"/>
          </w:tcPr>
          <w:p>
            <w:pPr>
              <w:spacing w:after="0"/>
              <w:rPr>
                <w:sz w:val="18"/>
                <w:szCs w:val="18"/>
                <w:color w:val="auto"/>
              </w:rPr>
            </w:pPr>
          </w:p>
        </w:tc>
        <w:tc>
          <w:tcPr>
            <w:tcW w:w="11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21,422</w:t>
            </w:r>
          </w:p>
        </w:tc>
        <w:tc>
          <w:tcPr>
            <w:tcW w:w="22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(38,911)</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110,272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42,644</w:t>
            </w: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31,994</w:t>
            </w:r>
          </w:p>
        </w:tc>
        <w:tc>
          <w:tcPr>
            <w:tcW w:w="26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(31,369)</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5"/>
              </w:rPr>
              <w:t>(3)</w:t>
            </w:r>
          </w:p>
        </w:tc>
        <w:tc>
          <w:tcPr>
            <w:tcW w:w="16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43,269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tcPr>
          <w:p>
            <w:pPr>
              <w:spacing w:after="0"/>
              <w:rPr>
                <w:sz w:val="20"/>
                <w:szCs w:val="20"/>
                <w:color w:val="auto"/>
              </w:rPr>
            </w:pPr>
            <w:r>
              <w:rPr>
                <w:rFonts w:ascii="Times New Roman" w:cs="Times New Roman" w:eastAsia="Times New Roman" w:hAnsi="Times New Roman"/>
                <w:sz w:val="18"/>
                <w:szCs w:val="18"/>
                <w:color w:val="auto"/>
              </w:rPr>
              <w:t>SG&amp;A expense</w:t>
            </w:r>
          </w:p>
        </w:tc>
        <w:tc>
          <w:tcPr>
            <w:tcW w:w="160" w:type="dxa"/>
            <w:vAlign w:val="bottom"/>
          </w:tcPr>
          <w:p>
            <w:pPr>
              <w:spacing w:after="0"/>
              <w:rPr>
                <w:sz w:val="18"/>
                <w:szCs w:val="18"/>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17,392</w:t>
            </w:r>
          </w:p>
        </w:tc>
        <w:tc>
          <w:tcPr>
            <w:tcW w:w="340" w:type="dxa"/>
            <w:vAlign w:val="bottom"/>
          </w:tcPr>
          <w:p>
            <w:pPr>
              <w:spacing w:after="0"/>
              <w:rPr>
                <w:sz w:val="18"/>
                <w:szCs w:val="18"/>
                <w:color w:val="auto"/>
              </w:rPr>
            </w:pPr>
          </w:p>
        </w:tc>
        <w:tc>
          <w:tcPr>
            <w:tcW w:w="110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33,478</w:t>
            </w:r>
          </w:p>
        </w:tc>
        <w:tc>
          <w:tcPr>
            <w:tcW w:w="260" w:type="dxa"/>
            <w:vAlign w:val="bottom"/>
          </w:tcPr>
          <w:p>
            <w:pPr>
              <w:spacing w:after="0"/>
              <w:rPr>
                <w:sz w:val="18"/>
                <w:szCs w:val="18"/>
                <w:color w:val="auto"/>
              </w:rPr>
            </w:pPr>
          </w:p>
        </w:tc>
        <w:tc>
          <w:tcPr>
            <w:tcW w:w="11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21,092</w:t>
            </w:r>
          </w:p>
        </w:tc>
        <w:tc>
          <w:tcPr>
            <w:tcW w:w="22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(7,711)</w:t>
            </w: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(4)</w:t>
            </w:r>
          </w:p>
        </w:tc>
        <w:tc>
          <w:tcPr>
            <w:tcW w:w="160" w:type="dxa"/>
            <w:vAlign w:val="bottom"/>
          </w:tcPr>
          <w:p>
            <w:pPr>
              <w:spacing w:after="0"/>
              <w:rPr>
                <w:sz w:val="18"/>
                <w:szCs w:val="18"/>
                <w:color w:val="auto"/>
              </w:rPr>
            </w:pPr>
          </w:p>
        </w:tc>
        <w:tc>
          <w:tcPr>
            <w:tcW w:w="120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64,251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New store pre-opening costs</w:t>
            </w:r>
          </w:p>
        </w:tc>
        <w:tc>
          <w:tcPr>
            <w:tcW w:w="16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702</w:t>
            </w:r>
          </w:p>
        </w:tc>
        <w:tc>
          <w:tcPr>
            <w:tcW w:w="26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702</w:t>
            </w:r>
          </w:p>
        </w:tc>
        <w:tc>
          <w:tcPr>
            <w:tcW w:w="100" w:type="dxa"/>
            <w:vAlign w:val="bottom"/>
            <w:tcBorders>
              <w:bottom w:val="single" w:sz="8" w:color="CCEEFF"/>
            </w:tcBorders>
            <w:gridSpan w:val="2"/>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3,064</w:t>
            </w:r>
          </w:p>
        </w:tc>
        <w:tc>
          <w:tcPr>
            <w:tcW w:w="3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(1,513)</w:t>
            </w:r>
          </w:p>
        </w:tc>
        <w:tc>
          <w:tcPr>
            <w:tcW w:w="26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330</w:t>
            </w:r>
          </w:p>
        </w:tc>
        <w:tc>
          <w:tcPr>
            <w:tcW w:w="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169</w:t>
            </w:r>
          </w:p>
        </w:tc>
        <w:tc>
          <w:tcPr>
            <w:tcW w:w="2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2,050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240" w:hanging="232"/>
        <w:spacing w:after="0"/>
        <w:tabs>
          <w:tab w:leader="none" w:pos="2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sales from our wholesale segment to our Company-owned BHF stores.</w:t>
      </w:r>
    </w:p>
    <w:p>
      <w:pPr>
        <w:spacing w:after="0" w:line="27" w:lineRule="exact"/>
        <w:rPr>
          <w:rFonts w:ascii="Times New Roman" w:cs="Times New Roman" w:eastAsia="Times New Roman" w:hAnsi="Times New Roman"/>
          <w:sz w:val="18"/>
          <w:szCs w:val="18"/>
          <w:color w:val="auto"/>
        </w:rPr>
      </w:pPr>
    </w:p>
    <w:p>
      <w:pPr>
        <w:ind w:left="240" w:hanging="232"/>
        <w:spacing w:after="0"/>
        <w:tabs>
          <w:tab w:leader="none" w:pos="2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logistical services billed to our wholesale segment.</w:t>
      </w:r>
    </w:p>
    <w:p>
      <w:pPr>
        <w:spacing w:after="0" w:line="9" w:lineRule="exact"/>
        <w:rPr>
          <w:rFonts w:ascii="Times New Roman" w:cs="Times New Roman" w:eastAsia="Times New Roman" w:hAnsi="Times New Roman"/>
          <w:sz w:val="18"/>
          <w:szCs w:val="18"/>
          <w:color w:val="auto"/>
        </w:rPr>
      </w:pPr>
    </w:p>
    <w:p>
      <w:pPr>
        <w:ind w:left="240" w:right="180" w:hanging="232"/>
        <w:spacing w:after="0" w:line="250" w:lineRule="auto"/>
        <w:tabs>
          <w:tab w:leader="none" w:pos="2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purchases by our Company-owned BHF stores from our wholesale segment, as well as the change for the period in the elimination of intercompany profit in ending retail inventory.</w:t>
      </w:r>
    </w:p>
    <w:p>
      <w:pPr>
        <w:ind w:left="240" w:hanging="232"/>
        <w:spacing w:after="0" w:line="261" w:lineRule="auto"/>
        <w:tabs>
          <w:tab w:leader="none" w:pos="2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elimination of rent paid by our retail stores occupying Company-owned real estate, and the elimination of logisitcal services charged by Zenith to Bassett's wholesale segment as follows: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7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100" w:type="dxa"/>
            <w:vAlign w:val="bottom"/>
            <w:gridSpan w:val="4"/>
          </w:tcPr>
          <w:p>
            <w:pPr>
              <w:jc w:val="right"/>
              <w:ind w:right="1160"/>
              <w:spacing w:after="0"/>
              <w:rPr>
                <w:sz w:val="20"/>
                <w:szCs w:val="20"/>
                <w:color w:val="auto"/>
              </w:rPr>
            </w:pPr>
            <w:r>
              <w:rPr>
                <w:rFonts w:ascii="Times New Roman" w:cs="Times New Roman" w:eastAsia="Times New Roman" w:hAnsi="Times New Roman"/>
                <w:sz w:val="18"/>
                <w:szCs w:val="18"/>
                <w:color w:val="auto"/>
              </w:rPr>
              <w:t>Quarter Ended*</w:t>
            </w: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5760" w:type="dxa"/>
            <w:vAlign w:val="bottom"/>
          </w:tcPr>
          <w:p>
            <w:pPr>
              <w:spacing w:after="0"/>
              <w:rPr>
                <w:sz w:val="16"/>
                <w:szCs w:val="16"/>
                <w:color w:val="auto"/>
              </w:rPr>
            </w:pPr>
          </w:p>
        </w:tc>
        <w:tc>
          <w:tcPr>
            <w:tcW w:w="260" w:type="dxa"/>
            <w:vAlign w:val="bottom"/>
            <w:tcBorders>
              <w:top w:val="single" w:sz="8" w:color="auto"/>
            </w:tcBorders>
          </w:tcPr>
          <w:p>
            <w:pPr>
              <w:spacing w:after="0"/>
              <w:rPr>
                <w:sz w:val="16"/>
                <w:szCs w:val="16"/>
                <w:color w:val="auto"/>
              </w:rPr>
            </w:pPr>
          </w:p>
        </w:tc>
        <w:tc>
          <w:tcPr>
            <w:tcW w:w="1420" w:type="dxa"/>
            <w:vAlign w:val="bottom"/>
            <w:tcBorders>
              <w:top w:val="single" w:sz="8" w:color="auto"/>
            </w:tcBorders>
          </w:tcPr>
          <w:p>
            <w:pPr>
              <w:jc w:val="right"/>
              <w:ind w:right="490"/>
              <w:spacing w:after="0" w:line="191" w:lineRule="exact"/>
              <w:rPr>
                <w:sz w:val="20"/>
                <w:szCs w:val="20"/>
                <w:color w:val="auto"/>
              </w:rPr>
            </w:pPr>
            <w:r>
              <w:rPr>
                <w:rFonts w:ascii="Times New Roman" w:cs="Times New Roman" w:eastAsia="Times New Roman" w:hAnsi="Times New Roman"/>
                <w:sz w:val="18"/>
                <w:szCs w:val="18"/>
                <w:color w:val="auto"/>
              </w:rPr>
              <w:t>March 2,</w:t>
            </w:r>
          </w:p>
        </w:tc>
        <w:tc>
          <w:tcPr>
            <w:tcW w:w="24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jc w:val="right"/>
              <w:ind w:right="230"/>
              <w:spacing w:after="0" w:line="191" w:lineRule="exact"/>
              <w:rPr>
                <w:sz w:val="20"/>
                <w:szCs w:val="20"/>
                <w:color w:val="auto"/>
              </w:rPr>
            </w:pPr>
            <w:r>
              <w:rPr>
                <w:rFonts w:ascii="Times New Roman" w:cs="Times New Roman" w:eastAsia="Times New Roman" w:hAnsi="Times New Roman"/>
                <w:sz w:val="18"/>
                <w:szCs w:val="18"/>
                <w:color w:val="auto"/>
              </w:rPr>
              <w:t>February 24,</w:t>
            </w: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7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ind w:right="630"/>
              <w:spacing w:after="0"/>
              <w:rPr>
                <w:sz w:val="20"/>
                <w:szCs w:val="20"/>
                <w:color w:val="auto"/>
              </w:rPr>
            </w:pPr>
            <w:r>
              <w:rPr>
                <w:rFonts w:ascii="Times New Roman" w:cs="Times New Roman" w:eastAsia="Times New Roman" w:hAnsi="Times New Roman"/>
                <w:sz w:val="18"/>
                <w:szCs w:val="18"/>
                <w:color w:val="auto"/>
              </w:rPr>
              <w:t>2019</w:t>
            </w:r>
          </w:p>
        </w:tc>
        <w:tc>
          <w:tcPr>
            <w:tcW w:w="2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510"/>
              <w:spacing w:after="0"/>
              <w:rPr>
                <w:sz w:val="20"/>
                <w:szCs w:val="20"/>
                <w:color w:val="auto"/>
              </w:rPr>
            </w:pPr>
            <w:r>
              <w:rPr>
                <w:rFonts w:ascii="Times New Roman" w:cs="Times New Roman" w:eastAsia="Times New Roman" w:hAnsi="Times New Roman"/>
                <w:sz w:val="18"/>
                <w:szCs w:val="18"/>
                <w:color w:val="auto"/>
              </w:rPr>
              <w:t>2018</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7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Intercompany logistical services</w:t>
            </w:r>
          </w:p>
        </w:tc>
        <w:tc>
          <w:tcPr>
            <w:tcW w:w="260" w:type="dxa"/>
            <w:vAlign w:val="bottom"/>
            <w:shd w:val="clear" w:color="auto" w:fill="CCEEFF"/>
          </w:tcPr>
          <w:p>
            <w:pPr>
              <w:jc w:val="right"/>
              <w:ind w:right="95"/>
              <w:spacing w:after="0"/>
              <w:rPr>
                <w:sz w:val="20"/>
                <w:szCs w:val="20"/>
                <w:color w:val="auto"/>
              </w:rPr>
            </w:pPr>
            <w:r>
              <w:rPr>
                <w:rFonts w:ascii="Times New Roman" w:cs="Times New Roman" w:eastAsia="Times New Roman" w:hAnsi="Times New Roman"/>
                <w:sz w:val="17"/>
                <w:szCs w:val="17"/>
                <w:color w:val="auto"/>
                <w:w w:val="70"/>
              </w:rPr>
              <w:t>$</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(8,267)</w:t>
            </w:r>
          </w:p>
        </w:tc>
        <w:tc>
          <w:tcPr>
            <w:tcW w:w="2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(7,273)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Times New Roman" w:cs="Times New Roman" w:eastAsia="Times New Roman" w:hAnsi="Times New Roman"/>
                <w:sz w:val="18"/>
                <w:szCs w:val="18"/>
                <w:color w:val="auto"/>
              </w:rPr>
              <w:t>Intercompany rents</w:t>
            </w:r>
          </w:p>
        </w:tc>
        <w:tc>
          <w:tcPr>
            <w:tcW w:w="26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(365)</w:t>
            </w:r>
          </w:p>
        </w:tc>
        <w:tc>
          <w:tcPr>
            <w:tcW w:w="240" w:type="dxa"/>
            <w:vAlign w:val="bottom"/>
          </w:tcPr>
          <w:p>
            <w:pPr>
              <w:spacing w:after="0"/>
              <w:rPr>
                <w:sz w:val="18"/>
                <w:szCs w:val="18"/>
                <w:color w:val="auto"/>
              </w:rPr>
            </w:pPr>
          </w:p>
        </w:tc>
        <w:tc>
          <w:tcPr>
            <w:tcW w:w="14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(438)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420" w:type="dxa"/>
            <w:vAlign w:val="bottom"/>
            <w:tcBorders>
              <w:top w:val="single" w:sz="8" w:color="auto"/>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SG&amp;A expense elimination</w:t>
            </w:r>
          </w:p>
        </w:tc>
        <w:tc>
          <w:tcPr>
            <w:tcW w:w="260" w:type="dxa"/>
            <w:vAlign w:val="bottom"/>
          </w:tcPr>
          <w:p>
            <w:pPr>
              <w:jc w:val="right"/>
              <w:ind w:right="95"/>
              <w:spacing w:after="0"/>
              <w:rPr>
                <w:sz w:val="20"/>
                <w:szCs w:val="20"/>
                <w:color w:val="auto"/>
              </w:rPr>
            </w:pPr>
            <w:r>
              <w:rPr>
                <w:rFonts w:ascii="Times New Roman" w:cs="Times New Roman" w:eastAsia="Times New Roman" w:hAnsi="Times New Roman"/>
                <w:sz w:val="17"/>
                <w:szCs w:val="17"/>
                <w:color w:val="auto"/>
                <w:w w:val="70"/>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(8,632)</w:t>
            </w:r>
          </w:p>
        </w:tc>
        <w:tc>
          <w:tcPr>
            <w:tcW w:w="2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(7,711)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right="4240" w:firstLine="8"/>
        <w:spacing w:after="0" w:line="501" w:lineRule="auto"/>
        <w:tabs>
          <w:tab w:leader="none" w:pos="23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Excludes the effects of the early retirement program, which is not allocated to our segments. *14 weeks for fiscal 2019 as compared with 13 weeks for fiscal 2018.</w:t>
      </w:r>
    </w:p>
    <w:p>
      <w:pPr>
        <w:jc w:val="center"/>
        <w:ind w:right="-319"/>
        <w:spacing w:after="0"/>
        <w:rPr>
          <w:sz w:val="20"/>
          <w:szCs w:val="20"/>
          <w:color w:val="auto"/>
        </w:rPr>
      </w:pPr>
      <w:r>
        <w:rPr>
          <w:rFonts w:ascii="Times New Roman" w:cs="Times New Roman" w:eastAsia="Times New Roman" w:hAnsi="Times New Roman"/>
          <w:sz w:val="18"/>
          <w:szCs w:val="18"/>
          <w:color w:val="auto"/>
        </w:rPr>
        <w:t>27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120"/>
          </w:cols>
          <w:pgMar w:left="240" w:top="580" w:right="539" w:bottom="1440" w:gutter="0" w:footer="0" w:header="0"/>
        </w:sectPr>
      </w:pPr>
    </w:p>
    <w:bookmarkStart w:id="27" w:name="page28"/>
    <w:bookmarkEnd w:id="27"/>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Wholesale Segment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Results for the wholesale segment for the three months ended March 2, 2019 and February 24, 2018 are as follows:</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gridSpan w:val="3"/>
          </w:tcPr>
          <w:p>
            <w:pPr>
              <w:jc w:val="right"/>
              <w:ind w:right="15"/>
              <w:spacing w:after="0"/>
              <w:rPr>
                <w:sz w:val="20"/>
                <w:szCs w:val="20"/>
                <w:color w:val="auto"/>
              </w:rPr>
            </w:pPr>
            <w:r>
              <w:rPr>
                <w:rFonts w:ascii="Times New Roman" w:cs="Times New Roman" w:eastAsia="Times New Roman" w:hAnsi="Times New Roman"/>
                <w:sz w:val="18"/>
                <w:szCs w:val="18"/>
                <w:color w:val="auto"/>
              </w:rPr>
              <w:t>Quarter Ended*</w:t>
            </w:r>
          </w:p>
        </w:tc>
        <w:tc>
          <w:tcPr>
            <w:tcW w:w="1540" w:type="dxa"/>
            <w:vAlign w:val="bottom"/>
            <w:tcBorders>
              <w:bottom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Change</w:t>
            </w:r>
          </w:p>
        </w:tc>
        <w:tc>
          <w:tcPr>
            <w:tcW w:w="940" w:type="dxa"/>
            <w:vAlign w:val="bottom"/>
            <w:tcBorders>
              <w:bottom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March 2, 2019</w:t>
            </w:r>
          </w:p>
        </w:tc>
        <w:tc>
          <w:tcPr>
            <w:tcW w:w="6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February 24, 2018</w:t>
            </w:r>
          </w:p>
        </w:tc>
        <w:tc>
          <w:tcPr>
            <w:tcW w:w="54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color w:val="auto"/>
              </w:rPr>
              <w:t>Dollars</w:t>
            </w:r>
          </w:p>
        </w:tc>
        <w:tc>
          <w:tcPr>
            <w:tcW w:w="94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Percent</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7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400" w:type="dxa"/>
            <w:vAlign w:val="bottom"/>
            <w:shd w:val="clear" w:color="auto" w:fill="CCEEFF"/>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60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72,781</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540" w:type="dxa"/>
            <w:vAlign w:val="bottom"/>
            <w:shd w:val="clear" w:color="auto" w:fill="CCEEFF"/>
          </w:tcPr>
          <w:p>
            <w:pPr>
              <w:jc w:val="right"/>
              <w:ind w:right="375"/>
              <w:spacing w:after="0"/>
              <w:rPr>
                <w:sz w:val="20"/>
                <w:szCs w:val="20"/>
                <w:color w:val="auto"/>
              </w:rPr>
            </w:pPr>
            <w:r>
              <w:rPr>
                <w:rFonts w:ascii="Times New Roman" w:cs="Times New Roman" w:eastAsia="Times New Roman" w:hAnsi="Times New Roman"/>
                <w:sz w:val="17"/>
                <w:szCs w:val="17"/>
                <w:color w:val="auto"/>
                <w:w w:val="70"/>
              </w:rPr>
              <w:t>$</w:t>
            </w:r>
          </w:p>
        </w:tc>
        <w:tc>
          <w:tcPr>
            <w:tcW w:w="154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63,100</w:t>
            </w: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9,681</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15.3%</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720" w:type="dxa"/>
            <w:vAlign w:val="bottom"/>
            <w:shd w:val="clear" w:color="auto" w:fill="CCEEFF"/>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72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400" w:type="dxa"/>
            <w:vAlign w:val="bottom"/>
          </w:tcPr>
          <w:p>
            <w:pPr>
              <w:spacing w:after="0"/>
              <w:rPr>
                <w:sz w:val="18"/>
                <w:szCs w:val="18"/>
                <w:color w:val="auto"/>
              </w:rPr>
            </w:pPr>
          </w:p>
        </w:tc>
        <w:tc>
          <w:tcPr>
            <w:tcW w:w="160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23,931</w:t>
            </w: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32.9%</w:t>
            </w:r>
          </w:p>
        </w:tc>
        <w:tc>
          <w:tcPr>
            <w:tcW w:w="540" w:type="dxa"/>
            <w:vAlign w:val="bottom"/>
          </w:tcPr>
          <w:p>
            <w:pPr>
              <w:spacing w:after="0"/>
              <w:rPr>
                <w:sz w:val="18"/>
                <w:szCs w:val="18"/>
                <w:color w:val="auto"/>
              </w:rPr>
            </w:pPr>
          </w:p>
        </w:tc>
        <w:tc>
          <w:tcPr>
            <w:tcW w:w="1540" w:type="dxa"/>
            <w:vAlign w:val="bottom"/>
          </w:tcPr>
          <w:p>
            <w:pPr>
              <w:jc w:val="right"/>
              <w:ind w:right="790"/>
              <w:spacing w:after="0"/>
              <w:rPr>
                <w:sz w:val="20"/>
                <w:szCs w:val="20"/>
                <w:color w:val="auto"/>
              </w:rPr>
            </w:pPr>
            <w:r>
              <w:rPr>
                <w:rFonts w:ascii="Times New Roman" w:cs="Times New Roman" w:eastAsia="Times New Roman" w:hAnsi="Times New Roman"/>
                <w:sz w:val="18"/>
                <w:szCs w:val="18"/>
                <w:color w:val="auto"/>
              </w:rPr>
              <w:t>20,456</w:t>
            </w: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32.4%</w:t>
            </w:r>
          </w:p>
        </w:tc>
        <w:tc>
          <w:tcPr>
            <w:tcW w:w="220" w:type="dxa"/>
            <w:vAlign w:val="bottom"/>
          </w:tcPr>
          <w:p>
            <w:pPr>
              <w:spacing w:after="0"/>
              <w:rPr>
                <w:sz w:val="18"/>
                <w:szCs w:val="18"/>
                <w:color w:val="auto"/>
              </w:rPr>
            </w:pPr>
          </w:p>
        </w:tc>
        <w:tc>
          <w:tcPr>
            <w:tcW w:w="146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3,475</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40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19,749</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27.1%</w:t>
            </w:r>
          </w:p>
        </w:tc>
        <w:tc>
          <w:tcPr>
            <w:tcW w:w="54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17,392</w:t>
            </w: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27.6%</w:t>
            </w:r>
          </w:p>
        </w:tc>
        <w:tc>
          <w:tcPr>
            <w:tcW w:w="220" w:type="dxa"/>
            <w:vAlign w:val="bottom"/>
            <w:shd w:val="clear" w:color="auto" w:fill="CCEEFF"/>
          </w:tcPr>
          <w:p>
            <w:pPr>
              <w:spacing w:after="0"/>
              <w:rPr>
                <w:sz w:val="18"/>
                <w:szCs w:val="18"/>
                <w:color w:val="auto"/>
              </w:rPr>
            </w:pPr>
          </w:p>
        </w:tc>
        <w:tc>
          <w:tcPr>
            <w:tcW w:w="14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2,357</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13.6%</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720" w:type="dxa"/>
            <w:vAlign w:val="bottom"/>
            <w:tcBorders>
              <w:top w:val="single" w:sz="8" w:color="CCEEFF"/>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154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4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172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Income from</w:t>
            </w:r>
          </w:p>
        </w:tc>
        <w:tc>
          <w:tcPr>
            <w:tcW w:w="400" w:type="dxa"/>
            <w:vAlign w:val="bottom"/>
            <w:vMerge w:val="restart"/>
            <w:shd w:val="clear" w:color="auto" w:fill="CCEEFF"/>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600" w:type="dxa"/>
            <w:vAlign w:val="bottom"/>
            <w:vMerge w:val="restart"/>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4,182</w:t>
            </w:r>
          </w:p>
        </w:tc>
        <w:tc>
          <w:tcPr>
            <w:tcW w:w="88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5.7%</w:t>
            </w:r>
          </w:p>
        </w:tc>
        <w:tc>
          <w:tcPr>
            <w:tcW w:w="540" w:type="dxa"/>
            <w:vAlign w:val="bottom"/>
            <w:vMerge w:val="restart"/>
            <w:shd w:val="clear" w:color="auto" w:fill="CCEEFF"/>
          </w:tcPr>
          <w:p>
            <w:pPr>
              <w:jc w:val="right"/>
              <w:ind w:right="375"/>
              <w:spacing w:after="0"/>
              <w:rPr>
                <w:sz w:val="20"/>
                <w:szCs w:val="20"/>
                <w:color w:val="auto"/>
              </w:rPr>
            </w:pPr>
            <w:r>
              <w:rPr>
                <w:rFonts w:ascii="Times New Roman" w:cs="Times New Roman" w:eastAsia="Times New Roman" w:hAnsi="Times New Roman"/>
                <w:sz w:val="17"/>
                <w:szCs w:val="17"/>
                <w:color w:val="auto"/>
                <w:w w:val="70"/>
              </w:rPr>
              <w:t>$</w:t>
            </w:r>
          </w:p>
        </w:tc>
        <w:tc>
          <w:tcPr>
            <w:tcW w:w="1540" w:type="dxa"/>
            <w:vAlign w:val="bottom"/>
            <w:vMerge w:val="restart"/>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3,064</w:t>
            </w:r>
          </w:p>
        </w:tc>
        <w:tc>
          <w:tcPr>
            <w:tcW w:w="78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4.9%</w:t>
            </w:r>
          </w:p>
        </w:tc>
        <w:tc>
          <w:tcPr>
            <w:tcW w:w="220" w:type="dxa"/>
            <w:vAlign w:val="bottom"/>
            <w:vMerge w:val="restart"/>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vMerge w:val="restart"/>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1,118</w:t>
            </w:r>
          </w:p>
        </w:tc>
        <w:tc>
          <w:tcPr>
            <w:tcW w:w="112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36.5%</w:t>
            </w: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1720" w:type="dxa"/>
            <w:vAlign w:val="bottom"/>
            <w:shd w:val="clear" w:color="auto" w:fill="CCEEFF"/>
          </w:tcPr>
          <w:p>
            <w:pPr>
              <w:ind w:left="160"/>
              <w:spacing w:after="0" w:line="194" w:lineRule="exact"/>
              <w:rPr>
                <w:sz w:val="20"/>
                <w:szCs w:val="20"/>
                <w:color w:val="auto"/>
              </w:rPr>
            </w:pPr>
            <w:r>
              <w:rPr>
                <w:rFonts w:ascii="Times New Roman" w:cs="Times New Roman" w:eastAsia="Times New Roman" w:hAnsi="Times New Roman"/>
                <w:sz w:val="18"/>
                <w:szCs w:val="18"/>
                <w:color w:val="auto"/>
              </w:rPr>
              <w:t>operations</w:t>
            </w:r>
          </w:p>
        </w:tc>
        <w:tc>
          <w:tcPr>
            <w:tcW w:w="400" w:type="dxa"/>
            <w:vAlign w:val="bottom"/>
            <w:vMerge w:val="continue"/>
            <w:shd w:val="clear" w:color="auto" w:fill="CCEEFF"/>
          </w:tcPr>
          <w:p>
            <w:pPr>
              <w:spacing w:after="0"/>
              <w:rPr>
                <w:sz w:val="18"/>
                <w:szCs w:val="18"/>
                <w:color w:val="auto"/>
              </w:rPr>
            </w:pPr>
          </w:p>
        </w:tc>
        <w:tc>
          <w:tcPr>
            <w:tcW w:w="1600" w:type="dxa"/>
            <w:vAlign w:val="bottom"/>
            <w:vMerge w:val="continue"/>
            <w:shd w:val="clear" w:color="auto" w:fill="CCEEFF"/>
          </w:tcPr>
          <w:p>
            <w:pPr>
              <w:spacing w:after="0"/>
              <w:rPr>
                <w:sz w:val="18"/>
                <w:szCs w:val="18"/>
                <w:color w:val="auto"/>
              </w:rPr>
            </w:pPr>
          </w:p>
        </w:tc>
        <w:tc>
          <w:tcPr>
            <w:tcW w:w="880" w:type="dxa"/>
            <w:vAlign w:val="bottom"/>
            <w:gridSpan w:val="2"/>
            <w:vMerge w:val="continue"/>
            <w:shd w:val="clear" w:color="auto" w:fill="CCEEFF"/>
          </w:tcPr>
          <w:p>
            <w:pPr>
              <w:spacing w:after="0"/>
              <w:rPr>
                <w:sz w:val="18"/>
                <w:szCs w:val="18"/>
                <w:color w:val="auto"/>
              </w:rPr>
            </w:pPr>
          </w:p>
        </w:tc>
        <w:tc>
          <w:tcPr>
            <w:tcW w:w="540" w:type="dxa"/>
            <w:vAlign w:val="bottom"/>
            <w:vMerge w:val="continue"/>
            <w:shd w:val="clear" w:color="auto" w:fill="CCEEFF"/>
          </w:tcPr>
          <w:p>
            <w:pPr>
              <w:spacing w:after="0"/>
              <w:rPr>
                <w:sz w:val="18"/>
                <w:szCs w:val="18"/>
                <w:color w:val="auto"/>
              </w:rPr>
            </w:pPr>
          </w:p>
        </w:tc>
        <w:tc>
          <w:tcPr>
            <w:tcW w:w="1540" w:type="dxa"/>
            <w:vAlign w:val="bottom"/>
            <w:vMerge w:val="continue"/>
            <w:shd w:val="clear" w:color="auto" w:fill="CCEEFF"/>
          </w:tcPr>
          <w:p>
            <w:pPr>
              <w:spacing w:after="0"/>
              <w:rPr>
                <w:sz w:val="18"/>
                <w:szCs w:val="18"/>
                <w:color w:val="auto"/>
              </w:rPr>
            </w:pPr>
          </w:p>
        </w:tc>
        <w:tc>
          <w:tcPr>
            <w:tcW w:w="780" w:type="dxa"/>
            <w:vAlign w:val="bottom"/>
            <w:gridSpan w:val="2"/>
            <w:vMerge w:val="continue"/>
            <w:shd w:val="clear" w:color="auto" w:fill="CCEEFF"/>
          </w:tcPr>
          <w:p>
            <w:pPr>
              <w:spacing w:after="0"/>
              <w:rPr>
                <w:sz w:val="18"/>
                <w:szCs w:val="18"/>
                <w:color w:val="auto"/>
              </w:rPr>
            </w:pPr>
          </w:p>
        </w:tc>
        <w:tc>
          <w:tcPr>
            <w:tcW w:w="220" w:type="dxa"/>
            <w:vAlign w:val="bottom"/>
            <w:vMerge w:val="continue"/>
            <w:shd w:val="clear" w:color="auto" w:fill="CCEEFF"/>
          </w:tcPr>
          <w:p>
            <w:pPr>
              <w:spacing w:after="0"/>
              <w:rPr>
                <w:sz w:val="18"/>
                <w:szCs w:val="18"/>
                <w:color w:val="auto"/>
              </w:rPr>
            </w:pPr>
          </w:p>
        </w:tc>
        <w:tc>
          <w:tcPr>
            <w:tcW w:w="1460" w:type="dxa"/>
            <w:vAlign w:val="bottom"/>
            <w:vMerge w:val="continue"/>
            <w:shd w:val="clear" w:color="auto" w:fill="CCEEFF"/>
          </w:tcPr>
          <w:p>
            <w:pPr>
              <w:spacing w:after="0"/>
              <w:rPr>
                <w:sz w:val="18"/>
                <w:szCs w:val="18"/>
                <w:color w:val="auto"/>
              </w:rPr>
            </w:pPr>
          </w:p>
        </w:tc>
        <w:tc>
          <w:tcPr>
            <w:tcW w:w="1120" w:type="dxa"/>
            <w:vAlign w:val="bottom"/>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1600" w:type="dxa"/>
            <w:vAlign w:val="bottom"/>
            <w:tcBorders>
              <w:top w:val="single" w:sz="8" w:color="auto"/>
            </w:tcBorders>
            <w:shd w:val="clear" w:color="auto" w:fill="000000"/>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154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46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*14 weeks for fiscal 2019 as compared with 13 weeks for fiscal 2018.</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Quarterly Analysis of Results - Wholesale</w:t>
      </w:r>
    </w:p>
    <w:p>
      <w:pPr>
        <w:spacing w:after="0" w:line="22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On an average weekly basis (normalizing for 14 weeks compared to 13 weeks), net sales increased $4,482 or 7.1%. This increase was driven by a $2,063 increase in Lane Venture shipments over the prior year period when we were then in the process of integrating the newly acquired operations into the Company, along with a 3.0% increase in shipments to the BHF network and a 4.6% increase in furniture shipments to the open market (outside the BHF network). Gross margin for the wholesale segment was 32.9% for the first quarter of 2019 as compared to 32.4% for the prior year quarter. This increase was primarily driven by higher margins in domestic custom upholstery operations as price increases implemented during the third quarter of 2018 offset the increased raw material costs experienced late in 2017 and early 2018. This margin improvement was partially offset by lower margins in the imported casegoods operation due to a $390 inventory valuation charge associated with our exit from the juvenile line of business. In addition, both the upholstery and wood operations were negatively impacted by higher labor costs due to higher employee health care expenses from unfavorable claim experience. The decrease in SG&amp;A as a percentage of sales was primarily driven by greater leverage of fixed costs due to higher sales volumes partially offset by higher marketing and other brand development costs and higher employee health care expenses from unfavorable claim experience.</w:t>
      </w:r>
    </w:p>
    <w:p>
      <w:pPr>
        <w:spacing w:after="0" w:line="40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740" w:type="dxa"/>
            <w:vAlign w:val="bottom"/>
            <w:gridSpan w:val="2"/>
          </w:tcPr>
          <w:p>
            <w:pPr>
              <w:spacing w:after="0"/>
              <w:rPr>
                <w:sz w:val="20"/>
                <w:szCs w:val="20"/>
                <w:color w:val="auto"/>
              </w:rPr>
            </w:pPr>
            <w:r>
              <w:rPr>
                <w:rFonts w:ascii="Times New Roman" w:cs="Times New Roman" w:eastAsia="Times New Roman" w:hAnsi="Times New Roman"/>
                <w:sz w:val="18"/>
                <w:szCs w:val="18"/>
                <w:i w:val="1"/>
                <w:iCs w:val="1"/>
                <w:color w:val="auto"/>
              </w:rPr>
              <w:t>Wholesale shipments</w:t>
            </w:r>
          </w:p>
        </w:tc>
        <w:tc>
          <w:tcPr>
            <w:tcW w:w="4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420" w:type="dxa"/>
            <w:vAlign w:val="bottom"/>
            <w:gridSpan w:val="3"/>
            <w:vMerge w:val="restart"/>
          </w:tcPr>
          <w:p>
            <w:pPr>
              <w:jc w:val="right"/>
              <w:ind w:right="15"/>
              <w:spacing w:after="0"/>
              <w:rPr>
                <w:sz w:val="20"/>
                <w:szCs w:val="20"/>
                <w:color w:val="auto"/>
              </w:rPr>
            </w:pPr>
            <w:r>
              <w:rPr>
                <w:rFonts w:ascii="Times New Roman" w:cs="Times New Roman" w:eastAsia="Times New Roman" w:hAnsi="Times New Roman"/>
                <w:sz w:val="18"/>
                <w:szCs w:val="18"/>
                <w:color w:val="auto"/>
              </w:rPr>
              <w:t>Quarter Ended*</w:t>
            </w:r>
          </w:p>
        </w:tc>
        <w:tc>
          <w:tcPr>
            <w:tcW w:w="1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Change</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740" w:type="dxa"/>
            <w:vAlign w:val="bottom"/>
            <w:gridSpan w:val="2"/>
          </w:tcPr>
          <w:p>
            <w:pPr>
              <w:spacing w:after="0"/>
              <w:rPr>
                <w:sz w:val="20"/>
                <w:szCs w:val="20"/>
                <w:color w:val="auto"/>
              </w:rPr>
            </w:pPr>
            <w:r>
              <w:rPr>
                <w:rFonts w:ascii="Times New Roman" w:cs="Times New Roman" w:eastAsia="Times New Roman" w:hAnsi="Times New Roman"/>
                <w:sz w:val="18"/>
                <w:szCs w:val="18"/>
                <w:i w:val="1"/>
                <w:iCs w:val="1"/>
                <w:color w:val="auto"/>
              </w:rPr>
              <w:t>by type:</w:t>
            </w:r>
          </w:p>
        </w:tc>
        <w:tc>
          <w:tcPr>
            <w:tcW w:w="40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gridSpan w:val="3"/>
            <w:vMerge w:val="continue"/>
          </w:tcPr>
          <w:p>
            <w:pPr>
              <w:spacing w:after="0"/>
              <w:rPr>
                <w:sz w:val="19"/>
                <w:szCs w:val="19"/>
                <w:color w:val="auto"/>
              </w:rPr>
            </w:pPr>
          </w:p>
        </w:tc>
        <w:tc>
          <w:tcPr>
            <w:tcW w:w="154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vMerge w:val="continue"/>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March 2, 2019</w:t>
            </w:r>
          </w:p>
        </w:tc>
        <w:tc>
          <w:tcPr>
            <w:tcW w:w="6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February 24, 2018</w:t>
            </w:r>
          </w:p>
        </w:tc>
        <w:tc>
          <w:tcPr>
            <w:tcW w:w="54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color w:val="auto"/>
              </w:rPr>
              <w:t>Dollars</w:t>
            </w:r>
          </w:p>
        </w:tc>
        <w:tc>
          <w:tcPr>
            <w:tcW w:w="94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Percent</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7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172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Bassett Custom</w:t>
            </w:r>
          </w:p>
        </w:tc>
        <w:tc>
          <w:tcPr>
            <w:tcW w:w="400" w:type="dxa"/>
            <w:vAlign w:val="bottom"/>
            <w:shd w:val="clear" w:color="auto" w:fill="CCEEFF"/>
          </w:tcPr>
          <w:p>
            <w:pPr>
              <w:spacing w:after="0"/>
              <w:rPr>
                <w:sz w:val="17"/>
                <w:szCs w:val="17"/>
                <w:color w:val="auto"/>
              </w:rPr>
            </w:pPr>
          </w:p>
        </w:tc>
        <w:tc>
          <w:tcPr>
            <w:tcW w:w="16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7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Upholstery</w:t>
            </w:r>
          </w:p>
        </w:tc>
        <w:tc>
          <w:tcPr>
            <w:tcW w:w="400" w:type="dxa"/>
            <w:vAlign w:val="bottom"/>
            <w:shd w:val="clear" w:color="auto" w:fill="CCEEFF"/>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60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41,538</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57.1%</w:t>
            </w:r>
          </w:p>
        </w:tc>
        <w:tc>
          <w:tcPr>
            <w:tcW w:w="540" w:type="dxa"/>
            <w:vAlign w:val="bottom"/>
            <w:shd w:val="clear" w:color="auto" w:fill="CCEEFF"/>
          </w:tcPr>
          <w:p>
            <w:pPr>
              <w:jc w:val="right"/>
              <w:ind w:right="375"/>
              <w:spacing w:after="0"/>
              <w:rPr>
                <w:sz w:val="20"/>
                <w:szCs w:val="20"/>
                <w:color w:val="auto"/>
              </w:rPr>
            </w:pPr>
            <w:r>
              <w:rPr>
                <w:rFonts w:ascii="Times New Roman" w:cs="Times New Roman" w:eastAsia="Times New Roman" w:hAnsi="Times New Roman"/>
                <w:sz w:val="17"/>
                <w:szCs w:val="17"/>
                <w:color w:val="auto"/>
                <w:w w:val="70"/>
              </w:rPr>
              <w:t>$</w:t>
            </w:r>
          </w:p>
        </w:tc>
        <w:tc>
          <w:tcPr>
            <w:tcW w:w="154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33,568</w:t>
            </w: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53.2%</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7,970</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20" w:type="dxa"/>
            <w:vAlign w:val="bottom"/>
          </w:tcPr>
          <w:p>
            <w:pPr>
              <w:spacing w:after="0"/>
              <w:rPr>
                <w:sz w:val="20"/>
                <w:szCs w:val="20"/>
                <w:color w:val="auto"/>
              </w:rPr>
            </w:pPr>
            <w:r>
              <w:rPr>
                <w:rFonts w:ascii="Times New Roman" w:cs="Times New Roman" w:eastAsia="Times New Roman" w:hAnsi="Times New Roman"/>
                <w:sz w:val="18"/>
                <w:szCs w:val="18"/>
                <w:color w:val="auto"/>
              </w:rPr>
              <w:t>Bassett Leather</w:t>
            </w:r>
          </w:p>
        </w:tc>
        <w:tc>
          <w:tcPr>
            <w:tcW w:w="400" w:type="dxa"/>
            <w:vAlign w:val="bottom"/>
          </w:tcPr>
          <w:p>
            <w:pPr>
              <w:spacing w:after="0"/>
              <w:rPr>
                <w:sz w:val="18"/>
                <w:szCs w:val="18"/>
                <w:color w:val="auto"/>
              </w:rPr>
            </w:pPr>
          </w:p>
        </w:tc>
        <w:tc>
          <w:tcPr>
            <w:tcW w:w="160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5,771</w:t>
            </w: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7.9%</w:t>
            </w:r>
          </w:p>
        </w:tc>
        <w:tc>
          <w:tcPr>
            <w:tcW w:w="540" w:type="dxa"/>
            <w:vAlign w:val="bottom"/>
          </w:tcPr>
          <w:p>
            <w:pPr>
              <w:spacing w:after="0"/>
              <w:rPr>
                <w:sz w:val="18"/>
                <w:szCs w:val="18"/>
                <w:color w:val="auto"/>
              </w:rPr>
            </w:pPr>
          </w:p>
        </w:tc>
        <w:tc>
          <w:tcPr>
            <w:tcW w:w="1540" w:type="dxa"/>
            <w:vAlign w:val="bottom"/>
          </w:tcPr>
          <w:p>
            <w:pPr>
              <w:jc w:val="right"/>
              <w:ind w:right="790"/>
              <w:spacing w:after="0"/>
              <w:rPr>
                <w:sz w:val="20"/>
                <w:szCs w:val="20"/>
                <w:color w:val="auto"/>
              </w:rPr>
            </w:pPr>
            <w:r>
              <w:rPr>
                <w:rFonts w:ascii="Times New Roman" w:cs="Times New Roman" w:eastAsia="Times New Roman" w:hAnsi="Times New Roman"/>
                <w:sz w:val="18"/>
                <w:szCs w:val="18"/>
                <w:color w:val="auto"/>
              </w:rPr>
              <w:t>6,524</w:t>
            </w: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10.3%</w:t>
            </w:r>
          </w:p>
        </w:tc>
        <w:tc>
          <w:tcPr>
            <w:tcW w:w="220" w:type="dxa"/>
            <w:vAlign w:val="bottom"/>
          </w:tcPr>
          <w:p>
            <w:pPr>
              <w:spacing w:after="0"/>
              <w:rPr>
                <w:sz w:val="18"/>
                <w:szCs w:val="18"/>
                <w:color w:val="auto"/>
              </w:rPr>
            </w:pPr>
          </w:p>
        </w:tc>
        <w:tc>
          <w:tcPr>
            <w:tcW w:w="146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(753)</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Bassett Custom Wood</w:t>
            </w:r>
          </w:p>
        </w:tc>
        <w:tc>
          <w:tcPr>
            <w:tcW w:w="40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11,675</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16.0%</w:t>
            </w:r>
          </w:p>
        </w:tc>
        <w:tc>
          <w:tcPr>
            <w:tcW w:w="54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10,987</w:t>
            </w: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17.4%</w:t>
            </w:r>
          </w:p>
        </w:tc>
        <w:tc>
          <w:tcPr>
            <w:tcW w:w="220" w:type="dxa"/>
            <w:vAlign w:val="bottom"/>
            <w:shd w:val="clear" w:color="auto" w:fill="CCEEFF"/>
          </w:tcPr>
          <w:p>
            <w:pPr>
              <w:spacing w:after="0"/>
              <w:rPr>
                <w:sz w:val="18"/>
                <w:szCs w:val="18"/>
                <w:color w:val="auto"/>
              </w:rPr>
            </w:pPr>
          </w:p>
        </w:tc>
        <w:tc>
          <w:tcPr>
            <w:tcW w:w="14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688</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20" w:type="dxa"/>
            <w:vAlign w:val="bottom"/>
          </w:tcPr>
          <w:p>
            <w:pPr>
              <w:spacing w:after="0"/>
              <w:rPr>
                <w:sz w:val="20"/>
                <w:szCs w:val="20"/>
                <w:color w:val="auto"/>
              </w:rPr>
            </w:pPr>
            <w:r>
              <w:rPr>
                <w:rFonts w:ascii="Times New Roman" w:cs="Times New Roman" w:eastAsia="Times New Roman" w:hAnsi="Times New Roman"/>
                <w:sz w:val="18"/>
                <w:szCs w:val="18"/>
                <w:color w:val="auto"/>
              </w:rPr>
              <w:t>Bassett Casegoods</w:t>
            </w:r>
          </w:p>
        </w:tc>
        <w:tc>
          <w:tcPr>
            <w:tcW w:w="400" w:type="dxa"/>
            <w:vAlign w:val="bottom"/>
          </w:tcPr>
          <w:p>
            <w:pPr>
              <w:spacing w:after="0"/>
              <w:rPr>
                <w:sz w:val="18"/>
                <w:szCs w:val="18"/>
                <w:color w:val="auto"/>
              </w:rPr>
            </w:pPr>
          </w:p>
        </w:tc>
        <w:tc>
          <w:tcPr>
            <w:tcW w:w="160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12,640</w:t>
            </w: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17.4%</w:t>
            </w:r>
          </w:p>
        </w:tc>
        <w:tc>
          <w:tcPr>
            <w:tcW w:w="540" w:type="dxa"/>
            <w:vAlign w:val="bottom"/>
          </w:tcPr>
          <w:p>
            <w:pPr>
              <w:spacing w:after="0"/>
              <w:rPr>
                <w:sz w:val="18"/>
                <w:szCs w:val="18"/>
                <w:color w:val="auto"/>
              </w:rPr>
            </w:pPr>
          </w:p>
        </w:tc>
        <w:tc>
          <w:tcPr>
            <w:tcW w:w="1540" w:type="dxa"/>
            <w:vAlign w:val="bottom"/>
          </w:tcPr>
          <w:p>
            <w:pPr>
              <w:jc w:val="right"/>
              <w:ind w:right="790"/>
              <w:spacing w:after="0"/>
              <w:rPr>
                <w:sz w:val="20"/>
                <w:szCs w:val="20"/>
                <w:color w:val="auto"/>
              </w:rPr>
            </w:pPr>
            <w:r>
              <w:rPr>
                <w:rFonts w:ascii="Times New Roman" w:cs="Times New Roman" w:eastAsia="Times New Roman" w:hAnsi="Times New Roman"/>
                <w:sz w:val="18"/>
                <w:szCs w:val="18"/>
                <w:color w:val="auto"/>
              </w:rPr>
              <w:t>10,797</w:t>
            </w: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17.1%</w:t>
            </w:r>
          </w:p>
        </w:tc>
        <w:tc>
          <w:tcPr>
            <w:tcW w:w="220" w:type="dxa"/>
            <w:vAlign w:val="bottom"/>
          </w:tcPr>
          <w:p>
            <w:pPr>
              <w:spacing w:after="0"/>
              <w:rPr>
                <w:sz w:val="18"/>
                <w:szCs w:val="18"/>
                <w:color w:val="auto"/>
              </w:rPr>
            </w:pPr>
          </w:p>
        </w:tc>
        <w:tc>
          <w:tcPr>
            <w:tcW w:w="146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1,843</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Accessories</w:t>
            </w:r>
          </w:p>
        </w:tc>
        <w:tc>
          <w:tcPr>
            <w:tcW w:w="40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1,157</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1.6%</w:t>
            </w:r>
          </w:p>
        </w:tc>
        <w:tc>
          <w:tcPr>
            <w:tcW w:w="54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1,224</w:t>
            </w: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w:t>
            </w:r>
          </w:p>
        </w:tc>
        <w:tc>
          <w:tcPr>
            <w:tcW w:w="220" w:type="dxa"/>
            <w:vAlign w:val="bottom"/>
            <w:shd w:val="clear" w:color="auto" w:fill="CCEEFF"/>
          </w:tcPr>
          <w:p>
            <w:pPr>
              <w:spacing w:after="0"/>
              <w:rPr>
                <w:sz w:val="18"/>
                <w:szCs w:val="18"/>
                <w:color w:val="auto"/>
              </w:rPr>
            </w:pPr>
          </w:p>
        </w:tc>
        <w:tc>
          <w:tcPr>
            <w:tcW w:w="1460" w:type="dxa"/>
            <w:vAlign w:val="bottom"/>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(67)</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shd w:val="clear" w:color="auto" w:fill="CCEEFF"/>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w:t>
            </w:r>
          </w:p>
        </w:tc>
        <w:tc>
          <w:tcPr>
            <w:tcW w:w="400" w:type="dxa"/>
            <w:vAlign w:val="bottom"/>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60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72,781</w:t>
            </w: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540" w:type="dxa"/>
            <w:vAlign w:val="bottom"/>
          </w:tcPr>
          <w:p>
            <w:pPr>
              <w:jc w:val="right"/>
              <w:ind w:right="375"/>
              <w:spacing w:after="0"/>
              <w:rPr>
                <w:sz w:val="20"/>
                <w:szCs w:val="20"/>
                <w:color w:val="auto"/>
              </w:rPr>
            </w:pPr>
            <w:r>
              <w:rPr>
                <w:rFonts w:ascii="Times New Roman" w:cs="Times New Roman" w:eastAsia="Times New Roman" w:hAnsi="Times New Roman"/>
                <w:sz w:val="17"/>
                <w:szCs w:val="17"/>
                <w:color w:val="auto"/>
                <w:w w:val="70"/>
              </w:rPr>
              <w:t>$</w:t>
            </w:r>
          </w:p>
        </w:tc>
        <w:tc>
          <w:tcPr>
            <w:tcW w:w="1540" w:type="dxa"/>
            <w:vAlign w:val="bottom"/>
          </w:tcPr>
          <w:p>
            <w:pPr>
              <w:jc w:val="right"/>
              <w:ind w:right="790"/>
              <w:spacing w:after="0"/>
              <w:rPr>
                <w:sz w:val="20"/>
                <w:szCs w:val="20"/>
                <w:color w:val="auto"/>
              </w:rPr>
            </w:pPr>
            <w:r>
              <w:rPr>
                <w:rFonts w:ascii="Times New Roman" w:cs="Times New Roman" w:eastAsia="Times New Roman" w:hAnsi="Times New Roman"/>
                <w:sz w:val="18"/>
                <w:szCs w:val="18"/>
                <w:color w:val="auto"/>
              </w:rPr>
              <w:t>63,100</w:t>
            </w: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9,681</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15.3%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*14 weeks for fiscal 2019 as compared with 13 weeks for fiscal 2018.</w:t>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Wholesale Backlog</w:t>
      </w:r>
    </w:p>
    <w:p>
      <w:pPr>
        <w:spacing w:after="0" w:line="22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dollar value of wholesale backlog, representing orders received but not yet shipped to dealers and Company stores, was $13,657 at March 2, 2019 as compared with $17,098 at February 24, 2018.</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8" w:name="page29"/>
    <w:bookmarkEnd w:id="28"/>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Retail – Company-owned Stores Segment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Results for the retail segment for the three months ended March 2, 2019 and February 24, 2018 are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gridSpan w:val="3"/>
          </w:tcPr>
          <w:p>
            <w:pPr>
              <w:jc w:val="right"/>
              <w:ind w:right="15"/>
              <w:spacing w:after="0"/>
              <w:rPr>
                <w:sz w:val="20"/>
                <w:szCs w:val="20"/>
                <w:color w:val="auto"/>
              </w:rPr>
            </w:pPr>
            <w:r>
              <w:rPr>
                <w:rFonts w:ascii="Times New Roman" w:cs="Times New Roman" w:eastAsia="Times New Roman" w:hAnsi="Times New Roman"/>
                <w:sz w:val="18"/>
                <w:szCs w:val="18"/>
                <w:color w:val="auto"/>
              </w:rPr>
              <w:t>Quarter Ended*</w:t>
            </w:r>
          </w:p>
        </w:tc>
        <w:tc>
          <w:tcPr>
            <w:tcW w:w="1540" w:type="dxa"/>
            <w:vAlign w:val="bottom"/>
            <w:tcBorders>
              <w:bottom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Change</w:t>
            </w:r>
          </w:p>
        </w:tc>
        <w:tc>
          <w:tcPr>
            <w:tcW w:w="940" w:type="dxa"/>
            <w:vAlign w:val="bottom"/>
            <w:tcBorders>
              <w:bottom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March 2, 2019</w:t>
            </w:r>
          </w:p>
        </w:tc>
        <w:tc>
          <w:tcPr>
            <w:tcW w:w="6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February 24, 2018</w:t>
            </w:r>
          </w:p>
        </w:tc>
        <w:tc>
          <w:tcPr>
            <w:tcW w:w="54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color w:val="auto"/>
              </w:rPr>
              <w:t>Dollars</w:t>
            </w:r>
          </w:p>
        </w:tc>
        <w:tc>
          <w:tcPr>
            <w:tcW w:w="94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Percent</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7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400" w:type="dxa"/>
            <w:vAlign w:val="bottom"/>
            <w:shd w:val="clear" w:color="auto" w:fill="CCEEFF"/>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60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69,629</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540" w:type="dxa"/>
            <w:vAlign w:val="bottom"/>
            <w:shd w:val="clear" w:color="auto" w:fill="CCEEFF"/>
          </w:tcPr>
          <w:p>
            <w:pPr>
              <w:jc w:val="right"/>
              <w:ind w:right="375"/>
              <w:spacing w:after="0"/>
              <w:rPr>
                <w:sz w:val="20"/>
                <w:szCs w:val="20"/>
                <w:color w:val="auto"/>
              </w:rPr>
            </w:pPr>
            <w:r>
              <w:rPr>
                <w:rFonts w:ascii="Times New Roman" w:cs="Times New Roman" w:eastAsia="Times New Roman" w:hAnsi="Times New Roman"/>
                <w:sz w:val="17"/>
                <w:szCs w:val="17"/>
                <w:color w:val="auto"/>
                <w:w w:val="70"/>
              </w:rPr>
              <w:t>$</w:t>
            </w:r>
          </w:p>
        </w:tc>
        <w:tc>
          <w:tcPr>
            <w:tcW w:w="154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64,661</w:t>
            </w: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4,968</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7.7%</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720" w:type="dxa"/>
            <w:vAlign w:val="bottom"/>
            <w:shd w:val="clear" w:color="auto" w:fill="CCEEFF"/>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72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400" w:type="dxa"/>
            <w:vAlign w:val="bottom"/>
          </w:tcPr>
          <w:p>
            <w:pPr>
              <w:spacing w:after="0"/>
              <w:rPr>
                <w:sz w:val="18"/>
                <w:szCs w:val="18"/>
                <w:color w:val="auto"/>
              </w:rPr>
            </w:pPr>
          </w:p>
        </w:tc>
        <w:tc>
          <w:tcPr>
            <w:tcW w:w="160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34,678</w:t>
            </w: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49.8%</w:t>
            </w:r>
          </w:p>
        </w:tc>
        <w:tc>
          <w:tcPr>
            <w:tcW w:w="540" w:type="dxa"/>
            <w:vAlign w:val="bottom"/>
          </w:tcPr>
          <w:p>
            <w:pPr>
              <w:spacing w:after="0"/>
              <w:rPr>
                <w:sz w:val="18"/>
                <w:szCs w:val="18"/>
                <w:color w:val="auto"/>
              </w:rPr>
            </w:pPr>
          </w:p>
        </w:tc>
        <w:tc>
          <w:tcPr>
            <w:tcW w:w="1540" w:type="dxa"/>
            <w:vAlign w:val="bottom"/>
          </w:tcPr>
          <w:p>
            <w:pPr>
              <w:jc w:val="right"/>
              <w:ind w:right="790"/>
              <w:spacing w:after="0"/>
              <w:rPr>
                <w:sz w:val="20"/>
                <w:szCs w:val="20"/>
                <w:color w:val="auto"/>
              </w:rPr>
            </w:pPr>
            <w:r>
              <w:rPr>
                <w:rFonts w:ascii="Times New Roman" w:cs="Times New Roman" w:eastAsia="Times New Roman" w:hAnsi="Times New Roman"/>
                <w:sz w:val="18"/>
                <w:szCs w:val="18"/>
                <w:color w:val="auto"/>
              </w:rPr>
              <w:t>32,667</w:t>
            </w: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50.5%</w:t>
            </w:r>
          </w:p>
        </w:tc>
        <w:tc>
          <w:tcPr>
            <w:tcW w:w="220" w:type="dxa"/>
            <w:vAlign w:val="bottom"/>
          </w:tcPr>
          <w:p>
            <w:pPr>
              <w:spacing w:after="0"/>
              <w:rPr>
                <w:sz w:val="18"/>
                <w:szCs w:val="18"/>
                <w:color w:val="auto"/>
              </w:rPr>
            </w:pPr>
          </w:p>
        </w:tc>
        <w:tc>
          <w:tcPr>
            <w:tcW w:w="146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2,011</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40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37,230</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53.5%</w:t>
            </w:r>
          </w:p>
        </w:tc>
        <w:tc>
          <w:tcPr>
            <w:tcW w:w="54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33,478</w:t>
            </w: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51.8%</w:t>
            </w:r>
          </w:p>
        </w:tc>
        <w:tc>
          <w:tcPr>
            <w:tcW w:w="220" w:type="dxa"/>
            <w:vAlign w:val="bottom"/>
            <w:shd w:val="clear" w:color="auto" w:fill="CCEEFF"/>
          </w:tcPr>
          <w:p>
            <w:pPr>
              <w:spacing w:after="0"/>
              <w:rPr>
                <w:sz w:val="18"/>
                <w:szCs w:val="18"/>
                <w:color w:val="auto"/>
              </w:rPr>
            </w:pPr>
          </w:p>
        </w:tc>
        <w:tc>
          <w:tcPr>
            <w:tcW w:w="14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3,752</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11.2%</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72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New store pre-</w:t>
            </w:r>
          </w:p>
        </w:tc>
        <w:tc>
          <w:tcPr>
            <w:tcW w:w="400" w:type="dxa"/>
            <w:vAlign w:val="bottom"/>
          </w:tcPr>
          <w:p>
            <w:pPr>
              <w:spacing w:after="0"/>
              <w:rPr>
                <w:sz w:val="17"/>
                <w:szCs w:val="17"/>
                <w:color w:val="auto"/>
              </w:rPr>
            </w:pPr>
          </w:p>
        </w:tc>
        <w:tc>
          <w:tcPr>
            <w:tcW w:w="1600" w:type="dxa"/>
            <w:vAlign w:val="bottom"/>
            <w:vMerge w:val="restart"/>
          </w:tcPr>
          <w:p>
            <w:pPr>
              <w:jc w:val="right"/>
              <w:ind w:right="690"/>
              <w:spacing w:after="0"/>
              <w:rPr>
                <w:sz w:val="20"/>
                <w:szCs w:val="20"/>
                <w:color w:val="auto"/>
              </w:rPr>
            </w:pPr>
            <w:r>
              <w:rPr>
                <w:rFonts w:ascii="Times New Roman" w:cs="Times New Roman" w:eastAsia="Times New Roman" w:hAnsi="Times New Roman"/>
                <w:sz w:val="18"/>
                <w:szCs w:val="18"/>
                <w:color w:val="auto"/>
              </w:rPr>
              <w:t>494</w:t>
            </w:r>
          </w:p>
        </w:tc>
        <w:tc>
          <w:tcPr>
            <w:tcW w:w="8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0.7%</w:t>
            </w:r>
          </w:p>
        </w:tc>
        <w:tc>
          <w:tcPr>
            <w:tcW w:w="540" w:type="dxa"/>
            <w:vAlign w:val="bottom"/>
          </w:tcPr>
          <w:p>
            <w:pPr>
              <w:spacing w:after="0"/>
              <w:rPr>
                <w:sz w:val="17"/>
                <w:szCs w:val="17"/>
                <w:color w:val="auto"/>
              </w:rPr>
            </w:pPr>
          </w:p>
        </w:tc>
        <w:tc>
          <w:tcPr>
            <w:tcW w:w="1540" w:type="dxa"/>
            <w:vAlign w:val="bottom"/>
            <w:vMerge w:val="restart"/>
          </w:tcPr>
          <w:p>
            <w:pPr>
              <w:jc w:val="right"/>
              <w:ind w:right="790"/>
              <w:spacing w:after="0"/>
              <w:rPr>
                <w:sz w:val="20"/>
                <w:szCs w:val="20"/>
                <w:color w:val="auto"/>
              </w:rPr>
            </w:pPr>
            <w:r>
              <w:rPr>
                <w:rFonts w:ascii="Times New Roman" w:cs="Times New Roman" w:eastAsia="Times New Roman" w:hAnsi="Times New Roman"/>
                <w:sz w:val="18"/>
                <w:szCs w:val="18"/>
                <w:color w:val="auto"/>
              </w:rPr>
              <w:t>702</w:t>
            </w:r>
          </w:p>
        </w:tc>
        <w:tc>
          <w:tcPr>
            <w:tcW w:w="7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color w:val="auto"/>
              </w:rPr>
              <w:t>1.1%</w:t>
            </w:r>
          </w:p>
        </w:tc>
        <w:tc>
          <w:tcPr>
            <w:tcW w:w="220" w:type="dxa"/>
            <w:vAlign w:val="bottom"/>
          </w:tcPr>
          <w:p>
            <w:pPr>
              <w:spacing w:after="0"/>
              <w:rPr>
                <w:sz w:val="17"/>
                <w:szCs w:val="17"/>
                <w:color w:val="auto"/>
              </w:rPr>
            </w:pPr>
          </w:p>
        </w:tc>
        <w:tc>
          <w:tcPr>
            <w:tcW w:w="1460" w:type="dxa"/>
            <w:vAlign w:val="bottom"/>
            <w:vMerge w:val="restart"/>
          </w:tcPr>
          <w:p>
            <w:pPr>
              <w:jc w:val="right"/>
              <w:ind w:right="310"/>
              <w:spacing w:after="0"/>
              <w:rPr>
                <w:sz w:val="20"/>
                <w:szCs w:val="20"/>
                <w:color w:val="auto"/>
              </w:rPr>
            </w:pPr>
            <w:r>
              <w:rPr>
                <w:rFonts w:ascii="Times New Roman" w:cs="Times New Roman" w:eastAsia="Times New Roman" w:hAnsi="Times New Roman"/>
                <w:sz w:val="18"/>
                <w:szCs w:val="18"/>
                <w:color w:val="auto"/>
              </w:rPr>
              <w:t>(208)</w:t>
            </w:r>
          </w:p>
        </w:tc>
        <w:tc>
          <w:tcPr>
            <w:tcW w:w="11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color w:val="auto"/>
              </w:rPr>
              <w:t>-29.6%</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7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opening costs</w:t>
            </w:r>
          </w:p>
        </w:tc>
        <w:tc>
          <w:tcPr>
            <w:tcW w:w="400" w:type="dxa"/>
            <w:vAlign w:val="bottom"/>
          </w:tcPr>
          <w:p>
            <w:pPr>
              <w:spacing w:after="0"/>
              <w:rPr>
                <w:sz w:val="19"/>
                <w:szCs w:val="19"/>
                <w:color w:val="auto"/>
              </w:rPr>
            </w:pPr>
          </w:p>
        </w:tc>
        <w:tc>
          <w:tcPr>
            <w:tcW w:w="1600" w:type="dxa"/>
            <w:vAlign w:val="bottom"/>
            <w:vMerge w:val="continue"/>
          </w:tcPr>
          <w:p>
            <w:pPr>
              <w:spacing w:after="0"/>
              <w:rPr>
                <w:sz w:val="19"/>
                <w:szCs w:val="19"/>
                <w:color w:val="auto"/>
              </w:rPr>
            </w:pPr>
          </w:p>
        </w:tc>
        <w:tc>
          <w:tcPr>
            <w:tcW w:w="880" w:type="dxa"/>
            <w:vAlign w:val="bottom"/>
            <w:gridSpan w:val="2"/>
            <w:vMerge w:val="continue"/>
          </w:tcPr>
          <w:p>
            <w:pPr>
              <w:spacing w:after="0"/>
              <w:rPr>
                <w:sz w:val="19"/>
                <w:szCs w:val="19"/>
                <w:color w:val="auto"/>
              </w:rPr>
            </w:pPr>
          </w:p>
        </w:tc>
        <w:tc>
          <w:tcPr>
            <w:tcW w:w="540" w:type="dxa"/>
            <w:vAlign w:val="bottom"/>
          </w:tcPr>
          <w:p>
            <w:pPr>
              <w:spacing w:after="0"/>
              <w:rPr>
                <w:sz w:val="19"/>
                <w:szCs w:val="19"/>
                <w:color w:val="auto"/>
              </w:rPr>
            </w:pPr>
          </w:p>
        </w:tc>
        <w:tc>
          <w:tcPr>
            <w:tcW w:w="1540" w:type="dxa"/>
            <w:vAlign w:val="bottom"/>
            <w:vMerge w:val="continue"/>
          </w:tcPr>
          <w:p>
            <w:pPr>
              <w:spacing w:after="0"/>
              <w:rPr>
                <w:sz w:val="19"/>
                <w:szCs w:val="19"/>
                <w:color w:val="auto"/>
              </w:rPr>
            </w:pPr>
          </w:p>
        </w:tc>
        <w:tc>
          <w:tcPr>
            <w:tcW w:w="780" w:type="dxa"/>
            <w:vAlign w:val="bottom"/>
            <w:gridSpan w:val="2"/>
            <w:vMerge w:val="continue"/>
          </w:tcPr>
          <w:p>
            <w:pPr>
              <w:spacing w:after="0"/>
              <w:rPr>
                <w:sz w:val="19"/>
                <w:szCs w:val="19"/>
                <w:color w:val="auto"/>
              </w:rPr>
            </w:pPr>
          </w:p>
        </w:tc>
        <w:tc>
          <w:tcPr>
            <w:tcW w:w="220" w:type="dxa"/>
            <w:vAlign w:val="bottom"/>
          </w:tcPr>
          <w:p>
            <w:pPr>
              <w:spacing w:after="0"/>
              <w:rPr>
                <w:sz w:val="19"/>
                <w:szCs w:val="19"/>
                <w:color w:val="auto"/>
              </w:rPr>
            </w:pPr>
          </w:p>
        </w:tc>
        <w:tc>
          <w:tcPr>
            <w:tcW w:w="1460" w:type="dxa"/>
            <w:vAlign w:val="bottom"/>
            <w:vMerge w:val="continue"/>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1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Loss from operations</w:t>
            </w:r>
          </w:p>
        </w:tc>
        <w:tc>
          <w:tcPr>
            <w:tcW w:w="400" w:type="dxa"/>
            <w:vAlign w:val="bottom"/>
            <w:shd w:val="clear" w:color="auto" w:fill="CCEEFF"/>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600" w:type="dxa"/>
            <w:vAlign w:val="bottom"/>
            <w:shd w:val="clear" w:color="auto" w:fill="CCEEFF"/>
          </w:tcPr>
          <w:p>
            <w:pPr>
              <w:jc w:val="right"/>
              <w:ind w:right="630"/>
              <w:spacing w:after="0"/>
              <w:rPr>
                <w:sz w:val="20"/>
                <w:szCs w:val="20"/>
                <w:color w:val="auto"/>
              </w:rPr>
            </w:pPr>
            <w:r>
              <w:rPr>
                <w:rFonts w:ascii="Times New Roman" w:cs="Times New Roman" w:eastAsia="Times New Roman" w:hAnsi="Times New Roman"/>
                <w:sz w:val="18"/>
                <w:szCs w:val="18"/>
                <w:color w:val="auto"/>
              </w:rPr>
              <w:t>(3,046)</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-4.4%</w:t>
            </w:r>
          </w:p>
        </w:tc>
        <w:tc>
          <w:tcPr>
            <w:tcW w:w="540" w:type="dxa"/>
            <w:vAlign w:val="bottom"/>
            <w:shd w:val="clear" w:color="auto" w:fill="CCEEFF"/>
          </w:tcPr>
          <w:p>
            <w:pPr>
              <w:jc w:val="right"/>
              <w:ind w:right="375"/>
              <w:spacing w:after="0"/>
              <w:rPr>
                <w:sz w:val="20"/>
                <w:szCs w:val="20"/>
                <w:color w:val="auto"/>
              </w:rPr>
            </w:pPr>
            <w:r>
              <w:rPr>
                <w:rFonts w:ascii="Times New Roman" w:cs="Times New Roman" w:eastAsia="Times New Roman" w:hAnsi="Times New Roman"/>
                <w:sz w:val="17"/>
                <w:szCs w:val="17"/>
                <w:color w:val="auto"/>
                <w:w w:val="70"/>
              </w:rPr>
              <w:t>$</w:t>
            </w:r>
          </w:p>
        </w:tc>
        <w:tc>
          <w:tcPr>
            <w:tcW w:w="1540" w:type="dxa"/>
            <w:vAlign w:val="bottom"/>
            <w:shd w:val="clear" w:color="auto" w:fill="CCEEFF"/>
          </w:tcPr>
          <w:p>
            <w:pPr>
              <w:jc w:val="right"/>
              <w:ind w:right="730"/>
              <w:spacing w:after="0"/>
              <w:rPr>
                <w:sz w:val="20"/>
                <w:szCs w:val="20"/>
                <w:color w:val="auto"/>
              </w:rPr>
            </w:pPr>
            <w:r>
              <w:rPr>
                <w:rFonts w:ascii="Times New Roman" w:cs="Times New Roman" w:eastAsia="Times New Roman" w:hAnsi="Times New Roman"/>
                <w:sz w:val="18"/>
                <w:szCs w:val="18"/>
                <w:color w:val="auto"/>
              </w:rPr>
              <w:t>(1,513)</w:t>
            </w: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-2.3%</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(1,533)</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101.3%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1600" w:type="dxa"/>
            <w:vAlign w:val="bottom"/>
            <w:tcBorders>
              <w:top w:val="single" w:sz="8" w:color="auto"/>
            </w:tcBorders>
            <w:shd w:val="clear" w:color="auto" w:fill="000000"/>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154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46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Results for comparable stores</w:t>
      </w:r>
      <w:r>
        <w:rPr>
          <w:rFonts w:ascii="Times New Roman" w:cs="Times New Roman" w:eastAsia="Times New Roman" w:hAnsi="Times New Roman"/>
          <w:sz w:val="30"/>
          <w:szCs w:val="30"/>
          <w:color w:val="auto"/>
          <w:vertAlign w:val="superscript"/>
        </w:rPr>
        <w:t>†</w:t>
      </w:r>
      <w:r>
        <w:rPr>
          <w:rFonts w:ascii="Times New Roman" w:cs="Times New Roman" w:eastAsia="Times New Roman" w:hAnsi="Times New Roman"/>
          <w:sz w:val="18"/>
          <w:szCs w:val="18"/>
          <w:color w:val="auto"/>
        </w:rPr>
        <w:t xml:space="preserve"> (57 stores) are as follows:</w:t>
      </w:r>
    </w:p>
    <w:p>
      <w:pPr>
        <w:spacing w:after="0" w:line="34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gridSpan w:val="3"/>
          </w:tcPr>
          <w:p>
            <w:pPr>
              <w:jc w:val="right"/>
              <w:ind w:right="15"/>
              <w:spacing w:after="0"/>
              <w:rPr>
                <w:sz w:val="20"/>
                <w:szCs w:val="20"/>
                <w:color w:val="auto"/>
              </w:rPr>
            </w:pPr>
            <w:r>
              <w:rPr>
                <w:rFonts w:ascii="Times New Roman" w:cs="Times New Roman" w:eastAsia="Times New Roman" w:hAnsi="Times New Roman"/>
                <w:sz w:val="18"/>
                <w:szCs w:val="18"/>
                <w:color w:val="auto"/>
              </w:rPr>
              <w:t>Quarter Ended*</w:t>
            </w:r>
          </w:p>
        </w:tc>
        <w:tc>
          <w:tcPr>
            <w:tcW w:w="1540" w:type="dxa"/>
            <w:vAlign w:val="bottom"/>
            <w:tcBorders>
              <w:bottom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Change</w:t>
            </w:r>
          </w:p>
        </w:tc>
        <w:tc>
          <w:tcPr>
            <w:tcW w:w="940" w:type="dxa"/>
            <w:vAlign w:val="bottom"/>
            <w:tcBorders>
              <w:bottom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March 2, 2019</w:t>
            </w:r>
          </w:p>
        </w:tc>
        <w:tc>
          <w:tcPr>
            <w:tcW w:w="6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February 24, 2018</w:t>
            </w:r>
          </w:p>
        </w:tc>
        <w:tc>
          <w:tcPr>
            <w:tcW w:w="54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color w:val="auto"/>
              </w:rPr>
              <w:t>Dollars</w:t>
            </w:r>
          </w:p>
        </w:tc>
        <w:tc>
          <w:tcPr>
            <w:tcW w:w="94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Percent</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7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400" w:type="dxa"/>
            <w:vAlign w:val="bottom"/>
            <w:shd w:val="clear" w:color="auto" w:fill="CCEEFF"/>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60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63,131</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540" w:type="dxa"/>
            <w:vAlign w:val="bottom"/>
            <w:shd w:val="clear" w:color="auto" w:fill="CCEEFF"/>
          </w:tcPr>
          <w:p>
            <w:pPr>
              <w:jc w:val="right"/>
              <w:ind w:right="375"/>
              <w:spacing w:after="0"/>
              <w:rPr>
                <w:sz w:val="20"/>
                <w:szCs w:val="20"/>
                <w:color w:val="auto"/>
              </w:rPr>
            </w:pPr>
            <w:r>
              <w:rPr>
                <w:rFonts w:ascii="Times New Roman" w:cs="Times New Roman" w:eastAsia="Times New Roman" w:hAnsi="Times New Roman"/>
                <w:sz w:val="17"/>
                <w:szCs w:val="17"/>
                <w:color w:val="auto"/>
                <w:w w:val="70"/>
              </w:rPr>
              <w:t>$</w:t>
            </w:r>
          </w:p>
        </w:tc>
        <w:tc>
          <w:tcPr>
            <w:tcW w:w="154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62,988</w:t>
            </w: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143</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0.2%</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720" w:type="dxa"/>
            <w:vAlign w:val="bottom"/>
            <w:shd w:val="clear" w:color="auto" w:fill="CCEEFF"/>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72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400" w:type="dxa"/>
            <w:vAlign w:val="bottom"/>
          </w:tcPr>
          <w:p>
            <w:pPr>
              <w:spacing w:after="0"/>
              <w:rPr>
                <w:sz w:val="18"/>
                <w:szCs w:val="18"/>
                <w:color w:val="auto"/>
              </w:rPr>
            </w:pPr>
          </w:p>
        </w:tc>
        <w:tc>
          <w:tcPr>
            <w:tcW w:w="160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31,537</w:t>
            </w: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50.0%</w:t>
            </w:r>
          </w:p>
        </w:tc>
        <w:tc>
          <w:tcPr>
            <w:tcW w:w="540" w:type="dxa"/>
            <w:vAlign w:val="bottom"/>
          </w:tcPr>
          <w:p>
            <w:pPr>
              <w:spacing w:after="0"/>
              <w:rPr>
                <w:sz w:val="18"/>
                <w:szCs w:val="18"/>
                <w:color w:val="auto"/>
              </w:rPr>
            </w:pPr>
          </w:p>
        </w:tc>
        <w:tc>
          <w:tcPr>
            <w:tcW w:w="1540" w:type="dxa"/>
            <w:vAlign w:val="bottom"/>
          </w:tcPr>
          <w:p>
            <w:pPr>
              <w:jc w:val="right"/>
              <w:ind w:right="790"/>
              <w:spacing w:after="0"/>
              <w:rPr>
                <w:sz w:val="20"/>
                <w:szCs w:val="20"/>
                <w:color w:val="auto"/>
              </w:rPr>
            </w:pPr>
            <w:r>
              <w:rPr>
                <w:rFonts w:ascii="Times New Roman" w:cs="Times New Roman" w:eastAsia="Times New Roman" w:hAnsi="Times New Roman"/>
                <w:sz w:val="18"/>
                <w:szCs w:val="18"/>
                <w:color w:val="auto"/>
              </w:rPr>
              <w:t>31,922</w:t>
            </w: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50.7%</w:t>
            </w:r>
          </w:p>
        </w:tc>
        <w:tc>
          <w:tcPr>
            <w:tcW w:w="220" w:type="dxa"/>
            <w:vAlign w:val="bottom"/>
          </w:tcPr>
          <w:p>
            <w:pPr>
              <w:spacing w:after="0"/>
              <w:rPr>
                <w:sz w:val="18"/>
                <w:szCs w:val="18"/>
                <w:color w:val="auto"/>
              </w:rPr>
            </w:pPr>
          </w:p>
        </w:tc>
        <w:tc>
          <w:tcPr>
            <w:tcW w:w="146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(385)</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400" w:type="dxa"/>
            <w:vAlign w:val="bottom"/>
            <w:shd w:val="clear" w:color="auto" w:fill="CCEEFF"/>
          </w:tcPr>
          <w:p>
            <w:pPr>
              <w:spacing w:after="0"/>
              <w:rPr>
                <w:sz w:val="18"/>
                <w:szCs w:val="18"/>
                <w:color w:val="auto"/>
              </w:rPr>
            </w:pPr>
          </w:p>
        </w:tc>
        <w:tc>
          <w:tcPr>
            <w:tcW w:w="160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32,618</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51.7%</w:t>
            </w:r>
          </w:p>
        </w:tc>
        <w:tc>
          <w:tcPr>
            <w:tcW w:w="54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31,574</w:t>
            </w:r>
          </w:p>
        </w:tc>
        <w:tc>
          <w:tcPr>
            <w:tcW w:w="7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50.1%</w:t>
            </w:r>
          </w:p>
        </w:tc>
        <w:tc>
          <w:tcPr>
            <w:tcW w:w="220" w:type="dxa"/>
            <w:vAlign w:val="bottom"/>
            <w:shd w:val="clear" w:color="auto" w:fill="CCEEFF"/>
          </w:tcPr>
          <w:p>
            <w:pPr>
              <w:spacing w:after="0"/>
              <w:rPr>
                <w:sz w:val="18"/>
                <w:szCs w:val="18"/>
                <w:color w:val="auto"/>
              </w:rPr>
            </w:pPr>
          </w:p>
        </w:tc>
        <w:tc>
          <w:tcPr>
            <w:tcW w:w="14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1,044</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shd w:val="clear" w:color="auto" w:fill="CCEEFF"/>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Loss from operations</w:t>
            </w:r>
          </w:p>
        </w:tc>
        <w:tc>
          <w:tcPr>
            <w:tcW w:w="400" w:type="dxa"/>
            <w:vAlign w:val="bottom"/>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60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rPr>
              <w:t>(1,081)</w:t>
            </w: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-1.7%</w:t>
            </w:r>
          </w:p>
        </w:tc>
        <w:tc>
          <w:tcPr>
            <w:tcW w:w="540" w:type="dxa"/>
            <w:vAlign w:val="bottom"/>
          </w:tcPr>
          <w:p>
            <w:pPr>
              <w:jc w:val="right"/>
              <w:ind w:right="375"/>
              <w:spacing w:after="0"/>
              <w:rPr>
                <w:sz w:val="20"/>
                <w:szCs w:val="20"/>
                <w:color w:val="auto"/>
              </w:rPr>
            </w:pPr>
            <w:r>
              <w:rPr>
                <w:rFonts w:ascii="Times New Roman" w:cs="Times New Roman" w:eastAsia="Times New Roman" w:hAnsi="Times New Roman"/>
                <w:sz w:val="17"/>
                <w:szCs w:val="17"/>
                <w:color w:val="auto"/>
                <w:w w:val="70"/>
              </w:rPr>
              <w:t>$</w:t>
            </w:r>
          </w:p>
        </w:tc>
        <w:tc>
          <w:tcPr>
            <w:tcW w:w="1540" w:type="dxa"/>
            <w:vAlign w:val="bottom"/>
          </w:tcPr>
          <w:p>
            <w:pPr>
              <w:jc w:val="right"/>
              <w:ind w:right="790"/>
              <w:spacing w:after="0"/>
              <w:rPr>
                <w:sz w:val="20"/>
                <w:szCs w:val="20"/>
                <w:color w:val="auto"/>
              </w:rPr>
            </w:pPr>
            <w:r>
              <w:rPr>
                <w:rFonts w:ascii="Times New Roman" w:cs="Times New Roman" w:eastAsia="Times New Roman" w:hAnsi="Times New Roman"/>
                <w:sz w:val="18"/>
                <w:szCs w:val="18"/>
                <w:color w:val="auto"/>
              </w:rPr>
              <w:t>348</w:t>
            </w: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0.6%</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(1,429)</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-410.6%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8" w:lineRule="exact"/>
        <w:rPr>
          <w:sz w:val="20"/>
          <w:szCs w:val="20"/>
          <w:color w:val="auto"/>
        </w:rPr>
      </w:pPr>
    </w:p>
    <w:p>
      <w:pPr>
        <w:ind w:right="780" w:firstLine="8"/>
        <w:spacing w:after="0" w:line="372" w:lineRule="auto"/>
        <w:tabs>
          <w:tab w:leader="none" w:pos="120" w:val="left"/>
        </w:tabs>
        <w:numPr>
          <w:ilvl w:val="0"/>
          <w:numId w:val="9"/>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“Comparable” stores include only those locations that have been open and operated by the Company for all of each respective comparable period. Results for all other stores are as follows:</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gridSpan w:val="3"/>
          </w:tcPr>
          <w:p>
            <w:pPr>
              <w:jc w:val="right"/>
              <w:ind w:right="15"/>
              <w:spacing w:after="0"/>
              <w:rPr>
                <w:sz w:val="20"/>
                <w:szCs w:val="20"/>
                <w:color w:val="auto"/>
              </w:rPr>
            </w:pPr>
            <w:r>
              <w:rPr>
                <w:rFonts w:ascii="Times New Roman" w:cs="Times New Roman" w:eastAsia="Times New Roman" w:hAnsi="Times New Roman"/>
                <w:sz w:val="18"/>
                <w:szCs w:val="18"/>
                <w:color w:val="auto"/>
              </w:rPr>
              <w:t>Quarter Ended*</w:t>
            </w:r>
          </w:p>
        </w:tc>
        <w:tc>
          <w:tcPr>
            <w:tcW w:w="15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Change</w:t>
            </w:r>
          </w:p>
        </w:tc>
        <w:tc>
          <w:tcPr>
            <w:tcW w:w="940" w:type="dxa"/>
            <w:vAlign w:val="bottom"/>
            <w:tcBorders>
              <w:bottom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58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March 2, 2019</w:t>
            </w:r>
          </w:p>
        </w:tc>
        <w:tc>
          <w:tcPr>
            <w:tcW w:w="62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February 24, 2018</w:t>
            </w:r>
          </w:p>
        </w:tc>
        <w:tc>
          <w:tcPr>
            <w:tcW w:w="56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color w:val="auto"/>
              </w:rPr>
              <w:t>Dollars</w:t>
            </w:r>
          </w:p>
        </w:tc>
        <w:tc>
          <w:tcPr>
            <w:tcW w:w="94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Percent</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7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w:t>
            </w:r>
          </w:p>
        </w:tc>
        <w:tc>
          <w:tcPr>
            <w:tcW w:w="420" w:type="dxa"/>
            <w:vAlign w:val="bottom"/>
            <w:shd w:val="clear" w:color="auto" w:fill="CCEEFF"/>
          </w:tcPr>
          <w:p>
            <w:pPr>
              <w:jc w:val="right"/>
              <w:ind w:right="255"/>
              <w:spacing w:after="0"/>
              <w:rPr>
                <w:sz w:val="20"/>
                <w:szCs w:val="20"/>
                <w:color w:val="auto"/>
              </w:rPr>
            </w:pPr>
            <w:r>
              <w:rPr>
                <w:rFonts w:ascii="Times New Roman" w:cs="Times New Roman" w:eastAsia="Times New Roman" w:hAnsi="Times New Roman"/>
                <w:sz w:val="17"/>
                <w:szCs w:val="17"/>
                <w:color w:val="auto"/>
                <w:w w:val="70"/>
              </w:rPr>
              <w:t>$</w:t>
            </w:r>
          </w:p>
        </w:tc>
        <w:tc>
          <w:tcPr>
            <w:tcW w:w="158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6,498</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540" w:type="dxa"/>
            <w:vAlign w:val="bottom"/>
            <w:shd w:val="clear" w:color="auto" w:fill="CCEEFF"/>
          </w:tcPr>
          <w:p>
            <w:pPr>
              <w:jc w:val="right"/>
              <w:ind w:right="375"/>
              <w:spacing w:after="0"/>
              <w:rPr>
                <w:sz w:val="20"/>
                <w:szCs w:val="20"/>
                <w:color w:val="auto"/>
              </w:rPr>
            </w:pPr>
            <w:r>
              <w:rPr>
                <w:rFonts w:ascii="Times New Roman" w:cs="Times New Roman" w:eastAsia="Times New Roman" w:hAnsi="Times New Roman"/>
                <w:sz w:val="17"/>
                <w:szCs w:val="17"/>
                <w:color w:val="auto"/>
                <w:w w:val="70"/>
              </w:rPr>
              <w:t>$</w:t>
            </w:r>
          </w:p>
        </w:tc>
        <w:tc>
          <w:tcPr>
            <w:tcW w:w="1520" w:type="dxa"/>
            <w:vAlign w:val="bottom"/>
            <w:shd w:val="clear" w:color="auto" w:fill="CCEEFF"/>
          </w:tcPr>
          <w:p>
            <w:pPr>
              <w:jc w:val="right"/>
              <w:ind w:right="770"/>
              <w:spacing w:after="0"/>
              <w:rPr>
                <w:sz w:val="20"/>
                <w:szCs w:val="20"/>
                <w:color w:val="auto"/>
              </w:rPr>
            </w:pPr>
            <w:r>
              <w:rPr>
                <w:rFonts w:ascii="Times New Roman" w:cs="Times New Roman" w:eastAsia="Times New Roman" w:hAnsi="Times New Roman"/>
                <w:sz w:val="18"/>
                <w:szCs w:val="18"/>
                <w:color w:val="auto"/>
              </w:rPr>
              <w:t>1,673</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4,825</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288.4%</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720" w:type="dxa"/>
            <w:vAlign w:val="bottom"/>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72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420" w:type="dxa"/>
            <w:vAlign w:val="bottom"/>
          </w:tcPr>
          <w:p>
            <w:pPr>
              <w:spacing w:after="0"/>
              <w:rPr>
                <w:sz w:val="18"/>
                <w:szCs w:val="18"/>
                <w:color w:val="auto"/>
              </w:rPr>
            </w:pPr>
          </w:p>
        </w:tc>
        <w:tc>
          <w:tcPr>
            <w:tcW w:w="158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3,141</w:t>
            </w: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48.3%</w:t>
            </w:r>
          </w:p>
        </w:tc>
        <w:tc>
          <w:tcPr>
            <w:tcW w:w="540" w:type="dxa"/>
            <w:vAlign w:val="bottom"/>
          </w:tcPr>
          <w:p>
            <w:pPr>
              <w:spacing w:after="0"/>
              <w:rPr>
                <w:sz w:val="18"/>
                <w:szCs w:val="18"/>
                <w:color w:val="auto"/>
              </w:rPr>
            </w:pPr>
          </w:p>
        </w:tc>
        <w:tc>
          <w:tcPr>
            <w:tcW w:w="1520" w:type="dxa"/>
            <w:vAlign w:val="bottom"/>
          </w:tcPr>
          <w:p>
            <w:pPr>
              <w:jc w:val="right"/>
              <w:ind w:right="770"/>
              <w:spacing w:after="0"/>
              <w:rPr>
                <w:sz w:val="20"/>
                <w:szCs w:val="20"/>
                <w:color w:val="auto"/>
              </w:rPr>
            </w:pPr>
            <w:r>
              <w:rPr>
                <w:rFonts w:ascii="Times New Roman" w:cs="Times New Roman" w:eastAsia="Times New Roman" w:hAnsi="Times New Roman"/>
                <w:sz w:val="18"/>
                <w:szCs w:val="18"/>
                <w:color w:val="auto"/>
              </w:rPr>
              <w:t>745</w:t>
            </w: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44.5%</w:t>
            </w:r>
          </w:p>
        </w:tc>
        <w:tc>
          <w:tcPr>
            <w:tcW w:w="220" w:type="dxa"/>
            <w:vAlign w:val="bottom"/>
          </w:tcPr>
          <w:p>
            <w:pPr>
              <w:spacing w:after="0"/>
              <w:rPr>
                <w:sz w:val="18"/>
                <w:szCs w:val="18"/>
                <w:color w:val="auto"/>
              </w:rPr>
            </w:pPr>
          </w:p>
        </w:tc>
        <w:tc>
          <w:tcPr>
            <w:tcW w:w="1460" w:type="dxa"/>
            <w:vAlign w:val="bottom"/>
          </w:tcPr>
          <w:p>
            <w:pPr>
              <w:jc w:val="right"/>
              <w:ind w:right="370"/>
              <w:spacing w:after="0"/>
              <w:rPr>
                <w:sz w:val="20"/>
                <w:szCs w:val="20"/>
                <w:color w:val="auto"/>
              </w:rPr>
            </w:pPr>
            <w:r>
              <w:rPr>
                <w:rFonts w:ascii="Times New Roman" w:cs="Times New Roman" w:eastAsia="Times New Roman" w:hAnsi="Times New Roman"/>
                <w:sz w:val="18"/>
                <w:szCs w:val="18"/>
                <w:color w:val="auto"/>
              </w:rPr>
              <w:t>2,396</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321.6%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SG&amp;A expenses</w:t>
            </w:r>
          </w:p>
        </w:tc>
        <w:tc>
          <w:tcPr>
            <w:tcW w:w="420" w:type="dxa"/>
            <w:vAlign w:val="bottom"/>
            <w:shd w:val="clear" w:color="auto" w:fill="CCEEFF"/>
          </w:tcPr>
          <w:p>
            <w:pPr>
              <w:spacing w:after="0"/>
              <w:rPr>
                <w:sz w:val="18"/>
                <w:szCs w:val="18"/>
                <w:color w:val="auto"/>
              </w:rPr>
            </w:pPr>
          </w:p>
        </w:tc>
        <w:tc>
          <w:tcPr>
            <w:tcW w:w="158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4,612</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71.0%</w:t>
            </w:r>
          </w:p>
        </w:tc>
        <w:tc>
          <w:tcPr>
            <w:tcW w:w="540" w:type="dxa"/>
            <w:vAlign w:val="bottom"/>
            <w:shd w:val="clear" w:color="auto" w:fill="CCEEFF"/>
          </w:tcPr>
          <w:p>
            <w:pPr>
              <w:spacing w:after="0"/>
              <w:rPr>
                <w:sz w:val="18"/>
                <w:szCs w:val="18"/>
                <w:color w:val="auto"/>
              </w:rPr>
            </w:pPr>
          </w:p>
        </w:tc>
        <w:tc>
          <w:tcPr>
            <w:tcW w:w="1520" w:type="dxa"/>
            <w:vAlign w:val="bottom"/>
            <w:shd w:val="clear" w:color="auto" w:fill="CCEEFF"/>
          </w:tcPr>
          <w:p>
            <w:pPr>
              <w:jc w:val="right"/>
              <w:ind w:right="770"/>
              <w:spacing w:after="0"/>
              <w:rPr>
                <w:sz w:val="20"/>
                <w:szCs w:val="20"/>
                <w:color w:val="auto"/>
              </w:rPr>
            </w:pPr>
            <w:r>
              <w:rPr>
                <w:rFonts w:ascii="Times New Roman" w:cs="Times New Roman" w:eastAsia="Times New Roman" w:hAnsi="Times New Roman"/>
                <w:sz w:val="18"/>
                <w:szCs w:val="18"/>
                <w:color w:val="auto"/>
              </w:rPr>
              <w:t>1,904</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113.8%</w:t>
            </w:r>
          </w:p>
        </w:tc>
        <w:tc>
          <w:tcPr>
            <w:tcW w:w="220" w:type="dxa"/>
            <w:vAlign w:val="bottom"/>
            <w:shd w:val="clear" w:color="auto" w:fill="CCEEFF"/>
          </w:tcPr>
          <w:p>
            <w:pPr>
              <w:spacing w:after="0"/>
              <w:rPr>
                <w:sz w:val="18"/>
                <w:szCs w:val="18"/>
                <w:color w:val="auto"/>
              </w:rPr>
            </w:pPr>
          </w:p>
        </w:tc>
        <w:tc>
          <w:tcPr>
            <w:tcW w:w="14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2,708</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142.2%</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72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New store pre-</w:t>
            </w:r>
          </w:p>
        </w:tc>
        <w:tc>
          <w:tcPr>
            <w:tcW w:w="420" w:type="dxa"/>
            <w:vAlign w:val="bottom"/>
          </w:tcPr>
          <w:p>
            <w:pPr>
              <w:spacing w:after="0"/>
              <w:rPr>
                <w:sz w:val="17"/>
                <w:szCs w:val="17"/>
                <w:color w:val="auto"/>
              </w:rPr>
            </w:pPr>
          </w:p>
        </w:tc>
        <w:tc>
          <w:tcPr>
            <w:tcW w:w="1580" w:type="dxa"/>
            <w:vAlign w:val="bottom"/>
            <w:vMerge w:val="restart"/>
          </w:tcPr>
          <w:p>
            <w:pPr>
              <w:jc w:val="right"/>
              <w:ind w:right="690"/>
              <w:spacing w:after="0"/>
              <w:rPr>
                <w:sz w:val="20"/>
                <w:szCs w:val="20"/>
                <w:color w:val="auto"/>
              </w:rPr>
            </w:pPr>
            <w:r>
              <w:rPr>
                <w:rFonts w:ascii="Times New Roman" w:cs="Times New Roman" w:eastAsia="Times New Roman" w:hAnsi="Times New Roman"/>
                <w:sz w:val="18"/>
                <w:szCs w:val="18"/>
                <w:color w:val="auto"/>
              </w:rPr>
              <w:t>494</w:t>
            </w:r>
          </w:p>
        </w:tc>
        <w:tc>
          <w:tcPr>
            <w:tcW w:w="8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7.6%</w:t>
            </w:r>
          </w:p>
        </w:tc>
        <w:tc>
          <w:tcPr>
            <w:tcW w:w="540" w:type="dxa"/>
            <w:vAlign w:val="bottom"/>
          </w:tcPr>
          <w:p>
            <w:pPr>
              <w:spacing w:after="0"/>
              <w:rPr>
                <w:sz w:val="17"/>
                <w:szCs w:val="17"/>
                <w:color w:val="auto"/>
              </w:rPr>
            </w:pPr>
          </w:p>
        </w:tc>
        <w:tc>
          <w:tcPr>
            <w:tcW w:w="1520" w:type="dxa"/>
            <w:vAlign w:val="bottom"/>
            <w:vMerge w:val="restart"/>
          </w:tcPr>
          <w:p>
            <w:pPr>
              <w:jc w:val="right"/>
              <w:ind w:right="770"/>
              <w:spacing w:after="0"/>
              <w:rPr>
                <w:sz w:val="20"/>
                <w:szCs w:val="20"/>
                <w:color w:val="auto"/>
              </w:rPr>
            </w:pPr>
            <w:r>
              <w:rPr>
                <w:rFonts w:ascii="Times New Roman" w:cs="Times New Roman" w:eastAsia="Times New Roman" w:hAnsi="Times New Roman"/>
                <w:sz w:val="18"/>
                <w:szCs w:val="18"/>
                <w:color w:val="auto"/>
              </w:rPr>
              <w:t>702</w:t>
            </w:r>
          </w:p>
        </w:tc>
        <w:tc>
          <w:tcPr>
            <w:tcW w:w="8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color w:val="auto"/>
              </w:rPr>
              <w:t>42.0%</w:t>
            </w:r>
          </w:p>
        </w:tc>
        <w:tc>
          <w:tcPr>
            <w:tcW w:w="220" w:type="dxa"/>
            <w:vAlign w:val="bottom"/>
          </w:tcPr>
          <w:p>
            <w:pPr>
              <w:spacing w:after="0"/>
              <w:rPr>
                <w:sz w:val="17"/>
                <w:szCs w:val="17"/>
                <w:color w:val="auto"/>
              </w:rPr>
            </w:pPr>
          </w:p>
        </w:tc>
        <w:tc>
          <w:tcPr>
            <w:tcW w:w="1460" w:type="dxa"/>
            <w:vAlign w:val="bottom"/>
            <w:vMerge w:val="restart"/>
          </w:tcPr>
          <w:p>
            <w:pPr>
              <w:jc w:val="right"/>
              <w:ind w:right="310"/>
              <w:spacing w:after="0"/>
              <w:rPr>
                <w:sz w:val="20"/>
                <w:szCs w:val="20"/>
                <w:color w:val="auto"/>
              </w:rPr>
            </w:pPr>
            <w:r>
              <w:rPr>
                <w:rFonts w:ascii="Times New Roman" w:cs="Times New Roman" w:eastAsia="Times New Roman" w:hAnsi="Times New Roman"/>
                <w:sz w:val="18"/>
                <w:szCs w:val="18"/>
                <w:color w:val="auto"/>
              </w:rPr>
              <w:t>(208)</w:t>
            </w:r>
          </w:p>
        </w:tc>
        <w:tc>
          <w:tcPr>
            <w:tcW w:w="11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color w:val="auto"/>
              </w:rPr>
              <w:t>-29.6%</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7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opening costs</w:t>
            </w:r>
          </w:p>
        </w:tc>
        <w:tc>
          <w:tcPr>
            <w:tcW w:w="420" w:type="dxa"/>
            <w:vAlign w:val="bottom"/>
          </w:tcPr>
          <w:p>
            <w:pPr>
              <w:spacing w:after="0"/>
              <w:rPr>
                <w:sz w:val="19"/>
                <w:szCs w:val="19"/>
                <w:color w:val="auto"/>
              </w:rPr>
            </w:pPr>
          </w:p>
        </w:tc>
        <w:tc>
          <w:tcPr>
            <w:tcW w:w="1580" w:type="dxa"/>
            <w:vAlign w:val="bottom"/>
            <w:vMerge w:val="continue"/>
          </w:tcPr>
          <w:p>
            <w:pPr>
              <w:spacing w:after="0"/>
              <w:rPr>
                <w:sz w:val="19"/>
                <w:szCs w:val="19"/>
                <w:color w:val="auto"/>
              </w:rPr>
            </w:pPr>
          </w:p>
        </w:tc>
        <w:tc>
          <w:tcPr>
            <w:tcW w:w="880" w:type="dxa"/>
            <w:vAlign w:val="bottom"/>
            <w:gridSpan w:val="2"/>
            <w:vMerge w:val="continue"/>
          </w:tcPr>
          <w:p>
            <w:pPr>
              <w:spacing w:after="0"/>
              <w:rPr>
                <w:sz w:val="19"/>
                <w:szCs w:val="19"/>
                <w:color w:val="auto"/>
              </w:rPr>
            </w:pPr>
          </w:p>
        </w:tc>
        <w:tc>
          <w:tcPr>
            <w:tcW w:w="540" w:type="dxa"/>
            <w:vAlign w:val="bottom"/>
          </w:tcPr>
          <w:p>
            <w:pPr>
              <w:spacing w:after="0"/>
              <w:rPr>
                <w:sz w:val="19"/>
                <w:szCs w:val="19"/>
                <w:color w:val="auto"/>
              </w:rPr>
            </w:pPr>
          </w:p>
        </w:tc>
        <w:tc>
          <w:tcPr>
            <w:tcW w:w="1520" w:type="dxa"/>
            <w:vAlign w:val="bottom"/>
            <w:vMerge w:val="continue"/>
          </w:tcPr>
          <w:p>
            <w:pPr>
              <w:spacing w:after="0"/>
              <w:rPr>
                <w:sz w:val="19"/>
                <w:szCs w:val="19"/>
                <w:color w:val="auto"/>
              </w:rPr>
            </w:pPr>
          </w:p>
        </w:tc>
        <w:tc>
          <w:tcPr>
            <w:tcW w:w="800" w:type="dxa"/>
            <w:vAlign w:val="bottom"/>
            <w:gridSpan w:val="2"/>
            <w:vMerge w:val="continue"/>
          </w:tcPr>
          <w:p>
            <w:pPr>
              <w:spacing w:after="0"/>
              <w:rPr>
                <w:sz w:val="19"/>
                <w:szCs w:val="19"/>
                <w:color w:val="auto"/>
              </w:rPr>
            </w:pPr>
          </w:p>
        </w:tc>
        <w:tc>
          <w:tcPr>
            <w:tcW w:w="220" w:type="dxa"/>
            <w:vAlign w:val="bottom"/>
          </w:tcPr>
          <w:p>
            <w:pPr>
              <w:spacing w:after="0"/>
              <w:rPr>
                <w:sz w:val="19"/>
                <w:szCs w:val="19"/>
                <w:color w:val="auto"/>
              </w:rPr>
            </w:pPr>
          </w:p>
        </w:tc>
        <w:tc>
          <w:tcPr>
            <w:tcW w:w="1460" w:type="dxa"/>
            <w:vAlign w:val="bottom"/>
            <w:vMerge w:val="continue"/>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19"/>
                <w:szCs w:val="19"/>
                <w:color w:val="auto"/>
              </w:rPr>
            </w:pPr>
          </w:p>
        </w:tc>
        <w:tc>
          <w:tcPr>
            <w:tcW w:w="1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Loss from operations</w:t>
            </w:r>
          </w:p>
        </w:tc>
        <w:tc>
          <w:tcPr>
            <w:tcW w:w="420" w:type="dxa"/>
            <w:vAlign w:val="bottom"/>
            <w:shd w:val="clear" w:color="auto" w:fill="CCEEFF"/>
          </w:tcPr>
          <w:p>
            <w:pPr>
              <w:jc w:val="right"/>
              <w:ind w:right="255"/>
              <w:spacing w:after="0"/>
              <w:rPr>
                <w:sz w:val="20"/>
                <w:szCs w:val="20"/>
                <w:color w:val="auto"/>
              </w:rPr>
            </w:pPr>
            <w:r>
              <w:rPr>
                <w:rFonts w:ascii="Times New Roman" w:cs="Times New Roman" w:eastAsia="Times New Roman" w:hAnsi="Times New Roman"/>
                <w:sz w:val="17"/>
                <w:szCs w:val="17"/>
                <w:color w:val="auto"/>
                <w:w w:val="70"/>
              </w:rPr>
              <w:t>$</w:t>
            </w:r>
          </w:p>
        </w:tc>
        <w:tc>
          <w:tcPr>
            <w:tcW w:w="1580" w:type="dxa"/>
            <w:vAlign w:val="bottom"/>
            <w:shd w:val="clear" w:color="auto" w:fill="CCEEFF"/>
          </w:tcPr>
          <w:p>
            <w:pPr>
              <w:jc w:val="right"/>
              <w:ind w:right="630"/>
              <w:spacing w:after="0"/>
              <w:rPr>
                <w:sz w:val="20"/>
                <w:szCs w:val="20"/>
                <w:color w:val="auto"/>
              </w:rPr>
            </w:pPr>
            <w:r>
              <w:rPr>
                <w:rFonts w:ascii="Times New Roman" w:cs="Times New Roman" w:eastAsia="Times New Roman" w:hAnsi="Times New Roman"/>
                <w:sz w:val="18"/>
                <w:szCs w:val="18"/>
                <w:color w:val="auto"/>
              </w:rPr>
              <w:t>(1,965)</w:t>
            </w:r>
          </w:p>
        </w:tc>
        <w:tc>
          <w:tcPr>
            <w:tcW w:w="8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-30.2%</w:t>
            </w:r>
          </w:p>
        </w:tc>
        <w:tc>
          <w:tcPr>
            <w:tcW w:w="540" w:type="dxa"/>
            <w:vAlign w:val="bottom"/>
            <w:shd w:val="clear" w:color="auto" w:fill="CCEEFF"/>
          </w:tcPr>
          <w:p>
            <w:pPr>
              <w:jc w:val="right"/>
              <w:ind w:right="375"/>
              <w:spacing w:after="0"/>
              <w:rPr>
                <w:sz w:val="20"/>
                <w:szCs w:val="20"/>
                <w:color w:val="auto"/>
              </w:rPr>
            </w:pPr>
            <w:r>
              <w:rPr>
                <w:rFonts w:ascii="Times New Roman" w:cs="Times New Roman" w:eastAsia="Times New Roman" w:hAnsi="Times New Roman"/>
                <w:sz w:val="17"/>
                <w:szCs w:val="17"/>
                <w:color w:val="auto"/>
                <w:w w:val="70"/>
              </w:rPr>
              <w:t>$</w:t>
            </w:r>
          </w:p>
        </w:tc>
        <w:tc>
          <w:tcPr>
            <w:tcW w:w="1520" w:type="dxa"/>
            <w:vAlign w:val="bottom"/>
            <w:shd w:val="clear" w:color="auto" w:fill="CCEEFF"/>
          </w:tcPr>
          <w:p>
            <w:pPr>
              <w:jc w:val="right"/>
              <w:ind w:right="710"/>
              <w:spacing w:after="0"/>
              <w:rPr>
                <w:sz w:val="20"/>
                <w:szCs w:val="20"/>
                <w:color w:val="auto"/>
              </w:rPr>
            </w:pPr>
            <w:r>
              <w:rPr>
                <w:rFonts w:ascii="Times New Roman" w:cs="Times New Roman" w:eastAsia="Times New Roman" w:hAnsi="Times New Roman"/>
                <w:sz w:val="18"/>
                <w:szCs w:val="18"/>
                <w:color w:val="auto"/>
              </w:rPr>
              <w:t>(1,861)</w:t>
            </w:r>
          </w:p>
        </w:tc>
        <w:tc>
          <w:tcPr>
            <w:tcW w:w="8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-111.2%</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(104)</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tcBorders>
              <w:top w:val="single" w:sz="8" w:color="CCEEFF"/>
            </w:tcBorders>
            <w:shd w:val="clear" w:color="auto" w:fill="CCEEFF"/>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1580" w:type="dxa"/>
            <w:vAlign w:val="bottom"/>
            <w:tcBorders>
              <w:top w:val="single" w:sz="8" w:color="auto"/>
            </w:tcBorders>
            <w:shd w:val="clear" w:color="auto" w:fill="000000"/>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152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46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*14 weeks for fiscal 2019 as compared with 13 weeks for fiscal 2018.</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Quarterly Analysis of Results - Retail</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increase in net sales for the 69 Company-owned BHF stores included a $4,825 increase in non-comparable store sales as we have opened 12 stores over the last 18 months, along with a 0.2% increase for the 57 comparable stores over the first quarter of fiscal 2018. On an average weekly basis (normalizing for the extra week in the first quarter of 2019), comparable store sales decreased 6.9%.</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While we do not recognize sales until goods are delivered to the consumer, management tracks written sales (the retail dollar value of sales orders taken, rather than delivered) as a key store performance indicator. Written sales for comparable stores decreased by 4.8% for the first quarter of 2019 as compared to the first quarter of 2018. On an average weekly basis, comparable store written sales decreased 11.6%.</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29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9" w:name="page30"/>
    <w:bookmarkEnd w:id="29"/>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decrease in comparable store gross margins was primarily due to increased clearance activity due to the launch of the new custom upholstery program and the selloff of existing floor samples and other clearance product as a result of the repositioning of two stores in the Houston market late in 2018. The increase in SG&amp;A expenses for comparable stores as a percentage of sales to 51.7% was primarily due to higher employee health care expenses from unfavorable claim experience and increased warehousing and delivery costs due to the previously announced transition of the Bassett final mile service from Zenith to the corporate retail operation.</w:t>
      </w:r>
    </w:p>
    <w:p>
      <w:pPr>
        <w:spacing w:after="0" w:line="1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$104 increase in the operating loss from non-comparable stores for the first quarter of 2019 includes new store pre-opening costs of $494 compared to $702 for the prior year period. We incur losses in the first two to three months of operation following a store opening as sales are not recognized in the income statement until the furniture is delivered to its customers resulting in operating expenses without the normal sales volume. Because we do not maintain a stock of retail inventory that would result in quick delivery, and because of the custom nature of the furniture offerings, such deliveries are generally not made until after 30 days from when the furniture is ordered by the customer. Coupled with the pre-opening costs, total start-up losses typically amount to $400 to $600 per store. During the first quarter of 2019 we incurred $828 of post-opening losses associated with the four new stores opened during the first quarter of 2019 compared to $740 of post-opening losses associated with other locations during the first quarter of 2018.</w:t>
      </w:r>
    </w:p>
    <w:p>
      <w:pPr>
        <w:spacing w:after="0" w:line="18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Each addition to our Company-owned store network results in incremental fixed overhead costs, primarily associated with local store personnel, occupancy costs and warehousing expenses. The incremental SG&amp;A expenses associated with each new store will be ongoing.</w:t>
      </w:r>
    </w:p>
    <w:p>
      <w:pPr>
        <w:spacing w:after="0" w:line="3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Retail Backlog</w:t>
      </w:r>
    </w:p>
    <w:p>
      <w:pPr>
        <w:spacing w:after="0" w:line="227"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dollar value of our retail backlog, representing orders received but not yet delivered to customers, was $31,295, or an average of $454 per open store, at March 2, 2019 as compared with a retail backlog of $34,343, or an average of $545 per open store, at February 24, 2018.</w:t>
      </w: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Logistical Services Segment</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Results for our logistical services segment for the three months ended March 2, 2019 and February 24, 2018 are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Quarter Ended*</w:t>
            </w:r>
          </w:p>
        </w:tc>
        <w:tc>
          <w:tcPr>
            <w:tcW w:w="154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Change</w:t>
            </w:r>
          </w:p>
        </w:tc>
        <w:tc>
          <w:tcPr>
            <w:tcW w:w="940" w:type="dxa"/>
            <w:vAlign w:val="bottom"/>
            <w:tcBorders>
              <w:bottom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March 2, 2019</w:t>
            </w:r>
          </w:p>
        </w:tc>
        <w:tc>
          <w:tcPr>
            <w:tcW w:w="7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February 24, 2018</w:t>
            </w:r>
          </w:p>
        </w:tc>
        <w:tc>
          <w:tcPr>
            <w:tcW w:w="70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color w:val="auto"/>
              </w:rPr>
              <w:t>Dollars</w:t>
            </w:r>
          </w:p>
        </w:tc>
        <w:tc>
          <w:tcPr>
            <w:tcW w:w="94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Percent</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7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172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Logistical services</w:t>
            </w:r>
          </w:p>
        </w:tc>
        <w:tc>
          <w:tcPr>
            <w:tcW w:w="400" w:type="dxa"/>
            <w:vAlign w:val="bottom"/>
            <w:shd w:val="clear" w:color="auto" w:fill="CCEEFF"/>
          </w:tcPr>
          <w:p>
            <w:pPr>
              <w:spacing w:after="0"/>
              <w:rPr>
                <w:sz w:val="17"/>
                <w:szCs w:val="17"/>
                <w:color w:val="auto"/>
              </w:rPr>
            </w:pPr>
          </w:p>
        </w:tc>
        <w:tc>
          <w:tcPr>
            <w:tcW w:w="16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7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revenue</w:t>
            </w:r>
          </w:p>
        </w:tc>
        <w:tc>
          <w:tcPr>
            <w:tcW w:w="400" w:type="dxa"/>
            <w:vAlign w:val="bottom"/>
            <w:shd w:val="clear" w:color="auto" w:fill="CCEEFF"/>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600" w:type="dxa"/>
            <w:vAlign w:val="bottom"/>
            <w:shd w:val="clear" w:color="auto" w:fill="CCEEFF"/>
          </w:tcPr>
          <w:p>
            <w:pPr>
              <w:jc w:val="right"/>
              <w:ind w:right="690"/>
              <w:spacing w:after="0"/>
              <w:rPr>
                <w:sz w:val="20"/>
                <w:szCs w:val="20"/>
                <w:color w:val="auto"/>
              </w:rPr>
            </w:pPr>
            <w:r>
              <w:rPr>
                <w:rFonts w:ascii="Times New Roman" w:cs="Times New Roman" w:eastAsia="Times New Roman" w:hAnsi="Times New Roman"/>
                <w:sz w:val="18"/>
                <w:szCs w:val="18"/>
                <w:color w:val="auto"/>
              </w:rPr>
              <w:t>21,751</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640" w:type="dxa"/>
            <w:vAlign w:val="bottom"/>
            <w:gridSpan w:val="2"/>
            <w:shd w:val="clear" w:color="auto" w:fill="CCEEFF"/>
          </w:tcPr>
          <w:p>
            <w:pPr>
              <w:jc w:val="right"/>
              <w:ind w:right="460"/>
              <w:spacing w:after="0"/>
              <w:rPr>
                <w:sz w:val="20"/>
                <w:szCs w:val="20"/>
                <w:color w:val="auto"/>
              </w:rPr>
            </w:pPr>
            <w:r>
              <w:rPr>
                <w:rFonts w:ascii="Times New Roman" w:cs="Times New Roman" w:eastAsia="Times New Roman" w:hAnsi="Times New Roman"/>
                <w:sz w:val="18"/>
                <w:szCs w:val="18"/>
                <w:color w:val="auto"/>
              </w:rPr>
              <w:t>$</w:t>
            </w:r>
          </w:p>
        </w:tc>
        <w:tc>
          <w:tcPr>
            <w:tcW w:w="1540" w:type="dxa"/>
            <w:vAlign w:val="bottom"/>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21,422</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3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shd w:val="clear" w:color="auto" w:fill="CCEEFF"/>
          </w:tcPr>
          <w:p>
            <w:pPr>
              <w:jc w:val="right"/>
              <w:ind w:right="370"/>
              <w:spacing w:after="0"/>
              <w:rPr>
                <w:sz w:val="20"/>
                <w:szCs w:val="20"/>
                <w:color w:val="auto"/>
              </w:rPr>
            </w:pPr>
            <w:r>
              <w:rPr>
                <w:rFonts w:ascii="Times New Roman" w:cs="Times New Roman" w:eastAsia="Times New Roman" w:hAnsi="Times New Roman"/>
                <w:sz w:val="18"/>
                <w:szCs w:val="18"/>
                <w:color w:val="auto"/>
              </w:rPr>
              <w:t>329</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2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400" w:type="dxa"/>
            <w:vAlign w:val="bottom"/>
          </w:tcPr>
          <w:p>
            <w:pPr>
              <w:spacing w:after="0"/>
              <w:rPr>
                <w:sz w:val="18"/>
                <w:szCs w:val="18"/>
                <w:color w:val="auto"/>
              </w:rPr>
            </w:pPr>
          </w:p>
        </w:tc>
        <w:tc>
          <w:tcPr>
            <w:tcW w:w="160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21,039</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96.7%</w:t>
            </w: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540" w:type="dxa"/>
            <w:vAlign w:val="bottom"/>
          </w:tcPr>
          <w:p>
            <w:pPr>
              <w:jc w:val="right"/>
              <w:ind w:right="790"/>
              <w:spacing w:after="0"/>
              <w:rPr>
                <w:sz w:val="20"/>
                <w:szCs w:val="20"/>
                <w:color w:val="auto"/>
              </w:rPr>
            </w:pPr>
            <w:r>
              <w:rPr>
                <w:rFonts w:ascii="Times New Roman" w:cs="Times New Roman" w:eastAsia="Times New Roman" w:hAnsi="Times New Roman"/>
                <w:sz w:val="18"/>
                <w:szCs w:val="18"/>
                <w:color w:val="auto"/>
              </w:rPr>
              <w:t>21,092</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98.5%</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(53)</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-0.3%</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6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154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vMerge w:val="continue"/>
          </w:tcPr>
          <w:p>
            <w:pPr>
              <w:spacing w:after="0"/>
              <w:rPr>
                <w:sz w:val="17"/>
                <w:szCs w:val="17"/>
                <w:color w:val="auto"/>
              </w:rPr>
            </w:pPr>
          </w:p>
        </w:tc>
        <w:tc>
          <w:tcPr>
            <w:tcW w:w="172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Income from</w:t>
            </w:r>
          </w:p>
        </w:tc>
        <w:tc>
          <w:tcPr>
            <w:tcW w:w="400" w:type="dxa"/>
            <w:vAlign w:val="bottom"/>
            <w:vMerge w:val="restart"/>
          </w:tcPr>
          <w:p>
            <w:pPr>
              <w:jc w:val="right"/>
              <w:ind w:right="235"/>
              <w:spacing w:after="0"/>
              <w:rPr>
                <w:sz w:val="20"/>
                <w:szCs w:val="20"/>
                <w:color w:val="auto"/>
              </w:rPr>
            </w:pPr>
            <w:r>
              <w:rPr>
                <w:rFonts w:ascii="Times New Roman" w:cs="Times New Roman" w:eastAsia="Times New Roman" w:hAnsi="Times New Roman"/>
                <w:sz w:val="17"/>
                <w:szCs w:val="17"/>
                <w:color w:val="auto"/>
                <w:w w:val="70"/>
              </w:rPr>
              <w:t>$</w:t>
            </w:r>
          </w:p>
        </w:tc>
        <w:tc>
          <w:tcPr>
            <w:tcW w:w="1600" w:type="dxa"/>
            <w:vAlign w:val="bottom"/>
            <w:vMerge w:val="restart"/>
          </w:tcPr>
          <w:p>
            <w:pPr>
              <w:jc w:val="right"/>
              <w:ind w:right="690"/>
              <w:spacing w:after="0"/>
              <w:rPr>
                <w:sz w:val="20"/>
                <w:szCs w:val="20"/>
                <w:color w:val="auto"/>
              </w:rPr>
            </w:pPr>
            <w:r>
              <w:rPr>
                <w:rFonts w:ascii="Times New Roman" w:cs="Times New Roman" w:eastAsia="Times New Roman" w:hAnsi="Times New Roman"/>
                <w:sz w:val="18"/>
                <w:szCs w:val="18"/>
                <w:color w:val="auto"/>
              </w:rPr>
              <w:t>712</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3.3%</w:t>
            </w:r>
          </w:p>
        </w:tc>
        <w:tc>
          <w:tcPr>
            <w:tcW w:w="640" w:type="dxa"/>
            <w:vAlign w:val="bottom"/>
            <w:gridSpan w:val="2"/>
            <w:vMerge w:val="restart"/>
          </w:tcPr>
          <w:p>
            <w:pPr>
              <w:jc w:val="right"/>
              <w:ind w:right="460"/>
              <w:spacing w:after="0"/>
              <w:rPr>
                <w:sz w:val="20"/>
                <w:szCs w:val="20"/>
                <w:color w:val="auto"/>
              </w:rPr>
            </w:pPr>
            <w:r>
              <w:rPr>
                <w:rFonts w:ascii="Times New Roman" w:cs="Times New Roman" w:eastAsia="Times New Roman" w:hAnsi="Times New Roman"/>
                <w:sz w:val="18"/>
                <w:szCs w:val="18"/>
                <w:color w:val="auto"/>
              </w:rPr>
              <w:t>$</w:t>
            </w:r>
          </w:p>
        </w:tc>
        <w:tc>
          <w:tcPr>
            <w:tcW w:w="1540" w:type="dxa"/>
            <w:vAlign w:val="bottom"/>
            <w:vMerge w:val="restart"/>
          </w:tcPr>
          <w:p>
            <w:pPr>
              <w:jc w:val="right"/>
              <w:ind w:right="790"/>
              <w:spacing w:after="0"/>
              <w:rPr>
                <w:sz w:val="20"/>
                <w:szCs w:val="20"/>
                <w:color w:val="auto"/>
              </w:rPr>
            </w:pPr>
            <w:r>
              <w:rPr>
                <w:rFonts w:ascii="Times New Roman" w:cs="Times New Roman" w:eastAsia="Times New Roman" w:hAnsi="Times New Roman"/>
                <w:sz w:val="18"/>
                <w:szCs w:val="18"/>
                <w:color w:val="auto"/>
              </w:rPr>
              <w:t>330</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30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vMerge w:val="restart"/>
          </w:tcPr>
          <w:p>
            <w:pPr>
              <w:jc w:val="right"/>
              <w:ind w:right="370"/>
              <w:spacing w:after="0"/>
              <w:rPr>
                <w:sz w:val="20"/>
                <w:szCs w:val="20"/>
                <w:color w:val="auto"/>
              </w:rPr>
            </w:pPr>
            <w:r>
              <w:rPr>
                <w:rFonts w:ascii="Times New Roman" w:cs="Times New Roman" w:eastAsia="Times New Roman" w:hAnsi="Times New Roman"/>
                <w:sz w:val="18"/>
                <w:szCs w:val="18"/>
                <w:color w:val="auto"/>
              </w:rPr>
              <w:t>382</w:t>
            </w:r>
          </w:p>
        </w:tc>
        <w:tc>
          <w:tcPr>
            <w:tcW w:w="11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8"/>
                <w:szCs w:val="18"/>
                <w:color w:val="auto"/>
              </w:rPr>
              <w:t>115.8%</w:t>
            </w:r>
          </w:p>
        </w:tc>
        <w:tc>
          <w:tcPr>
            <w:tcW w:w="0" w:type="dxa"/>
            <w:vAlign w:val="bottom"/>
          </w:tcPr>
          <w:p>
            <w:pPr>
              <w:spacing w:after="0"/>
              <w:rPr>
                <w:sz w:val="1"/>
                <w:szCs w:val="1"/>
                <w:color w:val="auto"/>
              </w:rPr>
            </w:pPr>
          </w:p>
        </w:tc>
      </w:tr>
      <w:tr>
        <w:trPr>
          <w:trHeight w:val="194"/>
        </w:trPr>
        <w:tc>
          <w:tcPr>
            <w:tcW w:w="20" w:type="dxa"/>
            <w:vAlign w:val="bottom"/>
          </w:tcPr>
          <w:p>
            <w:pPr>
              <w:spacing w:after="0"/>
              <w:rPr>
                <w:sz w:val="16"/>
                <w:szCs w:val="16"/>
                <w:color w:val="auto"/>
              </w:rPr>
            </w:pPr>
          </w:p>
        </w:tc>
        <w:tc>
          <w:tcPr>
            <w:tcW w:w="1720" w:type="dxa"/>
            <w:vAlign w:val="bottom"/>
          </w:tcPr>
          <w:p>
            <w:pPr>
              <w:ind w:left="160"/>
              <w:spacing w:after="0" w:line="194" w:lineRule="exact"/>
              <w:rPr>
                <w:sz w:val="20"/>
                <w:szCs w:val="20"/>
                <w:color w:val="auto"/>
              </w:rPr>
            </w:pPr>
            <w:r>
              <w:rPr>
                <w:rFonts w:ascii="Times New Roman" w:cs="Times New Roman" w:eastAsia="Times New Roman" w:hAnsi="Times New Roman"/>
                <w:sz w:val="18"/>
                <w:szCs w:val="18"/>
                <w:color w:val="auto"/>
              </w:rPr>
              <w:t>operations</w:t>
            </w:r>
          </w:p>
        </w:tc>
        <w:tc>
          <w:tcPr>
            <w:tcW w:w="400" w:type="dxa"/>
            <w:vAlign w:val="bottom"/>
            <w:vMerge w:val="continue"/>
          </w:tcPr>
          <w:p>
            <w:pPr>
              <w:spacing w:after="0"/>
              <w:rPr>
                <w:sz w:val="16"/>
                <w:szCs w:val="16"/>
                <w:color w:val="auto"/>
              </w:rPr>
            </w:pPr>
          </w:p>
        </w:tc>
        <w:tc>
          <w:tcPr>
            <w:tcW w:w="1600" w:type="dxa"/>
            <w:vAlign w:val="bottom"/>
            <w:vMerge w:val="continue"/>
          </w:tcPr>
          <w:p>
            <w:pPr>
              <w:spacing w:after="0"/>
              <w:rPr>
                <w:sz w:val="16"/>
                <w:szCs w:val="16"/>
                <w:color w:val="auto"/>
              </w:rPr>
            </w:pPr>
          </w:p>
        </w:tc>
        <w:tc>
          <w:tcPr>
            <w:tcW w:w="780" w:type="dxa"/>
            <w:vAlign w:val="bottom"/>
            <w:vMerge w:val="continue"/>
          </w:tcPr>
          <w:p>
            <w:pPr>
              <w:spacing w:after="0"/>
              <w:rPr>
                <w:sz w:val="16"/>
                <w:szCs w:val="16"/>
                <w:color w:val="auto"/>
              </w:rPr>
            </w:pPr>
          </w:p>
        </w:tc>
        <w:tc>
          <w:tcPr>
            <w:tcW w:w="640" w:type="dxa"/>
            <w:vAlign w:val="bottom"/>
            <w:gridSpan w:val="2"/>
            <w:vMerge w:val="continue"/>
          </w:tcPr>
          <w:p>
            <w:pPr>
              <w:spacing w:after="0"/>
              <w:rPr>
                <w:sz w:val="16"/>
                <w:szCs w:val="16"/>
                <w:color w:val="auto"/>
              </w:rPr>
            </w:pPr>
          </w:p>
        </w:tc>
        <w:tc>
          <w:tcPr>
            <w:tcW w:w="1540" w:type="dxa"/>
            <w:vAlign w:val="bottom"/>
            <w:vMerge w:val="continue"/>
          </w:tcPr>
          <w:p>
            <w:pPr>
              <w:spacing w:after="0"/>
              <w:rPr>
                <w:sz w:val="16"/>
                <w:szCs w:val="16"/>
                <w:color w:val="auto"/>
              </w:rPr>
            </w:pPr>
          </w:p>
        </w:tc>
        <w:tc>
          <w:tcPr>
            <w:tcW w:w="700" w:type="dxa"/>
            <w:vAlign w:val="bottom"/>
            <w:vMerge w:val="continue"/>
          </w:tcPr>
          <w:p>
            <w:pPr>
              <w:spacing w:after="0"/>
              <w:rPr>
                <w:sz w:val="16"/>
                <w:szCs w:val="16"/>
                <w:color w:val="auto"/>
              </w:rPr>
            </w:pPr>
          </w:p>
        </w:tc>
        <w:tc>
          <w:tcPr>
            <w:tcW w:w="300" w:type="dxa"/>
            <w:vAlign w:val="bottom"/>
            <w:gridSpan w:val="2"/>
            <w:vMerge w:val="continue"/>
          </w:tcPr>
          <w:p>
            <w:pPr>
              <w:spacing w:after="0"/>
              <w:rPr>
                <w:sz w:val="16"/>
                <w:szCs w:val="16"/>
                <w:color w:val="auto"/>
              </w:rPr>
            </w:pPr>
          </w:p>
        </w:tc>
        <w:tc>
          <w:tcPr>
            <w:tcW w:w="1460" w:type="dxa"/>
            <w:vAlign w:val="bottom"/>
            <w:vMerge w:val="continue"/>
          </w:tcPr>
          <w:p>
            <w:pPr>
              <w:spacing w:after="0"/>
              <w:rPr>
                <w:sz w:val="16"/>
                <w:szCs w:val="16"/>
                <w:color w:val="auto"/>
              </w:rPr>
            </w:pPr>
          </w:p>
        </w:tc>
        <w:tc>
          <w:tcPr>
            <w:tcW w:w="112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*14 weeks for fiscal 2019 as compared with 13 weeks for fiscal 2018.</w:t>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Quarterly Analysis of Operations – Logistical Services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an average weekly basis (normalizing for the extra week in the first quarter of fiscal 2019), revenues for Zenith decreased $1,225 or 5.7%. This decrease was primarily due to the previously announced discontinuation of home delivery services to third-party customers. The decrease in Zenith’s operating expenses as a percent of sales was primarily due to reduced expenses in the home delivery operation.</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0" w:name="page31"/>
    <w:bookmarkEnd w:id="30"/>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Other Items Affecting Net Income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Early Retirement Program</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During the first quarter of fiscal 2019, we offered an early retirement package to certain eligible employees of the Company. Twenty-three employees accepted the offer, which expired on February 28, 2019. These employees are to receive pay equal to one-half their current salary plus benefits over a period of one year from the final day of each individual’s active employment. Accordingly, we recognized a charge of $835 during the three months ended March 2, 2019. The unpaid obligation of $835 at March 2, 2019 will substantially be paid out within one year.</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Loss, Net</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Other loss, net, for the three months ended March 2, 2019 was $123 as compared to $627 for the three months ended February 24, 2018. The decreased net loss is primarily attributable to $378 in death benefits received from life insurance policies covering a former executive, increased interest income due to rising yields on our short-term investments compared to the prior year period and lower interest expense due to overall lower levels of debt.</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Income Taxes and Impact of Tax Cuts and Jobs Act</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calculate an anticipated effective tax rate for the year based on our annual estimates of pretax income and use that effective tax rate to record our year-to-date income tax provision. Any change in annual projections of pretax income could have a significant impact on our effective tax rate for the respective quarter.</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December 22, 2017, The Tax Cuts and Jobs Act (the “Act”) was signed into law. The Act reduced the federal statutory corporate income tax rate from 35% to 21% effective January 1, 2018 for all corporate taxpayers. Our effective tax rate for the three months ended March 2, 2019 differs from the federal statutory rate of 21% primarily due to the effects of state income taxes and various permanent differences.</w:t>
      </w:r>
    </w:p>
    <w:p>
      <w:pPr>
        <w:spacing w:after="0" w:line="176"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Because the Act specified the new 21% tax rate beginning on January 1, 2018, we were only subject to the reduced rate for 11 months of 2018. Therefore, we computed our income tax expense for fiscal 2018 using a blended federal statutory rate of 22.2%. However, our effective tax rate for the three months ended February 24, 2018 was 164.2% primarily due to a $2,157 discrete charge to re-measure our deferred tax assets at the lower statutory rate. Other items impacting our effective tax rate for the three months ended February 24, 2018 included the effects of state income taxes and various permanent differences including the favorable impacts of excess tax benefits on stock-based compensation of $181 and the Section 199: Domestic Production Activities Deduction, which was eliminated by the Act for our fiscal 2019 tax return.</w:t>
      </w:r>
    </w:p>
    <w:p>
      <w:pPr>
        <w:spacing w:after="0" w:line="4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Cash Flows</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Cash used in operations for the first quarter of 2019 was $15,734 compared to $996 used for the first quarter of 2018, representing an increase of $14,738. This increase in cash used is primarily due to increased investment in inventory in anticipation of potential tariff increases originally scheduled to go into effect December 31, 2018, other changes in working capital due in part to the timing impact of the shift in our fiscal quarter end resulting from the additional week in the first quarter of fiscal 2019 and lower comparable store sales on an average weekly basis resulting in reduced cash flows.</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overall cash position decreased by $23,482 during the first quarter of 2019. In addition to the cash used in operations, we used $5,435 of cash in investing activities, primarily consisting of capital expenditures associated with retail store expansion and relocations. Net cash used in financing activities was $2,313, including dividend payments of $1,291 and stock repurchases of $1,012 under our existing share repurchase plan, of which $16,973 remains authorized at March 2, 2019. With cash and cash equivalents and short-term investments totaling $32,629 on hand at March 2, 2019, expected future operating cash flows and expected reduced capital expenditures from fewer store openings, we believe we have sufficient liquidity to fund operations for the foreseeable future.</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1" w:name="page32"/>
    <w:bookmarkEnd w:id="31"/>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Debt and Other Obligations</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credit facility with our bank provides for a line of credit of up to $25,000. This credit facility is unsecured and contains covenants requiring us to maintain certain key financial ratios. We are in compliance with all covenants under the agreement and expect to remain in compliance for the foreseeable future. The credit facility will mature in December 2021. At March 2, 2019, we had $2,798 outstanding under standby letters of credit against our line, leaving availability under our credit line of $22,202. In addition, we have outstanding standby letters of credit with another bank totaling $325.</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At March 2, 2019 we have outstanding principal totaling $183 under real estate notes payable, all of which matures within one year of the balance sheet date. See Note 8 to our condensed consolidated financial statements for additional details regarding these notes. We expect to satisfy these obligations as they mature using cash flow from operations or our available cash on hand.</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lease land and buildings that are used in the operation of our Company-owned retail stores as well as in the operation of certain of our licensee-owned stores, and we lease land and buildings at various locations throughout the continental United States for warehousing and distribution hubs used in our logistical services segment. We also lease tractors, trailers and local delivery trucks used in our logistical services and retail segments. We had obligations of $184,109 at March 2, 2019 for future minimum lease payments under non-cancelable operating leases having remaining terms in excess of one year. We also have guaranteed certain lease obligations of licensee operators. Remaining terms under these lease guarantees range from approximately one to five years. We were contingently liable under licensee lease obligation guarantees in the amount of $1,953 at March 2, 2019. See Note 11 to our condensed consolidated financial statements for additional details regarding our leases and lease guarantees.</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Investment in Retail Real Estate</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have a substantial investment in real estate acquired for use as retail locations. To the extent such real estate is occupied by Company-owned retail stores, it is included in property and equipment, net, in the accompanying condensed consolidated balance sheets and is considered part of our retail segment. The net book value of such retail real estate occupied by Company-owned stores was $19,844 at March 2, 2019. All other retail real estate that we own, consisting of locations formerly leased to our licensees and now leased to others, is included in other assets in the accompanying condensed consolidated balance sheets. The net book value of such real estate, which is considered part of our wholesale segment, was $1,629 at March 2, 2019.</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5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The following table summarizes our total investment in retail real estate owned at March 2, 2019:</w:t>
            </w:r>
          </w:p>
        </w:tc>
        <w:tc>
          <w:tcPr>
            <w:tcW w:w="46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500" w:type="dxa"/>
            <w:vAlign w:val="bottom"/>
          </w:tcPr>
          <w:p>
            <w:pPr>
              <w:spacing w:after="0"/>
              <w:rPr>
                <w:sz w:val="24"/>
                <w:szCs w:val="24"/>
                <w:color w:val="auto"/>
              </w:rPr>
            </w:pPr>
          </w:p>
        </w:tc>
        <w:tc>
          <w:tcPr>
            <w:tcW w:w="5740" w:type="dxa"/>
            <w:vAlign w:val="bottom"/>
          </w:tcPr>
          <w:p>
            <w:pPr>
              <w:spacing w:after="0"/>
              <w:rPr>
                <w:sz w:val="24"/>
                <w:szCs w:val="24"/>
                <w:color w:val="auto"/>
              </w:rPr>
            </w:pPr>
          </w:p>
        </w:tc>
        <w:tc>
          <w:tcPr>
            <w:tcW w:w="1260" w:type="dxa"/>
            <w:vAlign w:val="bottom"/>
          </w:tcPr>
          <w:p>
            <w:pPr>
              <w:jc w:val="center"/>
              <w:ind w:left="190"/>
              <w:spacing w:after="0"/>
              <w:rPr>
                <w:sz w:val="20"/>
                <w:szCs w:val="20"/>
                <w:color w:val="auto"/>
              </w:rPr>
            </w:pPr>
            <w:r>
              <w:rPr>
                <w:rFonts w:ascii="Times New Roman" w:cs="Times New Roman" w:eastAsia="Times New Roman" w:hAnsi="Times New Roman"/>
                <w:sz w:val="18"/>
                <w:szCs w:val="18"/>
                <w:color w:val="auto"/>
                <w:w w:val="99"/>
              </w:rPr>
              <w:t>Number of</w:t>
            </w:r>
          </w:p>
        </w:tc>
        <w:tc>
          <w:tcPr>
            <w:tcW w:w="460" w:type="dxa"/>
            <w:vAlign w:val="bottom"/>
          </w:tcPr>
          <w:p>
            <w:pPr>
              <w:spacing w:after="0"/>
              <w:rPr>
                <w:sz w:val="24"/>
                <w:szCs w:val="24"/>
                <w:color w:val="auto"/>
              </w:rPr>
            </w:pPr>
          </w:p>
        </w:tc>
        <w:tc>
          <w:tcPr>
            <w:tcW w:w="1740" w:type="dxa"/>
            <w:vAlign w:val="bottom"/>
            <w:gridSpan w:val="2"/>
          </w:tcPr>
          <w:p>
            <w:pPr>
              <w:jc w:val="right"/>
              <w:ind w:right="600"/>
              <w:spacing w:after="0"/>
              <w:rPr>
                <w:sz w:val="20"/>
                <w:szCs w:val="20"/>
                <w:color w:val="auto"/>
              </w:rPr>
            </w:pPr>
            <w:r>
              <w:rPr>
                <w:rFonts w:ascii="Times New Roman" w:cs="Times New Roman" w:eastAsia="Times New Roman" w:hAnsi="Times New Roman"/>
                <w:sz w:val="18"/>
                <w:szCs w:val="18"/>
                <w:color w:val="auto"/>
              </w:rPr>
              <w:t>Aggregate</w:t>
            </w:r>
          </w:p>
        </w:tc>
        <w:tc>
          <w:tcPr>
            <w:tcW w:w="260" w:type="dxa"/>
            <w:vAlign w:val="bottom"/>
          </w:tcPr>
          <w:p>
            <w:pPr>
              <w:spacing w:after="0"/>
              <w:rPr>
                <w:sz w:val="24"/>
                <w:szCs w:val="24"/>
                <w:color w:val="auto"/>
              </w:rPr>
            </w:pPr>
          </w:p>
        </w:tc>
        <w:tc>
          <w:tcPr>
            <w:tcW w:w="136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color w:val="auto"/>
                <w:w w:val="97"/>
              </w:rPr>
              <w:t>Net Book</w:t>
            </w:r>
          </w:p>
        </w:tc>
        <w:tc>
          <w:tcPr>
            <w:tcW w:w="0" w:type="dxa"/>
            <w:vAlign w:val="bottom"/>
          </w:tcPr>
          <w:p>
            <w:pPr>
              <w:spacing w:after="0"/>
              <w:rPr>
                <w:sz w:val="1"/>
                <w:szCs w:val="1"/>
                <w:color w:val="auto"/>
              </w:rPr>
            </w:pPr>
          </w:p>
        </w:tc>
      </w:tr>
      <w:tr>
        <w:trPr>
          <w:trHeight w:val="234"/>
        </w:trPr>
        <w:tc>
          <w:tcPr>
            <w:tcW w:w="500" w:type="dxa"/>
            <w:vAlign w:val="bottom"/>
          </w:tcPr>
          <w:p>
            <w:pPr>
              <w:spacing w:after="0"/>
              <w:rPr>
                <w:sz w:val="20"/>
                <w:szCs w:val="20"/>
                <w:color w:val="auto"/>
              </w:rPr>
            </w:pPr>
          </w:p>
        </w:tc>
        <w:tc>
          <w:tcPr>
            <w:tcW w:w="5740" w:type="dxa"/>
            <w:vAlign w:val="bottom"/>
          </w:tcPr>
          <w:p>
            <w:pPr>
              <w:spacing w:after="0"/>
              <w:rPr>
                <w:sz w:val="20"/>
                <w:szCs w:val="20"/>
                <w:color w:val="auto"/>
              </w:rPr>
            </w:pPr>
          </w:p>
        </w:tc>
        <w:tc>
          <w:tcPr>
            <w:tcW w:w="1260" w:type="dxa"/>
            <w:vAlign w:val="bottom"/>
          </w:tcPr>
          <w:p>
            <w:pPr>
              <w:jc w:val="center"/>
              <w:ind w:left="170"/>
              <w:spacing w:after="0"/>
              <w:rPr>
                <w:sz w:val="20"/>
                <w:szCs w:val="20"/>
                <w:color w:val="auto"/>
              </w:rPr>
            </w:pPr>
            <w:r>
              <w:rPr>
                <w:rFonts w:ascii="Times New Roman" w:cs="Times New Roman" w:eastAsia="Times New Roman" w:hAnsi="Times New Roman"/>
                <w:sz w:val="18"/>
                <w:szCs w:val="18"/>
                <w:color w:val="auto"/>
              </w:rPr>
              <w:t>Locations</w:t>
            </w:r>
          </w:p>
        </w:tc>
        <w:tc>
          <w:tcPr>
            <w:tcW w:w="460" w:type="dxa"/>
            <w:vAlign w:val="bottom"/>
          </w:tcPr>
          <w:p>
            <w:pPr>
              <w:spacing w:after="0"/>
              <w:rPr>
                <w:sz w:val="20"/>
                <w:szCs w:val="20"/>
                <w:color w:val="auto"/>
              </w:rPr>
            </w:pPr>
          </w:p>
        </w:tc>
        <w:tc>
          <w:tcPr>
            <w:tcW w:w="174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Square Footage</w:t>
            </w:r>
          </w:p>
        </w:tc>
        <w:tc>
          <w:tcPr>
            <w:tcW w:w="260" w:type="dxa"/>
            <w:vAlign w:val="bottom"/>
          </w:tcPr>
          <w:p>
            <w:pPr>
              <w:spacing w:after="0"/>
              <w:rPr>
                <w:sz w:val="20"/>
                <w:szCs w:val="20"/>
                <w:color w:val="auto"/>
              </w:rPr>
            </w:pPr>
          </w:p>
        </w:tc>
        <w:tc>
          <w:tcPr>
            <w:tcW w:w="136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color w:val="auto"/>
                <w:w w:val="92"/>
              </w:rPr>
              <w:t>Value</w:t>
            </w:r>
          </w:p>
        </w:tc>
        <w:tc>
          <w:tcPr>
            <w:tcW w:w="0" w:type="dxa"/>
            <w:vAlign w:val="bottom"/>
          </w:tcPr>
          <w:p>
            <w:pPr>
              <w:spacing w:after="0"/>
              <w:rPr>
                <w:sz w:val="1"/>
                <w:szCs w:val="1"/>
                <w:color w:val="auto"/>
              </w:rPr>
            </w:pPr>
          </w:p>
        </w:tc>
      </w:tr>
      <w:tr>
        <w:trPr>
          <w:trHeight w:val="210"/>
        </w:trPr>
        <w:tc>
          <w:tcPr>
            <w:tcW w:w="500" w:type="dxa"/>
            <w:vAlign w:val="bottom"/>
            <w:vMerge w:val="restart"/>
          </w:tcPr>
          <w:p>
            <w:pPr>
              <w:spacing w:after="0"/>
              <w:rPr>
                <w:sz w:val="18"/>
                <w:szCs w:val="18"/>
                <w:color w:val="auto"/>
              </w:rPr>
            </w:pPr>
          </w:p>
        </w:tc>
        <w:tc>
          <w:tcPr>
            <w:tcW w:w="5740" w:type="dxa"/>
            <w:vAlign w:val="bottom"/>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500" w:type="dxa"/>
            <w:vAlign w:val="bottom"/>
            <w:vMerge w:val="continue"/>
          </w:tcPr>
          <w:p>
            <w:pPr>
              <w:spacing w:after="0"/>
              <w:rPr>
                <w:sz w:val="17"/>
                <w:szCs w:val="17"/>
                <w:color w:val="auto"/>
              </w:rPr>
            </w:pPr>
          </w:p>
        </w:tc>
        <w:tc>
          <w:tcPr>
            <w:tcW w:w="7000" w:type="dxa"/>
            <w:vAlign w:val="bottom"/>
            <w:gridSpan w:val="2"/>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Real estate occupied by Company-owned and operated stores, included in</w:t>
            </w:r>
          </w:p>
        </w:tc>
        <w:tc>
          <w:tcPr>
            <w:tcW w:w="460" w:type="dxa"/>
            <w:vAlign w:val="bottom"/>
            <w:shd w:val="clear" w:color="auto" w:fill="CCEEFF"/>
          </w:tcPr>
          <w:p>
            <w:pPr>
              <w:spacing w:after="0"/>
              <w:rPr>
                <w:sz w:val="17"/>
                <w:szCs w:val="17"/>
                <w:color w:val="auto"/>
              </w:rPr>
            </w:pPr>
          </w:p>
        </w:tc>
        <w:tc>
          <w:tcPr>
            <w:tcW w:w="15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500" w:type="dxa"/>
            <w:vAlign w:val="bottom"/>
          </w:tcPr>
          <w:p>
            <w:pPr>
              <w:spacing w:after="0"/>
              <w:rPr>
                <w:sz w:val="20"/>
                <w:szCs w:val="20"/>
                <w:color w:val="auto"/>
              </w:rPr>
            </w:pPr>
          </w:p>
        </w:tc>
        <w:tc>
          <w:tcPr>
            <w:tcW w:w="700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property and equipment, net (1)</w:t>
            </w:r>
          </w:p>
        </w:tc>
        <w:tc>
          <w:tcPr>
            <w:tcW w:w="46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9</w:t>
            </w:r>
          </w:p>
        </w:tc>
        <w:tc>
          <w:tcPr>
            <w:tcW w:w="17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223,570</w:t>
            </w: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19,844</w:t>
            </w:r>
          </w:p>
        </w:tc>
        <w:tc>
          <w:tcPr>
            <w:tcW w:w="0" w:type="dxa"/>
            <w:vAlign w:val="bottom"/>
          </w:tcPr>
          <w:p>
            <w:pPr>
              <w:spacing w:after="0"/>
              <w:rPr>
                <w:sz w:val="1"/>
                <w:szCs w:val="1"/>
                <w:color w:val="auto"/>
              </w:rPr>
            </w:pPr>
          </w:p>
        </w:tc>
      </w:tr>
      <w:tr>
        <w:trPr>
          <w:trHeight w:val="216"/>
        </w:trPr>
        <w:tc>
          <w:tcPr>
            <w:tcW w:w="500" w:type="dxa"/>
            <w:vAlign w:val="bottom"/>
            <w:vMerge w:val="restart"/>
          </w:tcPr>
          <w:p>
            <w:pPr>
              <w:spacing w:after="0"/>
              <w:rPr>
                <w:sz w:val="18"/>
                <w:szCs w:val="18"/>
                <w:color w:val="auto"/>
              </w:rPr>
            </w:pPr>
          </w:p>
        </w:tc>
        <w:tc>
          <w:tcPr>
            <w:tcW w:w="57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 w:type="dxa"/>
            <w:vAlign w:val="bottom"/>
            <w:vMerge w:val="continue"/>
          </w:tcPr>
          <w:p>
            <w:pPr>
              <w:spacing w:after="0"/>
              <w:rPr>
                <w:sz w:val="18"/>
                <w:szCs w:val="18"/>
                <w:color w:val="auto"/>
              </w:rPr>
            </w:pPr>
          </w:p>
        </w:tc>
        <w:tc>
          <w:tcPr>
            <w:tcW w:w="70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Investment real estate leased to others, included in other assets</w:t>
            </w:r>
          </w:p>
        </w:tc>
        <w:tc>
          <w:tcPr>
            <w:tcW w:w="46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2</w:t>
            </w:r>
          </w:p>
        </w:tc>
        <w:tc>
          <w:tcPr>
            <w:tcW w:w="17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41,021</w:t>
            </w:r>
          </w:p>
        </w:tc>
        <w:tc>
          <w:tcPr>
            <w:tcW w:w="26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1,629</w:t>
            </w:r>
          </w:p>
        </w:tc>
        <w:tc>
          <w:tcPr>
            <w:tcW w:w="0" w:type="dxa"/>
            <w:vAlign w:val="bottom"/>
          </w:tcPr>
          <w:p>
            <w:pPr>
              <w:spacing w:after="0"/>
              <w:rPr>
                <w:sz w:val="1"/>
                <w:szCs w:val="1"/>
                <w:color w:val="auto"/>
              </w:rPr>
            </w:pPr>
          </w:p>
        </w:tc>
      </w:tr>
      <w:tr>
        <w:trPr>
          <w:trHeight w:val="210"/>
        </w:trPr>
        <w:tc>
          <w:tcPr>
            <w:tcW w:w="500" w:type="dxa"/>
            <w:vAlign w:val="bottom"/>
          </w:tcPr>
          <w:p>
            <w:pPr>
              <w:spacing w:after="0"/>
              <w:rPr>
                <w:sz w:val="18"/>
                <w:szCs w:val="18"/>
                <w:color w:val="auto"/>
              </w:rPr>
            </w:pPr>
          </w:p>
        </w:tc>
        <w:tc>
          <w:tcPr>
            <w:tcW w:w="5740" w:type="dxa"/>
            <w:vAlign w:val="bottom"/>
            <w:tcBorders>
              <w:top w:val="single" w:sz="8" w:color="CCEEFF"/>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500" w:type="dxa"/>
            <w:vAlign w:val="bottom"/>
          </w:tcPr>
          <w:p>
            <w:pPr>
              <w:spacing w:after="0"/>
              <w:rPr>
                <w:sz w:val="20"/>
                <w:szCs w:val="20"/>
                <w:color w:val="auto"/>
              </w:rPr>
            </w:pPr>
          </w:p>
        </w:tc>
        <w:tc>
          <w:tcPr>
            <w:tcW w:w="574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 Company investment in retail real estate</w:t>
            </w:r>
          </w:p>
        </w:tc>
        <w:tc>
          <w:tcPr>
            <w:tcW w:w="1260" w:type="dxa"/>
            <w:vAlign w:val="bottom"/>
            <w:shd w:val="clear" w:color="auto" w:fill="CCEEFF"/>
          </w:tcPr>
          <w:p>
            <w:pPr>
              <w:spacing w:after="0"/>
              <w:rPr>
                <w:sz w:val="20"/>
                <w:szCs w:val="20"/>
                <w:color w:val="auto"/>
              </w:rPr>
            </w:pPr>
          </w:p>
        </w:tc>
        <w:tc>
          <w:tcPr>
            <w:tcW w:w="46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11</w:t>
            </w:r>
          </w:p>
        </w:tc>
        <w:tc>
          <w:tcPr>
            <w:tcW w:w="17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264,591</w:t>
            </w: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21,473</w:t>
            </w:r>
          </w:p>
        </w:tc>
        <w:tc>
          <w:tcPr>
            <w:tcW w:w="0" w:type="dxa"/>
            <w:vAlign w:val="bottom"/>
          </w:tcPr>
          <w:p>
            <w:pPr>
              <w:spacing w:after="0"/>
              <w:rPr>
                <w:sz w:val="1"/>
                <w:szCs w:val="1"/>
                <w:color w:val="auto"/>
              </w:rPr>
            </w:pPr>
          </w:p>
        </w:tc>
      </w:tr>
      <w:tr>
        <w:trPr>
          <w:trHeight w:val="20"/>
        </w:trPr>
        <w:tc>
          <w:tcPr>
            <w:tcW w:w="500" w:type="dxa"/>
            <w:vAlign w:val="bottom"/>
          </w:tcPr>
          <w:p>
            <w:pPr>
              <w:spacing w:after="0" w:line="20" w:lineRule="exact"/>
              <w:rPr>
                <w:sz w:val="1"/>
                <w:szCs w:val="1"/>
                <w:color w:val="auto"/>
              </w:rPr>
            </w:pPr>
          </w:p>
        </w:tc>
        <w:tc>
          <w:tcPr>
            <w:tcW w:w="5740" w:type="dxa"/>
            <w:vAlign w:val="bottom"/>
            <w:tcBorders>
              <w:top w:val="single" w:sz="8" w:color="CCEEFF"/>
            </w:tcBorders>
            <w:shd w:val="clear" w:color="auto" w:fill="CCEEFF"/>
          </w:tcPr>
          <w:p>
            <w:pPr>
              <w:spacing w:after="0" w:line="20" w:lineRule="exact"/>
              <w:rPr>
                <w:sz w:val="1"/>
                <w:szCs w:val="1"/>
                <w:color w:val="auto"/>
              </w:rPr>
            </w:pPr>
          </w:p>
        </w:tc>
        <w:tc>
          <w:tcPr>
            <w:tcW w:w="1260" w:type="dxa"/>
            <w:vAlign w:val="bottom"/>
            <w:tcBorders>
              <w:top w:val="single" w:sz="8" w:color="auto"/>
            </w:tcBorders>
            <w:shd w:val="clear" w:color="auto" w:fill="000000"/>
          </w:tcPr>
          <w:p>
            <w:pPr>
              <w:spacing w:after="0" w:line="20" w:lineRule="exact"/>
              <w:rPr>
                <w:sz w:val="1"/>
                <w:szCs w:val="1"/>
                <w:color w:val="auto"/>
              </w:rPr>
            </w:pPr>
          </w:p>
        </w:tc>
        <w:tc>
          <w:tcPr>
            <w:tcW w:w="460" w:type="dxa"/>
            <w:vAlign w:val="bottom"/>
            <w:tcBorders>
              <w:top w:val="single" w:sz="8" w:color="auto"/>
            </w:tcBorders>
            <w:shd w:val="clear" w:color="auto" w:fill="000000"/>
          </w:tcPr>
          <w:p>
            <w:pPr>
              <w:spacing w:after="0" w:line="20" w:lineRule="exact"/>
              <w:rPr>
                <w:sz w:val="1"/>
                <w:szCs w:val="1"/>
                <w:color w:val="auto"/>
              </w:rPr>
            </w:pPr>
          </w:p>
        </w:tc>
        <w:tc>
          <w:tcPr>
            <w:tcW w:w="15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12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7500" w:type="dxa"/>
            <w:vAlign w:val="bottom"/>
            <w:gridSpan w:val="3"/>
          </w:tcPr>
          <w:p>
            <w:pPr>
              <w:ind w:left="500"/>
              <w:spacing w:after="0"/>
              <w:rPr>
                <w:sz w:val="20"/>
                <w:szCs w:val="20"/>
                <w:color w:val="auto"/>
              </w:rPr>
            </w:pPr>
            <w:r>
              <w:rPr>
                <w:rFonts w:ascii="Times New Roman" w:cs="Times New Roman" w:eastAsia="Times New Roman" w:hAnsi="Times New Roman"/>
                <w:sz w:val="18"/>
                <w:szCs w:val="18"/>
                <w:color w:val="auto"/>
              </w:rPr>
              <w:t>(1) Includes two properties encumbered under mortgages totalling $183 at March 2, 2019.</w:t>
            </w:r>
          </w:p>
        </w:tc>
        <w:tc>
          <w:tcPr>
            <w:tcW w:w="46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There have been no material changes to our critical accounting policies and estimates from the information provided in Item 7, “Management’s Discussion and Analysis of Financial Condition and Results of Operations”, included in our Annual Report on Form 10-K for the fiscal year ended November 24, 2018.</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2" w:name="page33"/>
    <w:bookmarkEnd w:id="32"/>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utilize stand-by letters of credit in the procurement of certain goods in the normal course of business. We lease land and buildings that are primarily used in the operation of both Company-owned and licensee stores as well as land and buildings used in our logistical services segment. We also lease transportation equipment used in our retail and logistical services segments. We have guaranteed certain lease obligations of licensee operators of the stores as part of our retail expansion strategy. See Note 11 to our condensed consolidated financial statements for further discussion of operating leases and lease guarantees, including descriptions of the terms of such commitments and methods used to mitigate risks associated with these arrangements.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Contingencies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are involved in various legal and environmental matters, which arise in the normal course of business. Although the final outcome of these matters cannot be determined, based on the facts presently known, it is our opinion that the final resolution of these matters will not have a material adverse effect on our financial position or future results of operations. See Note 11 to our condensed consolidated financial statements for further information regarding certain contingencies as of March 2, 2019.</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 about Market Risk:</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exposed to market risk from changes in the value of foreign currencies. Substantially all of our imports purchased outside of North America are denominated in U.S. dollars. Therefore, we believe that gains or losses resulting from changes in the value of foreign currencies relating to foreign purchases not denominated in U.S. dollars would not be material to our results from operations in fiscal 2018.</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are exposed to market risk from changes in the cost of raw materials used in our manufacturing processes, principally wood, woven fabric, and foam products. The cost of foam products, which are petroleum-based, is sensitive to changes in the price of oil.</w:t>
      </w:r>
    </w:p>
    <w:p>
      <w:pPr>
        <w:spacing w:after="0" w:line="162"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We are also exposed to commodity price risk related to diesel fuel prices for fuel used in our logistical services segment. We manage our exposure to that risk primarily through the application of fuel surcharges to our customers.</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have potential exposure to market risk related to conditions in the commercial real estate market. Our retail real estate holdings of $1,629 at March 2, 2019 for stores formerly operated by licensees as well as our holdings of $19,844 at March 2, 2019 for Company-owned stores could suffer significant impairment in value if we are forced to close additional stores and sell or lease the related properties during periods of weakness in certain markets. Additionally, if we are required to assume responsibility for payment under the lease obligations of $1,953 which we have guaranteed on behalf of licensees as of March 2, 2019, we may not be able to secure sufficient sub-lease income in the current market to offset the payments required under the guarantees.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Company’s principal executive officer and principal accounting officer have evaluated the Company’s disclosure controls and procedures (as defined in Exchange Act Rule 13a-15(e)) as of the end of the period covered by this Quarterly Report on Form 10-Q. Based upon their evaluation, the principal executive officer and principal accounting officer concluded that the Company’s disclosure controls and procedures are effective. There has been no change in the Company’s internal control over financial reporting during the Company’s most recent fiscal quarter that has materially affected, or is reasonably likely to materially affect, the Company’s internal control over financial reporting.</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3" w:name="page34"/>
    <w:bookmarkEnd w:id="33"/>
    <w:p>
      <w:pPr>
        <w:jc w:val="center"/>
        <w:spacing w:after="0"/>
        <w:rPr>
          <w:sz w:val="20"/>
          <w:szCs w:val="20"/>
          <w:color w:val="auto"/>
        </w:rPr>
      </w:pPr>
      <w:r>
        <w:rPr>
          <w:rFonts w:ascii="Times New Roman" w:cs="Times New Roman" w:eastAsia="Times New Roman" w:hAnsi="Times New Roman"/>
          <w:sz w:val="18"/>
          <w:szCs w:val="18"/>
          <w:u w:val="single" w:color="auto"/>
          <w:color w:val="auto"/>
        </w:rPr>
        <w:t>PART I-FINANCIAL INFORMATION-CONTINUED</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Safe-harbor, forward-looking statements:</w:t>
      </w:r>
    </w:p>
    <w:p>
      <w:pPr>
        <w:spacing w:after="0" w:line="22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 xml:space="preserve">The discussion in items 2 and 3 above contains certain forward-looking statements within the meaning of the Private Securities Litigation Reform Act of 1995 with respect to the financial condition, results of operations and business of Bassett Furniture Industries, Incorporated and subsidiaries. Such forward-looking statements are identified by use of forward-looking words such as </w:t>
      </w:r>
      <w:r>
        <w:rPr>
          <w:rFonts w:ascii="Times New Roman" w:cs="Times New Roman" w:eastAsia="Times New Roman" w:hAnsi="Times New Roman"/>
          <w:sz w:val="18"/>
          <w:szCs w:val="18"/>
          <w:i w:val="1"/>
          <w:iCs w:val="1"/>
          <w:color w:val="auto"/>
        </w:rPr>
        <w:t>“anticipates”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“believes”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“plans”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“estimates”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“expects”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“aims”</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“intends”</w:t>
      </w:r>
      <w:r>
        <w:rPr>
          <w:rFonts w:ascii="Times New Roman" w:cs="Times New Roman" w:eastAsia="Times New Roman" w:hAnsi="Times New Roman"/>
          <w:sz w:val="18"/>
          <w:szCs w:val="18"/>
          <w:color w:val="auto"/>
        </w:rPr>
        <w:t xml:space="preserve"> or words or phrases of similar expression. These forward-looking statements involve certain risks and uncertainties. No assurance can be given that any such matters will be realized. Important factors that could cause actual results to differ materially from those contemplated by such forward-looking statements include:</w:t>
      </w:r>
    </w:p>
    <w:p>
      <w:pPr>
        <w:spacing w:after="0" w:line="188" w:lineRule="exact"/>
        <w:rPr>
          <w:sz w:val="20"/>
          <w:szCs w:val="20"/>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competitive conditions in the home furnishings industry</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economic conditions, including the strength of the housing market in the United States</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overall retail traffic levels and consumer demand for home furnishings</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of our customers and consumers to obtain credit</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Bassett store openings and store closings and the profitability of the stores (independent licensees and Company-owned retail stores)</w:t>
      </w:r>
    </w:p>
    <w:p>
      <w:pPr>
        <w:spacing w:after="0" w:line="225" w:lineRule="exact"/>
        <w:rPr>
          <w:rFonts w:ascii="Times New Roman" w:cs="Times New Roman" w:eastAsia="Times New Roman" w:hAnsi="Times New Roman"/>
          <w:sz w:val="18"/>
          <w:szCs w:val="18"/>
          <w:color w:val="auto"/>
        </w:rPr>
      </w:pPr>
    </w:p>
    <w:p>
      <w:pPr>
        <w:ind w:left="260" w:hanging="252"/>
        <w:spacing w:after="0" w:line="282" w:lineRule="auto"/>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to implement our Company-owned retail strategies and realize the benefits from such strategies, including our initiatives to expand and improve our digital marketing capabilities, as they are implemented</w:t>
      </w:r>
    </w:p>
    <w:p>
      <w:pPr>
        <w:spacing w:after="0" w:line="161" w:lineRule="exact"/>
        <w:rPr>
          <w:rFonts w:ascii="Times New Roman" w:cs="Times New Roman" w:eastAsia="Times New Roman" w:hAnsi="Times New Roman"/>
          <w:sz w:val="18"/>
          <w:szCs w:val="18"/>
          <w:color w:val="auto"/>
        </w:rPr>
      </w:pPr>
    </w:p>
    <w:p>
      <w:pPr>
        <w:ind w:left="260" w:right="60" w:hanging="252"/>
        <w:spacing w:after="0" w:line="282" w:lineRule="auto"/>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the cost and availability of raw materials, fuel, labor and sourced products, including those which may result from the imposition of new or increased duties, tariffs, retaliatory tariffs and trade limitations with respect to foreign-sourced products</w:t>
      </w:r>
    </w:p>
    <w:p>
      <w:pPr>
        <w:spacing w:after="0" w:line="161"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results of marketing and advertising campaigns</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effectiveness and security of our information and technology systems</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future tax legislation, or regulatory or judicial positions</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to efficiently manage the import supply chain to minimize business interruption</w:t>
      </w:r>
    </w:p>
    <w:p>
      <w:pPr>
        <w:spacing w:after="0" w:line="225" w:lineRule="exact"/>
        <w:rPr>
          <w:rFonts w:ascii="Times New Roman" w:cs="Times New Roman" w:eastAsia="Times New Roman" w:hAnsi="Times New Roman"/>
          <w:sz w:val="18"/>
          <w:szCs w:val="18"/>
          <w:color w:val="auto"/>
        </w:rPr>
      </w:pPr>
    </w:p>
    <w:p>
      <w:pPr>
        <w:ind w:left="260" w:right="140" w:hanging="252"/>
        <w:spacing w:after="0" w:line="282" w:lineRule="auto"/>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concentration of domestic manufacturing, particularly of upholstery products, and the resulting exposure to business interruption from accidents, weather and other events and circumstances beyond our control</w:t>
      </w:r>
    </w:p>
    <w:p>
      <w:pPr>
        <w:spacing w:after="0" w:line="161"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risks associated with providing freight transportation and other logistical services through our wholly-owned subsidiary, Zenith Freight Lines,</w:t>
      </w:r>
    </w:p>
    <w:p>
      <w:pPr>
        <w:spacing w:after="0" w:line="27" w:lineRule="exact"/>
        <w:rPr>
          <w:rFonts w:ascii="Times New Roman" w:cs="Times New Roman" w:eastAsia="Times New Roman" w:hAnsi="Times New Roman"/>
          <w:sz w:val="18"/>
          <w:szCs w:val="18"/>
          <w:color w:val="auto"/>
        </w:rPr>
      </w:pPr>
    </w:p>
    <w:p>
      <w:pPr>
        <w:ind w:left="2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LLC</w:t>
      </w:r>
    </w:p>
    <w:p>
      <w:pPr>
        <w:spacing w:after="0" w:line="207"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Additionally, other risks that could cause actual results to differ materially from those contemplated by such forward-looking statements are set forth in Item 1A. Risk Factors in the Company’s Annual Report on Form 10-K for fiscal 2018.</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You should keep in mind that any forward-looking statement made by us in this report or elsewhere speaks only as of the date on which such forward-looking statement is made. New risks and uncertainties arise from time to time, and it is impossible for us to predict these events or how they may affect us. We have no duty to, and do not intend to, update or revise the forward-looking statements in this discussion after the date hereof, except as may be required by law. In light of these risks and uncertainties, you should keep in mind that the events described in any forward-looking statement made in this report or elsewhere, might not occur.</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4" w:name="page35"/>
    <w:bookmarkEnd w:id="34"/>
    <w:p>
      <w:pPr>
        <w:jc w:val="center"/>
        <w:spacing w:after="0"/>
        <w:rPr>
          <w:sz w:val="20"/>
          <w:szCs w:val="20"/>
          <w:color w:val="auto"/>
        </w:rPr>
      </w:pPr>
      <w:r>
        <w:rPr>
          <w:rFonts w:ascii="Times New Roman" w:cs="Times New Roman" w:eastAsia="Times New Roman" w:hAnsi="Times New Roman"/>
          <w:sz w:val="18"/>
          <w:szCs w:val="18"/>
          <w:u w:val="single" w:color="auto"/>
          <w:color w:val="auto"/>
        </w:rPr>
        <w:t>PART II - OTHER INFORMATION</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BASSETT FURNITURE INDUSTRIES INCORPORATED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(Dollars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Legal Proceedings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Unregistered Sales of Equity Securities, Use of Proceeds and Issuer Purchases of Equity Securities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following table summarizes the stock repurchase activity for the three months ended March 2, 2019 and the approximate dollar value of shares that may yet be purchased pursuant to our stock repurchase program:</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4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Approximate Dollar Value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1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Total Number of Shares</w:t>
            </w:r>
          </w:p>
        </w:tc>
        <w:tc>
          <w:tcPr>
            <w:tcW w:w="120" w:type="dxa"/>
            <w:vAlign w:val="bottom"/>
          </w:tcPr>
          <w:p>
            <w:pPr>
              <w:spacing w:after="0"/>
              <w:rPr>
                <w:sz w:val="18"/>
                <w:szCs w:val="18"/>
                <w:color w:val="auto"/>
              </w:rPr>
            </w:pPr>
          </w:p>
        </w:tc>
        <w:tc>
          <w:tcPr>
            <w:tcW w:w="214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of Shares that May Yet Be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198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7"/>
              </w:rPr>
              <w:t>Total</w:t>
            </w:r>
          </w:p>
        </w:tc>
        <w:tc>
          <w:tcPr>
            <w:tcW w:w="28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1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Purchased as Part of</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Purchased Under the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198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Shares</w:t>
            </w:r>
          </w:p>
        </w:tc>
        <w:tc>
          <w:tcPr>
            <w:tcW w:w="280" w:type="dxa"/>
            <w:vAlign w:val="bottom"/>
          </w:tcPr>
          <w:p>
            <w:pPr>
              <w:spacing w:after="0"/>
              <w:rPr>
                <w:sz w:val="18"/>
                <w:szCs w:val="18"/>
                <w:color w:val="auto"/>
              </w:rPr>
            </w:pPr>
          </w:p>
        </w:tc>
        <w:tc>
          <w:tcPr>
            <w:tcW w:w="1660" w:type="dxa"/>
            <w:vAlign w:val="bottom"/>
            <w:gridSpan w:val="2"/>
          </w:tcPr>
          <w:p>
            <w:pPr>
              <w:jc w:val="right"/>
              <w:ind w:right="760"/>
              <w:spacing w:after="0"/>
              <w:rPr>
                <w:sz w:val="20"/>
                <w:szCs w:val="20"/>
                <w:color w:val="auto"/>
              </w:rPr>
            </w:pPr>
            <w:r>
              <w:rPr>
                <w:rFonts w:ascii="Times New Roman" w:cs="Times New Roman" w:eastAsia="Times New Roman" w:hAnsi="Times New Roman"/>
                <w:sz w:val="18"/>
                <w:szCs w:val="18"/>
                <w:b w:val="1"/>
                <w:bCs w:val="1"/>
                <w:color w:val="auto"/>
              </w:rPr>
              <w:t>Average</w:t>
            </w:r>
          </w:p>
        </w:tc>
        <w:tc>
          <w:tcPr>
            <w:tcW w:w="21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Publicly Announced Plans</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Plans</w:t>
            </w: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3080" w:type="dxa"/>
            <w:vAlign w:val="bottom"/>
          </w:tcPr>
          <w:p>
            <w:pPr>
              <w:spacing w:after="0"/>
              <w:rPr>
                <w:sz w:val="20"/>
                <w:szCs w:val="20"/>
                <w:color w:val="auto"/>
              </w:rPr>
            </w:pPr>
          </w:p>
        </w:tc>
        <w:tc>
          <w:tcPr>
            <w:tcW w:w="198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8"/>
              </w:rPr>
              <w:t>Purchased</w:t>
            </w:r>
          </w:p>
        </w:tc>
        <w:tc>
          <w:tcPr>
            <w:tcW w:w="280" w:type="dxa"/>
            <w:vAlign w:val="bottom"/>
          </w:tcPr>
          <w:p>
            <w:pPr>
              <w:spacing w:after="0"/>
              <w:rPr>
                <w:sz w:val="20"/>
                <w:szCs w:val="20"/>
                <w:color w:val="auto"/>
              </w:rPr>
            </w:pPr>
          </w:p>
        </w:tc>
        <w:tc>
          <w:tcPr>
            <w:tcW w:w="1660" w:type="dxa"/>
            <w:vAlign w:val="bottom"/>
            <w:gridSpan w:val="2"/>
          </w:tcPr>
          <w:p>
            <w:pPr>
              <w:jc w:val="right"/>
              <w:ind w:right="680"/>
              <w:spacing w:after="0"/>
              <w:rPr>
                <w:sz w:val="20"/>
                <w:szCs w:val="20"/>
                <w:color w:val="auto"/>
              </w:rPr>
            </w:pPr>
            <w:r>
              <w:rPr>
                <w:rFonts w:ascii="Times New Roman" w:cs="Times New Roman" w:eastAsia="Times New Roman" w:hAnsi="Times New Roman"/>
                <w:sz w:val="18"/>
                <w:szCs w:val="18"/>
                <w:b w:val="1"/>
                <w:bCs w:val="1"/>
                <w:color w:val="auto"/>
              </w:rPr>
              <w:t>Price Paid</w:t>
            </w:r>
          </w:p>
        </w:tc>
        <w:tc>
          <w:tcPr>
            <w:tcW w:w="21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or Programs (1)</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or Programs (1)</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080" w:type="dxa"/>
            <w:vAlign w:val="bottom"/>
          </w:tcPr>
          <w:p>
            <w:pPr>
              <w:spacing w:after="0"/>
              <w:rPr>
                <w:sz w:val="18"/>
                <w:szCs w:val="18"/>
                <w:color w:val="auto"/>
              </w:rPr>
            </w:pPr>
          </w:p>
        </w:tc>
        <w:tc>
          <w:tcPr>
            <w:tcW w:w="172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4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9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November 25, 2018 - January 5, 2019</w:t>
            </w:r>
          </w:p>
        </w:tc>
        <w:tc>
          <w:tcPr>
            <w:tcW w:w="19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32,052</w:t>
            </w:r>
          </w:p>
        </w:tc>
        <w:tc>
          <w:tcPr>
            <w:tcW w:w="280" w:type="dxa"/>
            <w:vAlign w:val="bottom"/>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color w:val="auto"/>
                <w:w w:val="70"/>
              </w:rPr>
              <w:t>$</w:t>
            </w:r>
          </w:p>
        </w:tc>
        <w:tc>
          <w:tcPr>
            <w:tcW w:w="16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20.18</w:t>
            </w:r>
          </w:p>
        </w:tc>
        <w:tc>
          <w:tcPr>
            <w:tcW w:w="21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32,052</w:t>
            </w:r>
          </w:p>
        </w:tc>
        <w:tc>
          <w:tcPr>
            <w:tcW w:w="26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17,338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20"/>
                <w:szCs w:val="20"/>
                <w:color w:val="auto"/>
              </w:rPr>
            </w:pPr>
            <w:r>
              <w:rPr>
                <w:rFonts w:ascii="Times New Roman" w:cs="Times New Roman" w:eastAsia="Times New Roman" w:hAnsi="Times New Roman"/>
                <w:sz w:val="18"/>
                <w:szCs w:val="18"/>
                <w:color w:val="auto"/>
              </w:rPr>
              <w:t>January 6 - February 2, 2019</w:t>
            </w:r>
          </w:p>
        </w:tc>
        <w:tc>
          <w:tcPr>
            <w:tcW w:w="19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15,416</w:t>
            </w:r>
          </w:p>
        </w:tc>
        <w:tc>
          <w:tcPr>
            <w:tcW w:w="280" w:type="dxa"/>
            <w:vAlign w:val="bottom"/>
          </w:tcPr>
          <w:p>
            <w:pPr>
              <w:jc w:val="right"/>
              <w:ind w:right="115"/>
              <w:spacing w:after="0"/>
              <w:rPr>
                <w:sz w:val="20"/>
                <w:szCs w:val="20"/>
                <w:color w:val="auto"/>
              </w:rPr>
            </w:pPr>
            <w:r>
              <w:rPr>
                <w:rFonts w:ascii="Times New Roman" w:cs="Times New Roman" w:eastAsia="Times New Roman" w:hAnsi="Times New Roman"/>
                <w:sz w:val="17"/>
                <w:szCs w:val="17"/>
                <w:color w:val="auto"/>
                <w:w w:val="70"/>
              </w:rPr>
              <w:t>$</w:t>
            </w:r>
          </w:p>
        </w:tc>
        <w:tc>
          <w:tcPr>
            <w:tcW w:w="16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18.83</w:t>
            </w:r>
          </w:p>
        </w:tc>
        <w:tc>
          <w:tcPr>
            <w:tcW w:w="21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15,416</w:t>
            </w:r>
          </w:p>
        </w:tc>
        <w:tc>
          <w:tcPr>
            <w:tcW w:w="26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17,047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February 3 - March 2, 2019</w:t>
            </w: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4,000</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color w:val="auto"/>
                <w:w w:val="70"/>
              </w:rPr>
              <w:t>$</w:t>
            </w:r>
          </w:p>
        </w:tc>
        <w:tc>
          <w:tcPr>
            <w:tcW w:w="16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18.69</w:t>
            </w:r>
          </w:p>
        </w:tc>
        <w:tc>
          <w:tcPr>
            <w:tcW w:w="21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4,000</w:t>
            </w:r>
          </w:p>
        </w:tc>
        <w:tc>
          <w:tcPr>
            <w:tcW w:w="26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16,973</w:t>
            </w: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ind w:left="340" w:hanging="332"/>
        <w:spacing w:after="0" w:line="266" w:lineRule="auto"/>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is authorized to repurchase Company stock under a plan which was originally announced in 1998. On October 3, 2018, the Board of Directors increased the remaining limit of the repurchase plan to $20,000. At March 2, 2019, $16,973 remains available for stock repurchases under the plan.</w:t>
      </w:r>
    </w:p>
    <w:p>
      <w:pPr>
        <w:spacing w:after="0" w:line="3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Defaults Upon Senior Securities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Exhibits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Exhibits:</w:t>
      </w:r>
    </w:p>
    <w:p>
      <w:pPr>
        <w:spacing w:after="0" w:line="225" w:lineRule="exact"/>
        <w:rPr>
          <w:sz w:val="20"/>
          <w:szCs w:val="20"/>
          <w:color w:val="auto"/>
        </w:rPr>
      </w:pPr>
    </w:p>
    <w:p>
      <w:pPr>
        <w:ind w:left="340" w:right="580"/>
        <w:spacing w:after="0" w:line="282" w:lineRule="auto"/>
        <w:rPr>
          <w:sz w:val="20"/>
          <w:szCs w:val="20"/>
          <w:color w:val="auto"/>
        </w:rPr>
      </w:pPr>
      <w:r>
        <w:rPr>
          <w:rFonts w:ascii="Times New Roman" w:cs="Times New Roman" w:eastAsia="Times New Roman" w:hAnsi="Times New Roman"/>
          <w:sz w:val="18"/>
          <w:szCs w:val="18"/>
          <w:color w:val="auto"/>
        </w:rPr>
        <w:t>Exhibit 3a – Articles of Incorporation as amended to date are incorporated herein by reference to the Exhibit to Form 10-Q for the fiscal quarter ended February 28, 1994.</w:t>
      </w:r>
    </w:p>
    <w:p>
      <w:pPr>
        <w:spacing w:after="0" w:line="162" w:lineRule="exact"/>
        <w:rPr>
          <w:sz w:val="20"/>
          <w:szCs w:val="20"/>
          <w:color w:val="auto"/>
        </w:rPr>
      </w:pPr>
    </w:p>
    <w:p>
      <w:pPr>
        <w:ind w:left="3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Exhibit 3b – </w:t>
      </w:r>
      <w:hyperlink r:id="rId40">
        <w:r>
          <w:rPr>
            <w:rFonts w:ascii="Times New Roman" w:cs="Times New Roman" w:eastAsia="Times New Roman" w:hAnsi="Times New Roman"/>
            <w:sz w:val="18"/>
            <w:szCs w:val="18"/>
            <w:u w:val="single" w:color="auto"/>
            <w:color w:val="0000EE"/>
          </w:rPr>
          <w:t>By-laws as amended to date are incorporated herein by reference to Exhibit 3 to Form 8-K filed with the SEC on January 22, 2019.</w:t>
        </w:r>
      </w:hyperlink>
    </w:p>
    <w:p>
      <w:pPr>
        <w:spacing w:after="0" w:line="225" w:lineRule="exact"/>
        <w:rPr>
          <w:sz w:val="20"/>
          <w:szCs w:val="20"/>
          <w:color w:val="auto"/>
        </w:rPr>
      </w:pPr>
    </w:p>
    <w:p>
      <w:pPr>
        <w:ind w:left="340" w:right="600"/>
        <w:spacing w:after="0" w:line="282" w:lineRule="auto"/>
        <w:rPr>
          <w:sz w:val="20"/>
          <w:szCs w:val="20"/>
          <w:color w:val="auto"/>
        </w:rPr>
      </w:pPr>
      <w:r>
        <w:rPr>
          <w:rFonts w:ascii="Times New Roman" w:cs="Times New Roman" w:eastAsia="Times New Roman" w:hAnsi="Times New Roman"/>
          <w:sz w:val="18"/>
          <w:szCs w:val="18"/>
          <w:color w:val="auto"/>
        </w:rPr>
        <w:t>Exhibit 4 – Registrant hereby agrees to furnish the SEC, upon request, other instruments defining the rights of holders of long-term debt of the Registrant.</w:t>
      </w:r>
    </w:p>
    <w:p>
      <w:pPr>
        <w:spacing w:after="0" w:line="162" w:lineRule="exact"/>
        <w:rPr>
          <w:sz w:val="20"/>
          <w:szCs w:val="20"/>
          <w:color w:val="auto"/>
        </w:rPr>
      </w:pPr>
    </w:p>
    <w:p>
      <w:pPr>
        <w:ind w:left="3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Exhibit 31a – </w:t>
      </w:r>
      <w:hyperlink w:anchor="page38">
        <w:r>
          <w:rPr>
            <w:rFonts w:ascii="Times New Roman" w:cs="Times New Roman" w:eastAsia="Times New Roman" w:hAnsi="Times New Roman"/>
            <w:sz w:val="18"/>
            <w:szCs w:val="18"/>
            <w:u w:val="single" w:color="auto"/>
            <w:color w:val="0000EE"/>
          </w:rPr>
          <w:t>Chief Executive Officer’s certification pursuant to Section 302 of the Sarbanes-Oxley Act of 2002</w:t>
        </w:r>
      </w:hyperlink>
    </w:p>
    <w:p>
      <w:pPr>
        <w:spacing w:after="0" w:line="225" w:lineRule="exact"/>
        <w:rPr>
          <w:sz w:val="20"/>
          <w:szCs w:val="20"/>
          <w:color w:val="auto"/>
        </w:rPr>
      </w:pPr>
    </w:p>
    <w:p>
      <w:pPr>
        <w:ind w:left="3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Exhibit 31b – </w:t>
      </w:r>
      <w:hyperlink w:anchor="page39">
        <w:r>
          <w:rPr>
            <w:rFonts w:ascii="Times New Roman" w:cs="Times New Roman" w:eastAsia="Times New Roman" w:hAnsi="Times New Roman"/>
            <w:sz w:val="18"/>
            <w:szCs w:val="18"/>
            <w:u w:val="single" w:color="auto"/>
            <w:color w:val="0000EE"/>
          </w:rPr>
          <w:t>Chief Financial Officer’s certification pursuant to Section 302 of the Sarbanes-Oxley Act of 2002</w:t>
        </w:r>
      </w:hyperlink>
    </w:p>
    <w:p>
      <w:pPr>
        <w:spacing w:after="0" w:line="225" w:lineRule="exact"/>
        <w:rPr>
          <w:sz w:val="20"/>
          <w:szCs w:val="20"/>
          <w:color w:val="auto"/>
        </w:rPr>
      </w:pPr>
    </w:p>
    <w:p>
      <w:pPr>
        <w:ind w:left="340" w:right="580"/>
        <w:spacing w:after="0" w:line="282" w:lineRule="auto"/>
        <w:rPr>
          <w:rFonts w:ascii="Times New Roman" w:cs="Times New Roman" w:eastAsia="Times New Roman" w:hAnsi="Times New Roman"/>
          <w:sz w:val="18"/>
          <w:szCs w:val="18"/>
          <w:u w:val="single" w:color="auto"/>
          <w:color w:val="0000EE"/>
        </w:rPr>
      </w:pPr>
      <w:hyperlink w:anchor="page40">
        <w:r>
          <w:rPr>
            <w:rFonts w:ascii="Times New Roman" w:cs="Times New Roman" w:eastAsia="Times New Roman" w:hAnsi="Times New Roman"/>
            <w:sz w:val="18"/>
            <w:szCs w:val="18"/>
            <w:color w:val="auto"/>
          </w:rPr>
          <w:t xml:space="preserve">Exhibit 32a – </w:t>
        </w:r>
        <w:r>
          <w:rPr>
            <w:rFonts w:ascii="Times New Roman" w:cs="Times New Roman" w:eastAsia="Times New Roman" w:hAnsi="Times New Roman"/>
            <w:sz w:val="18"/>
            <w:szCs w:val="18"/>
            <w:u w:val="single" w:color="auto"/>
            <w:color w:val="0000EE"/>
          </w:rPr>
          <w:t>Chief Executive Officer’s certification pursuant to 18 U.S.C. 1350, as adopted pursuant to Section 906 of the Sarbanes-Oxley Act</w:t>
        </w:r>
      </w:hyperlink>
      <w:r>
        <w:rPr>
          <w:rFonts w:ascii="Times New Roman" w:cs="Times New Roman" w:eastAsia="Times New Roman" w:hAnsi="Times New Roman"/>
          <w:sz w:val="18"/>
          <w:szCs w:val="18"/>
          <w:color w:val="auto"/>
        </w:rPr>
        <w:t xml:space="preserve"> </w:t>
      </w:r>
      <w:hyperlink w:anchor="page40">
        <w:r>
          <w:rPr>
            <w:rFonts w:ascii="Times New Roman" w:cs="Times New Roman" w:eastAsia="Times New Roman" w:hAnsi="Times New Roman"/>
            <w:sz w:val="18"/>
            <w:szCs w:val="18"/>
            <w:u w:val="single" w:color="auto"/>
            <w:color w:val="0000EE"/>
          </w:rPr>
          <w:t>of 2002</w:t>
        </w:r>
      </w:hyperlink>
    </w:p>
    <w:p>
      <w:pPr>
        <w:spacing w:after="0" w:line="162" w:lineRule="exact"/>
        <w:rPr>
          <w:sz w:val="20"/>
          <w:szCs w:val="20"/>
          <w:color w:val="auto"/>
        </w:rPr>
      </w:pPr>
    </w:p>
    <w:p>
      <w:pPr>
        <w:ind w:left="340" w:right="600"/>
        <w:spacing w:after="0" w:line="282" w:lineRule="auto"/>
        <w:rPr>
          <w:rFonts w:ascii="Times New Roman" w:cs="Times New Roman" w:eastAsia="Times New Roman" w:hAnsi="Times New Roman"/>
          <w:sz w:val="18"/>
          <w:szCs w:val="18"/>
          <w:u w:val="single" w:color="auto"/>
          <w:color w:val="0000EE"/>
        </w:rPr>
      </w:pPr>
      <w:hyperlink w:anchor="page41">
        <w:r>
          <w:rPr>
            <w:rFonts w:ascii="Times New Roman" w:cs="Times New Roman" w:eastAsia="Times New Roman" w:hAnsi="Times New Roman"/>
            <w:sz w:val="18"/>
            <w:szCs w:val="18"/>
            <w:color w:val="auto"/>
          </w:rPr>
          <w:t xml:space="preserve">Exhibit 32b – </w:t>
        </w:r>
        <w:r>
          <w:rPr>
            <w:rFonts w:ascii="Times New Roman" w:cs="Times New Roman" w:eastAsia="Times New Roman" w:hAnsi="Times New Roman"/>
            <w:sz w:val="18"/>
            <w:szCs w:val="18"/>
            <w:u w:val="single" w:color="auto"/>
            <w:color w:val="0000EE"/>
          </w:rPr>
          <w:t>Chief Financial Officer’s certification pursuant to 18 U.S.C. 1350, as adopted pursuant to Section 906 of the Sarbanes-Oxley Act</w:t>
        </w:r>
      </w:hyperlink>
      <w:r>
        <w:rPr>
          <w:rFonts w:ascii="Times New Roman" w:cs="Times New Roman" w:eastAsia="Times New Roman" w:hAnsi="Times New Roman"/>
          <w:sz w:val="18"/>
          <w:szCs w:val="18"/>
          <w:color w:val="auto"/>
        </w:rPr>
        <w:t xml:space="preserve"> </w:t>
      </w:r>
      <w:hyperlink w:anchor="page41">
        <w:r>
          <w:rPr>
            <w:rFonts w:ascii="Times New Roman" w:cs="Times New Roman" w:eastAsia="Times New Roman" w:hAnsi="Times New Roman"/>
            <w:sz w:val="18"/>
            <w:szCs w:val="18"/>
            <w:u w:val="single" w:color="auto"/>
            <w:color w:val="0000EE"/>
          </w:rPr>
          <w:t>of 2002</w:t>
        </w:r>
      </w:hyperlink>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466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35" w:name="page36"/>
    <w:bookmarkEnd w:id="35"/>
    <w:p>
      <w:pPr>
        <w:jc w:val="center"/>
        <w:ind w:right="-880"/>
        <w:spacing w:after="0"/>
        <w:rPr>
          <w:sz w:val="20"/>
          <w:szCs w:val="20"/>
          <w:color w:val="auto"/>
        </w:rPr>
      </w:pPr>
      <w:r>
        <w:rPr>
          <w:rFonts w:ascii="Times New Roman" w:cs="Times New Roman" w:eastAsia="Times New Roman" w:hAnsi="Times New Roman"/>
          <w:sz w:val="18"/>
          <w:szCs w:val="18"/>
          <w:u w:val="single" w:color="auto"/>
          <w:color w:val="auto"/>
        </w:rPr>
        <w:t>PART II - OTHER INFORMATION - CONTINUED</w:t>
      </w:r>
    </w:p>
    <w:p>
      <w:pPr>
        <w:spacing w:after="0" w:line="27" w:lineRule="exact"/>
        <w:rPr>
          <w:sz w:val="20"/>
          <w:szCs w:val="20"/>
          <w:color w:val="auto"/>
        </w:rPr>
      </w:pPr>
    </w:p>
    <w:p>
      <w:pPr>
        <w:jc w:val="center"/>
        <w:ind w:right="-880"/>
        <w:spacing w:after="0"/>
        <w:rPr>
          <w:sz w:val="20"/>
          <w:szCs w:val="20"/>
          <w:color w:val="auto"/>
        </w:rPr>
      </w:pPr>
      <w:r>
        <w:rPr>
          <w:rFonts w:ascii="Times New Roman" w:cs="Times New Roman" w:eastAsia="Times New Roman" w:hAnsi="Times New Roman"/>
          <w:sz w:val="17"/>
          <w:szCs w:val="17"/>
          <w:u w:val="single" w:color="auto"/>
          <w:color w:val="auto"/>
        </w:rPr>
        <w:t>BASSETT FURNITURE INDUSTRIES INCORPORATED AND SUBSIDIARIES</w:t>
      </w:r>
    </w:p>
    <w:p>
      <w:pPr>
        <w:spacing w:after="0" w:line="21" w:lineRule="exact"/>
        <w:rPr>
          <w:sz w:val="20"/>
          <w:szCs w:val="20"/>
          <w:color w:val="auto"/>
        </w:rPr>
      </w:pPr>
    </w:p>
    <w:p>
      <w:pPr>
        <w:jc w:val="center"/>
        <w:ind w:right="-880"/>
        <w:spacing w:after="0"/>
        <w:rPr>
          <w:sz w:val="20"/>
          <w:szCs w:val="20"/>
          <w:color w:val="auto"/>
        </w:rPr>
      </w:pPr>
      <w:r>
        <w:rPr>
          <w:rFonts w:ascii="Times New Roman" w:cs="Times New Roman" w:eastAsia="Times New Roman" w:hAnsi="Times New Roman"/>
          <w:sz w:val="18"/>
          <w:szCs w:val="18"/>
          <w:u w:val="single" w:color="auto"/>
          <w:color w:val="auto"/>
        </w:rPr>
        <w:t>MARCH 2, 2019</w:t>
      </w:r>
    </w:p>
    <w:p>
      <w:pPr>
        <w:spacing w:after="0" w:line="9" w:lineRule="exact"/>
        <w:rPr>
          <w:sz w:val="20"/>
          <w:szCs w:val="20"/>
          <w:color w:val="auto"/>
        </w:rPr>
      </w:pPr>
    </w:p>
    <w:p>
      <w:pPr>
        <w:jc w:val="center"/>
        <w:ind w:right="-880"/>
        <w:spacing w:after="0"/>
        <w:rPr>
          <w:sz w:val="20"/>
          <w:szCs w:val="20"/>
          <w:color w:val="auto"/>
        </w:rPr>
      </w:pPr>
      <w:r>
        <w:rPr>
          <w:rFonts w:ascii="Times New Roman" w:cs="Times New Roman" w:eastAsia="Times New Roman" w:hAnsi="Times New Roman"/>
          <w:sz w:val="18"/>
          <w:szCs w:val="18"/>
          <w:color w:val="auto"/>
        </w:rPr>
        <w:t>(Dollars in thousands except share and per share data)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Exhibit 101.INS XBRL Instance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Exhibit 101.SCH XBRL Taxonomy Extension Schema</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Exhibit 101.CAL XBRL Taxonomy Extension Calculation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Exhibit 101.DEF XBRL Taxonomy Extension Definition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Exhibit 101.LAB XBRL Taxonomy Extension Labels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Exhibit 101.PRE XBRL Taxonomy Extension Presentation</w:t>
      </w:r>
    </w:p>
    <w:p>
      <w:pPr>
        <w:spacing w:after="0" w:line="225" w:lineRule="exact"/>
        <w:rPr>
          <w:sz w:val="20"/>
          <w:szCs w:val="20"/>
          <w:color w:val="auto"/>
        </w:rPr>
      </w:pPr>
    </w:p>
    <w:p>
      <w:pPr>
        <w:ind w:left="5080"/>
        <w:spacing w:after="0"/>
        <w:rPr>
          <w:sz w:val="20"/>
          <w:szCs w:val="20"/>
          <w:color w:val="auto"/>
        </w:rPr>
      </w:pPr>
      <w:r>
        <w:rPr>
          <w:rFonts w:ascii="Times New Roman" w:cs="Times New Roman" w:eastAsia="Times New Roman" w:hAnsi="Times New Roman"/>
          <w:sz w:val="18"/>
          <w:szCs w:val="18"/>
          <w:color w:val="auto"/>
        </w:rPr>
        <w:t>36 of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-210185</wp:posOffset>
            </wp:positionH>
            <wp:positionV relativeFrom="paragraph">
              <wp:posOffset>85725</wp:posOffset>
            </wp:positionV>
            <wp:extent cx="72466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879"/>
          </w:cols>
          <w:pgMar w:left="580" w:top="580" w:right="1440" w:bottom="1440" w:gutter="0" w:footer="0" w:header="0"/>
        </w:sectPr>
      </w:pPr>
    </w:p>
    <w:bookmarkStart w:id="36" w:name="page37"/>
    <w:bookmarkEnd w:id="36"/>
    <w:p>
      <w:pPr>
        <w:jc w:val="center"/>
        <w:ind w:right="-99"/>
        <w:spacing w:after="0"/>
        <w:rPr>
          <w:sz w:val="20"/>
          <w:szCs w:val="20"/>
          <w:color w:val="auto"/>
        </w:rPr>
      </w:pPr>
      <w:r>
        <w:rPr>
          <w:rFonts w:ascii="Times New Roman" w:cs="Times New Roman" w:eastAsia="Times New Roman" w:hAnsi="Times New Roman"/>
          <w:sz w:val="18"/>
          <w:szCs w:val="18"/>
          <w:u w:val="single" w:color="auto"/>
          <w:color w:val="auto"/>
        </w:rPr>
        <w:t>SIGNATURES</w:t>
      </w:r>
    </w:p>
    <w:p>
      <w:pPr>
        <w:spacing w:after="0" w:line="200" w:lineRule="exact"/>
        <w:rPr>
          <w:sz w:val="20"/>
          <w:szCs w:val="20"/>
          <w:color w:val="auto"/>
        </w:rPr>
      </w:pPr>
    </w:p>
    <w:p>
      <w:pPr>
        <w:spacing w:after="0" w:line="241"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3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BASSETT FURNITURE INDUSTRIES, INCORPORATED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R</w:t>
      </w:r>
      <w:r>
        <w:rPr>
          <w:rFonts w:ascii="Times New Roman" w:cs="Times New Roman" w:eastAsia="Times New Roman" w:hAnsi="Times New Roman"/>
          <w:sz w:val="12"/>
          <w:szCs w:val="12"/>
          <w:color w:val="auto"/>
        </w:rPr>
        <w:t>OBERT</w:t>
      </w:r>
      <w:r>
        <w:rPr>
          <w:rFonts w:ascii="Times New Roman" w:cs="Times New Roman" w:eastAsia="Times New Roman" w:hAnsi="Times New Roman"/>
          <w:sz w:val="18"/>
          <w:szCs w:val="18"/>
          <w:color w:val="auto"/>
        </w:rPr>
        <w:t xml:space="preserve"> H. S</w:t>
      </w:r>
      <w:r>
        <w:rPr>
          <w:rFonts w:ascii="Times New Roman" w:cs="Times New Roman" w:eastAsia="Times New Roman" w:hAnsi="Times New Roman"/>
          <w:sz w:val="12"/>
          <w:szCs w:val="12"/>
          <w:color w:val="auto"/>
        </w:rPr>
        <w:t>PILMAN</w:t>
      </w:r>
      <w:r>
        <w:rPr>
          <w:rFonts w:ascii="Times New Roman" w:cs="Times New Roman" w:eastAsia="Times New Roman" w:hAnsi="Times New Roman"/>
          <w:sz w:val="18"/>
          <w:szCs w:val="18"/>
          <w:color w:val="auto"/>
        </w:rPr>
        <w:t>, J</w:t>
      </w:r>
      <w:r>
        <w:rPr>
          <w:rFonts w:ascii="Times New Roman" w:cs="Times New Roman" w:eastAsia="Times New Roman" w:hAnsi="Times New Roman"/>
          <w:sz w:val="12"/>
          <w:szCs w:val="12"/>
          <w:color w:val="auto"/>
        </w:rPr>
        <w:t>R</w:t>
      </w:r>
      <w:r>
        <w:rPr>
          <w:rFonts w:ascii="Times New Roman" w:cs="Times New Roman" w:eastAsia="Times New Roman" w:hAnsi="Times New Roman"/>
          <w:sz w:val="18"/>
          <w:szCs w:val="18"/>
          <w:color w:val="auto"/>
        </w:rPr>
        <w: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 Chairman and Chief Executive Office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-130810</wp:posOffset>
            </wp:positionV>
            <wp:extent cx="197231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extLst>
                    </a:blip>
                    <a:srcRect/>
                    <a:stretch>
                      <a:fillRect/>
                    </a:stretch>
                  </pic:blipFill>
                  <pic:spPr bwMode="auto">
                    <a:xfrm>
                      <a:off x="0" y="0"/>
                      <a:ext cx="197231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April 4,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tabs>
          <w:tab w:leader="none" w:pos="134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J. M</w:t>
      </w:r>
      <w:r>
        <w:rPr>
          <w:rFonts w:ascii="Times New Roman" w:cs="Times New Roman" w:eastAsia="Times New Roman" w:hAnsi="Times New Roman"/>
          <w:sz w:val="12"/>
          <w:szCs w:val="12"/>
          <w:color w:val="auto"/>
        </w:rPr>
        <w:t>ICHAEL</w:t>
      </w:r>
      <w:r>
        <w:rPr>
          <w:rFonts w:ascii="Times New Roman" w:cs="Times New Roman" w:eastAsia="Times New Roman" w:hAnsi="Times New Roman"/>
          <w:sz w:val="18"/>
          <w:szCs w:val="18"/>
          <w:color w:val="auto"/>
        </w:rPr>
        <w:t xml:space="preserve"> D</w:t>
      </w:r>
      <w:r>
        <w:rPr>
          <w:rFonts w:ascii="Times New Roman" w:cs="Times New Roman" w:eastAsia="Times New Roman" w:hAnsi="Times New Roman"/>
          <w:sz w:val="12"/>
          <w:szCs w:val="12"/>
          <w:color w:val="auto"/>
        </w:rPr>
        <w:t>ANIEL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 Michael Daniel, Senior Vice President and 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-130810</wp:posOffset>
            </wp:positionV>
            <wp:extent cx="197231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extLst>
                    </a:blip>
                    <a:srcRect/>
                    <a:stretch>
                      <a:fillRect/>
                    </a:stretch>
                  </pic:blipFill>
                  <pic:spPr bwMode="auto">
                    <a:xfrm>
                      <a:off x="0" y="0"/>
                      <a:ext cx="197231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April 4, 2019</w:t>
      </w:r>
    </w:p>
    <w:p>
      <w:pPr>
        <w:spacing w:after="0" w:line="207"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37 of 37</w:t>
      </w:r>
    </w:p>
    <w:p>
      <w:pPr>
        <w:sectPr>
          <w:pgSz w:w="11900" w:h="16838" w:orient="portrait"/>
          <w:cols w:equalWidth="0" w:num="1">
            <w:col w:w="11340"/>
          </w:cols>
          <w:pgMar w:left="240" w:top="580" w:right="319" w:bottom="1440" w:gutter="0" w:footer="0" w:header="0"/>
        </w:sectPr>
      </w:pPr>
    </w:p>
    <w:bookmarkStart w:id="37" w:name="page38"/>
    <w:bookmarkEnd w:id="37"/>
    <w:p>
      <w:pPr>
        <w:jc w:val="right"/>
        <w:spacing w:after="0"/>
        <w:rPr>
          <w:sz w:val="20"/>
          <w:szCs w:val="20"/>
          <w:color w:val="auto"/>
        </w:rPr>
      </w:pPr>
      <w:r>
        <w:rPr>
          <w:rFonts w:ascii="Times New Roman" w:cs="Times New Roman" w:eastAsia="Times New Roman" w:hAnsi="Times New Roman"/>
          <w:sz w:val="18"/>
          <w:szCs w:val="18"/>
          <w:color w:val="auto"/>
        </w:rPr>
        <w:t>Exhibit 31a</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CERTIFICATIONS</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Robert H. Spilman, Jr., certify that:</w:t>
      </w:r>
    </w:p>
    <w:p>
      <w:pPr>
        <w:spacing w:after="0" w:line="225" w:lineRule="exact"/>
        <w:rPr>
          <w:sz w:val="20"/>
          <w:szCs w:val="20"/>
          <w:color w:val="auto"/>
        </w:rPr>
      </w:pPr>
    </w:p>
    <w:p>
      <w:pPr>
        <w:ind w:left="360" w:hanging="352"/>
        <w:spacing w:after="0"/>
        <w:tabs>
          <w:tab w:leader="none" w:pos="3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Bassett Furniture Industries, Incorporated;</w:t>
      </w:r>
    </w:p>
    <w:p>
      <w:pPr>
        <w:spacing w:after="0" w:line="225" w:lineRule="exact"/>
        <w:rPr>
          <w:rFonts w:ascii="Times New Roman" w:cs="Times New Roman" w:eastAsia="Times New Roman" w:hAnsi="Times New Roman"/>
          <w:sz w:val="18"/>
          <w:szCs w:val="18"/>
          <w:color w:val="auto"/>
        </w:rPr>
      </w:pPr>
    </w:p>
    <w:p>
      <w:pPr>
        <w:ind w:right="20" w:firstLine="8"/>
        <w:spacing w:after="0" w:line="282" w:lineRule="auto"/>
        <w:tabs>
          <w:tab w:leader="none" w:pos="452"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Times New Roman" w:cs="Times New Roman" w:eastAsia="Times New Roman" w:hAnsi="Times New Roman"/>
          <w:sz w:val="18"/>
          <w:szCs w:val="18"/>
          <w:color w:val="auto"/>
        </w:rPr>
      </w:pPr>
    </w:p>
    <w:p>
      <w:pPr>
        <w:ind w:firstLine="8"/>
        <w:spacing w:after="0" w:line="282" w:lineRule="auto"/>
        <w:tabs>
          <w:tab w:leader="none" w:pos="464"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firstLine="8"/>
        <w:spacing w:after="0" w:line="266" w:lineRule="auto"/>
        <w:tabs>
          <w:tab w:leader="none" w:pos="481"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6"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6" w:lineRule="exact"/>
        <w:rPr>
          <w:rFonts w:ascii="Times New Roman" w:cs="Times New Roman" w:eastAsia="Times New Roman" w:hAnsi="Times New Roman"/>
          <w:sz w:val="18"/>
          <w:szCs w:val="18"/>
          <w:color w:val="auto"/>
        </w:rPr>
      </w:pPr>
    </w:p>
    <w:p>
      <w:pPr>
        <w:ind w:firstLine="8"/>
        <w:spacing w:after="0" w:line="282" w:lineRule="auto"/>
        <w:tabs>
          <w:tab w:leader="none" w:pos="41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April 4, 2019</w:t>
      </w:r>
    </w:p>
    <w:p>
      <w:pPr>
        <w:spacing w:after="0" w:line="200" w:lineRule="exact"/>
        <w:rPr>
          <w:sz w:val="20"/>
          <w:szCs w:val="20"/>
          <w:color w:val="auto"/>
        </w:rPr>
      </w:pPr>
    </w:p>
    <w:p>
      <w:pPr>
        <w:spacing w:after="0" w:line="241" w:lineRule="exact"/>
        <w:rPr>
          <w:sz w:val="20"/>
          <w:szCs w:val="20"/>
          <w:color w:val="auto"/>
        </w:rPr>
      </w:pPr>
    </w:p>
    <w:p>
      <w:pPr>
        <w:spacing w:after="0"/>
        <w:tabs>
          <w:tab w:leader="none" w:pos="110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R</w:t>
      </w:r>
      <w:r>
        <w:rPr>
          <w:rFonts w:ascii="Times New Roman" w:cs="Times New Roman" w:eastAsia="Times New Roman" w:hAnsi="Times New Roman"/>
          <w:sz w:val="12"/>
          <w:szCs w:val="12"/>
          <w:color w:val="auto"/>
        </w:rPr>
        <w:t>OBERT</w:t>
      </w:r>
      <w:r>
        <w:rPr>
          <w:rFonts w:ascii="Times New Roman" w:cs="Times New Roman" w:eastAsia="Times New Roman" w:hAnsi="Times New Roman"/>
          <w:sz w:val="18"/>
          <w:szCs w:val="18"/>
          <w:color w:val="auto"/>
        </w:rPr>
        <w:t xml:space="preserve"> H. S</w:t>
      </w:r>
      <w:r>
        <w:rPr>
          <w:rFonts w:ascii="Times New Roman" w:cs="Times New Roman" w:eastAsia="Times New Roman" w:hAnsi="Times New Roman"/>
          <w:sz w:val="12"/>
          <w:szCs w:val="12"/>
          <w:color w:val="auto"/>
        </w:rPr>
        <w:t>PILMAN</w:t>
      </w:r>
      <w:r>
        <w:rPr>
          <w:rFonts w:ascii="Times New Roman" w:cs="Times New Roman" w:eastAsia="Times New Roman" w:hAnsi="Times New Roman"/>
          <w:sz w:val="18"/>
          <w:szCs w:val="18"/>
          <w:color w:val="auto"/>
        </w:rPr>
        <w:t>, J</w:t>
      </w:r>
      <w:r>
        <w:rPr>
          <w:rFonts w:ascii="Times New Roman" w:cs="Times New Roman" w:eastAsia="Times New Roman" w:hAnsi="Times New Roman"/>
          <w:sz w:val="12"/>
          <w:szCs w:val="12"/>
          <w:color w:val="auto"/>
        </w:rPr>
        <w:t>R</w:t>
      </w:r>
      <w:r>
        <w:rPr>
          <w:rFonts w:ascii="Times New Roman" w:cs="Times New Roman" w:eastAsia="Times New Roman" w:hAnsi="Times New Roman"/>
          <w:sz w:val="18"/>
          <w:szCs w:val="18"/>
          <w:color w:val="auto"/>
        </w:rPr>
        <w: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 Chairman and Chief Executive Office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151130</wp:posOffset>
            </wp:positionH>
            <wp:positionV relativeFrom="paragraph">
              <wp:posOffset>-130810</wp:posOffset>
            </wp:positionV>
            <wp:extent cx="214376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extLst>
                    </a:blip>
                    <a:srcRect/>
                    <a:stretch>
                      <a:fillRect/>
                    </a:stretch>
                  </pic:blipFill>
                  <pic:spPr bwMode="auto">
                    <a:xfrm>
                      <a:off x="0" y="0"/>
                      <a:ext cx="2143760" cy="88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8" w:name="page39"/>
    <w:bookmarkEnd w:id="38"/>
    <w:p>
      <w:pPr>
        <w:jc w:val="right"/>
        <w:spacing w:after="0"/>
        <w:rPr>
          <w:sz w:val="20"/>
          <w:szCs w:val="20"/>
          <w:color w:val="auto"/>
        </w:rPr>
      </w:pPr>
      <w:r>
        <w:rPr>
          <w:rFonts w:ascii="Times New Roman" w:cs="Times New Roman" w:eastAsia="Times New Roman" w:hAnsi="Times New Roman"/>
          <w:sz w:val="18"/>
          <w:szCs w:val="18"/>
          <w:color w:val="auto"/>
        </w:rPr>
        <w:t>Exhibit 31b</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CERTIFICATIONS</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J. Michael Daniel, certify that:</w:t>
      </w:r>
    </w:p>
    <w:p>
      <w:pPr>
        <w:spacing w:after="0" w:line="225" w:lineRule="exact"/>
        <w:rPr>
          <w:sz w:val="20"/>
          <w:szCs w:val="20"/>
          <w:color w:val="auto"/>
        </w:rPr>
      </w:pPr>
    </w:p>
    <w:p>
      <w:pPr>
        <w:ind w:left="340" w:hanging="332"/>
        <w:spacing w:after="0"/>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Bassett Furniture Industries, Incorporated;</w:t>
      </w:r>
    </w:p>
    <w:p>
      <w:pPr>
        <w:spacing w:after="0" w:line="22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6"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6"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April 4, 2019</w:t>
      </w:r>
    </w:p>
    <w:p>
      <w:pPr>
        <w:spacing w:after="0" w:line="200" w:lineRule="exact"/>
        <w:rPr>
          <w:sz w:val="20"/>
          <w:szCs w:val="20"/>
          <w:color w:val="auto"/>
        </w:rPr>
      </w:pPr>
    </w:p>
    <w:p>
      <w:pPr>
        <w:spacing w:after="0" w:line="241" w:lineRule="exact"/>
        <w:rPr>
          <w:sz w:val="20"/>
          <w:szCs w:val="20"/>
          <w:color w:val="auto"/>
        </w:rPr>
      </w:pPr>
    </w:p>
    <w:p>
      <w:pPr>
        <w:spacing w:after="0"/>
        <w:tabs>
          <w:tab w:leader="none" w:pos="148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J. M</w:t>
      </w:r>
      <w:r>
        <w:rPr>
          <w:rFonts w:ascii="Times New Roman" w:cs="Times New Roman" w:eastAsia="Times New Roman" w:hAnsi="Times New Roman"/>
          <w:sz w:val="12"/>
          <w:szCs w:val="12"/>
          <w:color w:val="auto"/>
        </w:rPr>
        <w:t>ICHAEL</w:t>
      </w:r>
      <w:r>
        <w:rPr>
          <w:rFonts w:ascii="Times New Roman" w:cs="Times New Roman" w:eastAsia="Times New Roman" w:hAnsi="Times New Roman"/>
          <w:sz w:val="18"/>
          <w:szCs w:val="18"/>
          <w:color w:val="auto"/>
        </w:rPr>
        <w:t xml:space="preserve"> D</w:t>
      </w:r>
      <w:r>
        <w:rPr>
          <w:rFonts w:ascii="Times New Roman" w:cs="Times New Roman" w:eastAsia="Times New Roman" w:hAnsi="Times New Roman"/>
          <w:sz w:val="12"/>
          <w:szCs w:val="12"/>
          <w:color w:val="auto"/>
        </w:rPr>
        <w:t>ANIEL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 Michael Daniel, Senior Vice President and 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168275</wp:posOffset>
            </wp:positionH>
            <wp:positionV relativeFrom="paragraph">
              <wp:posOffset>-130810</wp:posOffset>
            </wp:positionV>
            <wp:extent cx="240093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extLst>
                    </a:blip>
                    <a:srcRect/>
                    <a:stretch>
                      <a:fillRect/>
                    </a:stretch>
                  </pic:blipFill>
                  <pic:spPr bwMode="auto">
                    <a:xfrm>
                      <a:off x="0" y="0"/>
                      <a:ext cx="2400935" cy="88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9" w:name="page40"/>
    <w:bookmarkEnd w:id="39"/>
    <w:p>
      <w:pPr>
        <w:jc w:val="right"/>
        <w:spacing w:after="0"/>
        <w:rPr>
          <w:sz w:val="20"/>
          <w:szCs w:val="20"/>
          <w:color w:val="auto"/>
        </w:rPr>
      </w:pPr>
      <w:r>
        <w:rPr>
          <w:rFonts w:ascii="Times New Roman" w:cs="Times New Roman" w:eastAsia="Times New Roman" w:hAnsi="Times New Roman"/>
          <w:sz w:val="18"/>
          <w:szCs w:val="18"/>
          <w:color w:val="auto"/>
        </w:rPr>
        <w:t>Exhibit 32a</w:t>
      </w:r>
    </w:p>
    <w:p>
      <w:pPr>
        <w:spacing w:after="0" w:line="225" w:lineRule="exact"/>
        <w:rPr>
          <w:sz w:val="20"/>
          <w:szCs w:val="20"/>
          <w:color w:val="auto"/>
        </w:rPr>
      </w:pPr>
    </w:p>
    <w:p>
      <w:pPr>
        <w:jc w:val="center"/>
        <w:ind w:right="580"/>
        <w:spacing w:after="0"/>
        <w:rPr>
          <w:sz w:val="20"/>
          <w:szCs w:val="20"/>
          <w:color w:val="auto"/>
        </w:rPr>
      </w:pPr>
      <w:r>
        <w:rPr>
          <w:rFonts w:ascii="Times New Roman" w:cs="Times New Roman" w:eastAsia="Times New Roman" w:hAnsi="Times New Roman"/>
          <w:sz w:val="18"/>
          <w:szCs w:val="18"/>
          <w:color w:val="auto"/>
        </w:rPr>
        <w:t>CERTIFICATION PURSUANT TO 18 U.S.C. SECTION 1350,</w:t>
      </w:r>
    </w:p>
    <w:p>
      <w:pPr>
        <w:spacing w:after="0" w:line="27" w:lineRule="exact"/>
        <w:rPr>
          <w:sz w:val="20"/>
          <w:szCs w:val="20"/>
          <w:color w:val="auto"/>
        </w:rPr>
      </w:pPr>
    </w:p>
    <w:p>
      <w:pPr>
        <w:jc w:val="center"/>
        <w:ind w:right="580"/>
        <w:spacing w:after="0"/>
        <w:rPr>
          <w:sz w:val="20"/>
          <w:szCs w:val="20"/>
          <w:color w:val="auto"/>
        </w:rPr>
      </w:pPr>
      <w:r>
        <w:rPr>
          <w:rFonts w:ascii="Times New Roman" w:cs="Times New Roman" w:eastAsia="Times New Roman" w:hAnsi="Times New Roman"/>
          <w:sz w:val="18"/>
          <w:szCs w:val="18"/>
          <w:color w:val="auto"/>
        </w:rPr>
        <w:t>AS ADOPTED PURSUANT TO SECTION 906</w:t>
      </w:r>
    </w:p>
    <w:p>
      <w:pPr>
        <w:spacing w:after="0" w:line="9" w:lineRule="exact"/>
        <w:rPr>
          <w:sz w:val="20"/>
          <w:szCs w:val="20"/>
          <w:color w:val="auto"/>
        </w:rPr>
      </w:pPr>
    </w:p>
    <w:p>
      <w:pPr>
        <w:jc w:val="center"/>
        <w:ind w:right="580"/>
        <w:spacing w:after="0"/>
        <w:rPr>
          <w:sz w:val="20"/>
          <w:szCs w:val="20"/>
          <w:color w:val="auto"/>
        </w:rPr>
      </w:pPr>
      <w:r>
        <w:rPr>
          <w:rFonts w:ascii="Times New Roman" w:cs="Times New Roman" w:eastAsia="Times New Roman" w:hAnsi="Times New Roman"/>
          <w:sz w:val="18"/>
          <w:szCs w:val="18"/>
          <w:color w:val="auto"/>
        </w:rPr>
        <w:t>OF THE SARBANES-OXLEY ACT OF 2002</w:t>
      </w:r>
    </w:p>
    <w:p>
      <w:pPr>
        <w:spacing w:after="0" w:line="200" w:lineRule="exact"/>
        <w:rPr>
          <w:sz w:val="20"/>
          <w:szCs w:val="20"/>
          <w:color w:val="auto"/>
        </w:rPr>
      </w:pPr>
    </w:p>
    <w:p>
      <w:pPr>
        <w:spacing w:after="0" w:line="223" w:lineRule="exact"/>
        <w:rPr>
          <w:sz w:val="20"/>
          <w:szCs w:val="20"/>
          <w:color w:val="auto"/>
        </w:rPr>
      </w:pPr>
    </w:p>
    <w:p>
      <w:pPr>
        <w:jc w:val="both"/>
        <w:ind w:right="660"/>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Bassett Furniture Industries, Incorporated (the “Company”) on Form 10-Q for the period ending March 2, 2019, as filed with the Securities and Exchange Commission on the date hereof (the “Report”), I, Robert H. Spilman, Jr., Chief Executive Officer of the Company, certify, pursuant to 18 U.S.C. ss.1350, as adopted pursuant to ss.906 of the Sarbanes-Oxley Act of 2002, that:</w:t>
      </w:r>
    </w:p>
    <w:p>
      <w:pPr>
        <w:spacing w:after="0" w:line="176" w:lineRule="exact"/>
        <w:rPr>
          <w:sz w:val="20"/>
          <w:szCs w:val="20"/>
          <w:color w:val="auto"/>
        </w:rPr>
      </w:pPr>
    </w:p>
    <w:p>
      <w:pPr>
        <w:ind w:left="820" w:hanging="326"/>
        <w:spacing w:after="0"/>
        <w:tabs>
          <w:tab w:leader="none" w:pos="82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Sections 13(a) or 15(d) of the Securities Exchange Act of 1934; and</w:t>
      </w:r>
    </w:p>
    <w:p>
      <w:pPr>
        <w:spacing w:after="0" w:line="252" w:lineRule="exact"/>
        <w:rPr>
          <w:rFonts w:ascii="Times New Roman" w:cs="Times New Roman" w:eastAsia="Times New Roman" w:hAnsi="Times New Roman"/>
          <w:sz w:val="18"/>
          <w:szCs w:val="18"/>
          <w:color w:val="auto"/>
        </w:rPr>
      </w:pPr>
    </w:p>
    <w:p>
      <w:pPr>
        <w:ind w:right="160" w:firstLine="494"/>
        <w:spacing w:after="0" w:line="564" w:lineRule="auto"/>
        <w:tabs>
          <w:tab w:leader="none" w:pos="81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 April 4, 2019</w:t>
      </w:r>
    </w:p>
    <w:p>
      <w:pPr>
        <w:spacing w:after="0" w:line="135" w:lineRule="exact"/>
        <w:rPr>
          <w:sz w:val="20"/>
          <w:szCs w:val="20"/>
          <w:color w:val="auto"/>
        </w:rPr>
      </w:pPr>
    </w:p>
    <w:p>
      <w:pPr>
        <w:spacing w:after="0"/>
        <w:tabs>
          <w:tab w:leader="none" w:pos="1100" w:val="left"/>
        </w:tabs>
        <w:rPr>
          <w:sz w:val="20"/>
          <w:szCs w:val="20"/>
          <w:color w:val="auto"/>
        </w:rPr>
      </w:pPr>
      <w:r>
        <w:rPr>
          <w:rFonts w:ascii="Times New Roman" w:cs="Times New Roman" w:eastAsia="Times New Roman" w:hAnsi="Times New Roman"/>
          <w:sz w:val="18"/>
          <w:szCs w:val="18"/>
          <w:color w:val="auto"/>
        </w:rPr>
        <w:t>/s/</w:t>
      </w:r>
      <w:r>
        <w:rPr>
          <w:sz w:val="20"/>
          <w:szCs w:val="20"/>
          <w:color w:val="auto"/>
        </w:rPr>
        <w:tab/>
      </w:r>
      <w:r>
        <w:rPr>
          <w:rFonts w:ascii="Times New Roman" w:cs="Times New Roman" w:eastAsia="Times New Roman" w:hAnsi="Times New Roman"/>
          <w:sz w:val="18"/>
          <w:szCs w:val="18"/>
          <w:color w:val="auto"/>
        </w:rPr>
        <w:t>R</w:t>
      </w:r>
      <w:r>
        <w:rPr>
          <w:rFonts w:ascii="Times New Roman" w:cs="Times New Roman" w:eastAsia="Times New Roman" w:hAnsi="Times New Roman"/>
          <w:sz w:val="12"/>
          <w:szCs w:val="12"/>
          <w:color w:val="auto"/>
        </w:rPr>
        <w:t>OBERT</w:t>
      </w:r>
      <w:r>
        <w:rPr>
          <w:rFonts w:ascii="Times New Roman" w:cs="Times New Roman" w:eastAsia="Times New Roman" w:hAnsi="Times New Roman"/>
          <w:sz w:val="18"/>
          <w:szCs w:val="18"/>
          <w:color w:val="auto"/>
        </w:rPr>
        <w:t xml:space="preserve"> H. S</w:t>
      </w:r>
      <w:r>
        <w:rPr>
          <w:rFonts w:ascii="Times New Roman" w:cs="Times New Roman" w:eastAsia="Times New Roman" w:hAnsi="Times New Roman"/>
          <w:sz w:val="12"/>
          <w:szCs w:val="12"/>
          <w:color w:val="auto"/>
        </w:rPr>
        <w:t>PILMAN</w:t>
      </w:r>
      <w:r>
        <w:rPr>
          <w:rFonts w:ascii="Times New Roman" w:cs="Times New Roman" w:eastAsia="Times New Roman" w:hAnsi="Times New Roman"/>
          <w:sz w:val="18"/>
          <w:szCs w:val="18"/>
          <w:color w:val="auto"/>
        </w:rPr>
        <w:t>, J</w:t>
      </w:r>
      <w:r>
        <w:rPr>
          <w:rFonts w:ascii="Times New Roman" w:cs="Times New Roman" w:eastAsia="Times New Roman" w:hAnsi="Times New Roman"/>
          <w:sz w:val="12"/>
          <w:szCs w:val="12"/>
          <w:color w:val="auto"/>
        </w:rPr>
        <w:t>R</w:t>
      </w:r>
      <w:r>
        <w:rPr>
          <w:rFonts w:ascii="Times New Roman" w:cs="Times New Roman" w:eastAsia="Times New Roman" w:hAnsi="Times New Roman"/>
          <w:sz w:val="18"/>
          <w:szCs w:val="18"/>
          <w:color w:val="auto"/>
        </w:rPr>
        <w: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151130</wp:posOffset>
            </wp:positionH>
            <wp:positionV relativeFrom="paragraph">
              <wp:posOffset>-130810</wp:posOffset>
            </wp:positionV>
            <wp:extent cx="214376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extLst>
                    </a:blip>
                    <a:srcRect/>
                    <a:stretch>
                      <a:fillRect/>
                    </a:stretch>
                  </pic:blipFill>
                  <pic:spPr bwMode="auto">
                    <a:xfrm>
                      <a:off x="0" y="0"/>
                      <a:ext cx="214376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Chairman and Chief Executive Office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right="1120"/>
        <w:spacing w:after="0" w:line="284" w:lineRule="auto"/>
        <w:rPr>
          <w:sz w:val="20"/>
          <w:szCs w:val="20"/>
          <w:color w:val="auto"/>
        </w:rPr>
      </w:pPr>
      <w:r>
        <w:rPr>
          <w:rFonts w:ascii="Times New Roman" w:cs="Times New Roman" w:eastAsia="Times New Roman" w:hAnsi="Times New Roman"/>
          <w:sz w:val="18"/>
          <w:szCs w:val="18"/>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p>
      <w:pPr>
        <w:sectPr>
          <w:pgSz w:w="11900" w:h="16838" w:orient="portrait"/>
          <w:cols w:equalWidth="0" w:num="1">
            <w:col w:w="11420"/>
          </w:cols>
          <w:pgMar w:left="240" w:top="121" w:right="239" w:bottom="1440" w:gutter="0" w:footer="0" w:header="0"/>
        </w:sectPr>
      </w:pPr>
    </w:p>
    <w:bookmarkStart w:id="40" w:name="page41"/>
    <w:bookmarkEnd w:id="40"/>
    <w:p>
      <w:pPr>
        <w:jc w:val="right"/>
        <w:spacing w:after="0"/>
        <w:rPr>
          <w:sz w:val="20"/>
          <w:szCs w:val="20"/>
          <w:color w:val="auto"/>
        </w:rPr>
      </w:pPr>
      <w:r>
        <w:rPr>
          <w:rFonts w:ascii="Times New Roman" w:cs="Times New Roman" w:eastAsia="Times New Roman" w:hAnsi="Times New Roman"/>
          <w:sz w:val="18"/>
          <w:szCs w:val="18"/>
          <w:color w:val="auto"/>
        </w:rPr>
        <w:t>Exhibit 32b</w:t>
      </w:r>
    </w:p>
    <w:p>
      <w:pPr>
        <w:spacing w:after="0" w:line="225" w:lineRule="exact"/>
        <w:rPr>
          <w:sz w:val="20"/>
          <w:szCs w:val="20"/>
          <w:color w:val="auto"/>
        </w:rPr>
      </w:pPr>
    </w:p>
    <w:p>
      <w:pPr>
        <w:jc w:val="center"/>
        <w:ind w:right="580"/>
        <w:spacing w:after="0"/>
        <w:rPr>
          <w:sz w:val="20"/>
          <w:szCs w:val="20"/>
          <w:color w:val="auto"/>
        </w:rPr>
      </w:pPr>
      <w:r>
        <w:rPr>
          <w:rFonts w:ascii="Times New Roman" w:cs="Times New Roman" w:eastAsia="Times New Roman" w:hAnsi="Times New Roman"/>
          <w:sz w:val="18"/>
          <w:szCs w:val="18"/>
          <w:color w:val="auto"/>
        </w:rPr>
        <w:t>CERTIFICATION PURSUANT TO 18 U.S.C. SECTION 1350,</w:t>
      </w:r>
    </w:p>
    <w:p>
      <w:pPr>
        <w:spacing w:after="0" w:line="27" w:lineRule="exact"/>
        <w:rPr>
          <w:sz w:val="20"/>
          <w:szCs w:val="20"/>
          <w:color w:val="auto"/>
        </w:rPr>
      </w:pPr>
    </w:p>
    <w:p>
      <w:pPr>
        <w:jc w:val="center"/>
        <w:ind w:right="580"/>
        <w:spacing w:after="0"/>
        <w:rPr>
          <w:sz w:val="20"/>
          <w:szCs w:val="20"/>
          <w:color w:val="auto"/>
        </w:rPr>
      </w:pPr>
      <w:r>
        <w:rPr>
          <w:rFonts w:ascii="Times New Roman" w:cs="Times New Roman" w:eastAsia="Times New Roman" w:hAnsi="Times New Roman"/>
          <w:sz w:val="18"/>
          <w:szCs w:val="18"/>
          <w:color w:val="auto"/>
        </w:rPr>
        <w:t>AS ADOPTED PURSUANT TO SECTION 906</w:t>
      </w:r>
    </w:p>
    <w:p>
      <w:pPr>
        <w:spacing w:after="0" w:line="9" w:lineRule="exact"/>
        <w:rPr>
          <w:sz w:val="20"/>
          <w:szCs w:val="20"/>
          <w:color w:val="auto"/>
        </w:rPr>
      </w:pPr>
    </w:p>
    <w:p>
      <w:pPr>
        <w:jc w:val="center"/>
        <w:ind w:right="580"/>
        <w:spacing w:after="0"/>
        <w:rPr>
          <w:sz w:val="20"/>
          <w:szCs w:val="20"/>
          <w:color w:val="auto"/>
        </w:rPr>
      </w:pPr>
      <w:r>
        <w:rPr>
          <w:rFonts w:ascii="Times New Roman" w:cs="Times New Roman" w:eastAsia="Times New Roman" w:hAnsi="Times New Roman"/>
          <w:sz w:val="18"/>
          <w:szCs w:val="18"/>
          <w:color w:val="auto"/>
        </w:rPr>
        <w:t>OF THE SARBANES-OXLEY ACT OF 2002</w:t>
      </w:r>
    </w:p>
    <w:p>
      <w:pPr>
        <w:spacing w:after="0" w:line="200" w:lineRule="exact"/>
        <w:rPr>
          <w:sz w:val="20"/>
          <w:szCs w:val="20"/>
          <w:color w:val="auto"/>
        </w:rPr>
      </w:pPr>
    </w:p>
    <w:p>
      <w:pPr>
        <w:spacing w:after="0" w:line="223" w:lineRule="exact"/>
        <w:rPr>
          <w:sz w:val="20"/>
          <w:szCs w:val="20"/>
          <w:color w:val="auto"/>
        </w:rPr>
      </w:pPr>
    </w:p>
    <w:p>
      <w:pPr>
        <w:jc w:val="both"/>
        <w:ind w:right="660"/>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Bassett Furniture Industries, Incorporated (the “Company”) on Form 10-Q for the period ending March 2, 2019, as filed with the Securities and Exchange Commission on the date hereof (the “Report”), I, J. Michael Daniel, Chief Accounting Officer of the Company, certify, pursuant to 18 U.S.C. ss.1350, as adopted pursuant to ss.906 of the Sarbanes-Oxley Act of 2002, that:</w:t>
      </w:r>
    </w:p>
    <w:p>
      <w:pPr>
        <w:spacing w:after="0" w:line="176" w:lineRule="exact"/>
        <w:rPr>
          <w:sz w:val="20"/>
          <w:szCs w:val="20"/>
          <w:color w:val="auto"/>
        </w:rPr>
      </w:pPr>
    </w:p>
    <w:p>
      <w:pPr>
        <w:ind w:left="460" w:hanging="222"/>
        <w:spacing w:after="0"/>
        <w:tabs>
          <w:tab w:leader="none" w:pos="4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Sections 13(a) or 15(d) of the Securities Exchange Act of 1934; and</w:t>
      </w:r>
    </w:p>
    <w:p>
      <w:pPr>
        <w:spacing w:after="0" w:line="252" w:lineRule="exact"/>
        <w:rPr>
          <w:rFonts w:ascii="Times New Roman" w:cs="Times New Roman" w:eastAsia="Times New Roman" w:hAnsi="Times New Roman"/>
          <w:sz w:val="18"/>
          <w:szCs w:val="18"/>
          <w:color w:val="auto"/>
        </w:rPr>
      </w:pPr>
    </w:p>
    <w:p>
      <w:pPr>
        <w:ind w:right="500" w:firstLine="238"/>
        <w:spacing w:after="0" w:line="564" w:lineRule="auto"/>
        <w:tabs>
          <w:tab w:leader="none" w:pos="459"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 April 4, 2019</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w:t>
            </w:r>
          </w:p>
        </w:tc>
        <w:tc>
          <w:tcPr>
            <w:tcW w:w="26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J. M</w:t>
            </w:r>
            <w:r>
              <w:rPr>
                <w:rFonts w:ascii="Times New Roman" w:cs="Times New Roman" w:eastAsia="Times New Roman" w:hAnsi="Times New Roman"/>
                <w:sz w:val="12"/>
                <w:szCs w:val="12"/>
                <w:color w:val="auto"/>
              </w:rPr>
              <w:t>ICHAEL</w:t>
            </w:r>
            <w:r>
              <w:rPr>
                <w:rFonts w:ascii="Times New Roman" w:cs="Times New Roman" w:eastAsia="Times New Roman" w:hAnsi="Times New Roman"/>
                <w:sz w:val="18"/>
                <w:szCs w:val="18"/>
                <w:color w:val="auto"/>
              </w:rPr>
              <w:t xml:space="preserve"> D</w:t>
            </w:r>
            <w:r>
              <w:rPr>
                <w:rFonts w:ascii="Times New Roman" w:cs="Times New Roman" w:eastAsia="Times New Roman" w:hAnsi="Times New Roman"/>
                <w:sz w:val="12"/>
                <w:szCs w:val="12"/>
                <w:color w:val="auto"/>
              </w:rPr>
              <w:t>ANIEL</w:t>
            </w:r>
          </w:p>
        </w:tc>
      </w:tr>
      <w:tr>
        <w:trPr>
          <w:trHeight w:val="211"/>
        </w:trPr>
        <w:tc>
          <w:tcPr>
            <w:tcW w:w="260" w:type="dxa"/>
            <w:vAlign w:val="bottom"/>
          </w:tcPr>
          <w:p>
            <w:pPr>
              <w:spacing w:after="0"/>
              <w:rPr>
                <w:sz w:val="20"/>
                <w:szCs w:val="20"/>
                <w:color w:val="auto"/>
              </w:rPr>
            </w:pPr>
            <w:r>
              <w:rPr>
                <w:rFonts w:ascii="Times New Roman" w:cs="Times New Roman" w:eastAsia="Times New Roman" w:hAnsi="Times New Roman"/>
                <w:sz w:val="18"/>
                <w:szCs w:val="18"/>
                <w:color w:val="auto"/>
              </w:rPr>
              <w:t>J.</w:t>
            </w:r>
          </w:p>
        </w:tc>
        <w:tc>
          <w:tcPr>
            <w:tcW w:w="116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w w:val="98"/>
              </w:rPr>
              <w:t>Michael Daniel,</w:t>
            </w:r>
          </w:p>
        </w:tc>
        <w:tc>
          <w:tcPr>
            <w:tcW w:w="2620" w:type="dxa"/>
            <w:vAlign w:val="bottom"/>
            <w:tcBorders>
              <w:top w:val="single" w:sz="8" w:color="auto"/>
            </w:tcBorders>
          </w:tcPr>
          <w:p>
            <w:pPr>
              <w:spacing w:after="0"/>
              <w:rPr>
                <w:sz w:val="18"/>
                <w:szCs w:val="18"/>
                <w:color w:val="auto"/>
              </w:rPr>
            </w:pPr>
          </w:p>
        </w:tc>
      </w:tr>
    </w:tbl>
    <w:p>
      <w:pPr>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right="1120"/>
        <w:spacing w:after="0" w:line="284" w:lineRule="auto"/>
        <w:rPr>
          <w:sz w:val="20"/>
          <w:szCs w:val="20"/>
          <w:color w:val="auto"/>
        </w:rPr>
      </w:pPr>
      <w:r>
        <w:rPr>
          <w:rFonts w:ascii="Times New Roman" w:cs="Times New Roman" w:eastAsia="Times New Roman" w:hAnsi="Times New Roman"/>
          <w:sz w:val="18"/>
          <w:szCs w:val="18"/>
          <w:i w:val="1"/>
          <w:iCs w:val="1"/>
          <w:color w:val="auto"/>
        </w:rPr>
        <w:t>A signed original of this written statement required by Section 906 has been provided to Bassett Furniture Industries, Incorporated and will be retained by Bassett Furniture Industries, Incorporated and furnished to the Securities and Exchange Commission or its staff upon request.</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545E146"/>
    <w:multiLevelType w:val="hybridMultilevel"/>
    <w:lvl w:ilvl="0">
      <w:lvlJc w:val="left"/>
      <w:lvlText w:val="[%1]"/>
      <w:numFmt w:val="upperLetter"/>
      <w:start w:val="24"/>
    </w:lvl>
  </w:abstractNum>
  <w:abstractNum w:abstractNumId="1">
    <w:nsid w:val="515F007C"/>
    <w:multiLevelType w:val="hybridMultilevel"/>
    <w:lvl w:ilvl="0">
      <w:lvlJc w:val="left"/>
      <w:lvlText w:val="["/>
      <w:numFmt w:val="bullet"/>
      <w:start w:val="1"/>
    </w:lvl>
  </w:abstractNum>
  <w:abstractNum w:abstractNumId="2">
    <w:nsid w:val="5BD062C2"/>
    <w:multiLevelType w:val="hybridMultilevel"/>
    <w:lvl w:ilvl="0">
      <w:lvlJc w:val="left"/>
      <w:lvlText w:val="%1."/>
      <w:numFmt w:val="decimal"/>
      <w:start w:val="1"/>
    </w:lvl>
  </w:abstractNum>
  <w:abstractNum w:abstractNumId="3">
    <w:nsid w:val="12200854"/>
    <w:multiLevelType w:val="hybridMultilevel"/>
    <w:lvl w:ilvl="0">
      <w:lvlJc w:val="left"/>
      <w:lvlText w:val="●"/>
      <w:numFmt w:val="bullet"/>
      <w:start w:val="1"/>
    </w:lvl>
  </w:abstractNum>
  <w:abstractNum w:abstractNumId="4">
    <w:nsid w:val="4DB127F8"/>
    <w:multiLevelType w:val="hybridMultilevel"/>
    <w:lvl w:ilvl="0">
      <w:lvlJc w:val="left"/>
      <w:lvlText w:val="●"/>
      <w:numFmt w:val="bullet"/>
      <w:start w:val="1"/>
    </w:lvl>
  </w:abstractNum>
  <w:abstractNum w:abstractNumId="5">
    <w:nsid w:val="216231B"/>
    <w:multiLevelType w:val="hybridMultilevel"/>
    <w:lvl w:ilvl="0">
      <w:lvlJc w:val="left"/>
      <w:lvlText w:val="-"/>
      <w:numFmt w:val="bullet"/>
      <w:start w:val="1"/>
    </w:lvl>
  </w:abstractNum>
  <w:abstractNum w:abstractNumId="6">
    <w:nsid w:val="1F16E9E8"/>
    <w:multiLevelType w:val="hybridMultilevel"/>
    <w:lvl w:ilvl="0">
      <w:lvlJc w:val="left"/>
      <w:lvlText w:val="(%1)"/>
      <w:numFmt w:val="decimal"/>
      <w:start w:val="1"/>
    </w:lvl>
  </w:abstractNum>
  <w:abstractNum w:abstractNumId="7">
    <w:nsid w:val="1190CDE7"/>
    <w:multiLevelType w:val="hybridMultilevel"/>
    <w:lvl w:ilvl="0">
      <w:lvlJc w:val="left"/>
      <w:lvlText w:val="(%1)"/>
      <w:numFmt w:val="decimal"/>
      <w:start w:val="5"/>
    </w:lvl>
  </w:abstractNum>
  <w:abstractNum w:abstractNumId="8">
    <w:nsid w:val="66EF438D"/>
    <w:multiLevelType w:val="hybridMultilevel"/>
    <w:lvl w:ilvl="0">
      <w:lvlJc w:val="left"/>
      <w:lvlText w:val="†"/>
      <w:numFmt w:val="bullet"/>
      <w:start w:val="1"/>
    </w:lvl>
  </w:abstractNum>
  <w:abstractNum w:abstractNumId="9">
    <w:nsid w:val="140E0F76"/>
    <w:multiLevelType w:val="hybridMultilevel"/>
    <w:lvl w:ilvl="0">
      <w:lvlJc w:val="left"/>
      <w:lvlText w:val="•"/>
      <w:numFmt w:val="bullet"/>
      <w:start w:val="1"/>
    </w:lvl>
  </w:abstractNum>
  <w:abstractNum w:abstractNumId="10">
    <w:nsid w:val="3352255A"/>
    <w:multiLevelType w:val="hybridMultilevel"/>
    <w:lvl w:ilvl="0">
      <w:lvlJc w:val="left"/>
      <w:lvlText w:val="(%1)"/>
      <w:numFmt w:val="decimal"/>
      <w:start w:val="1"/>
    </w:lvl>
  </w:abstractNum>
  <w:abstractNum w:abstractNumId="11">
    <w:nsid w:val="109CF92E"/>
    <w:multiLevelType w:val="hybridMultilevel"/>
    <w:lvl w:ilvl="0">
      <w:lvlJc w:val="left"/>
      <w:lvlText w:val="%1."/>
      <w:numFmt w:val="decimal"/>
      <w:start w:val="1"/>
    </w:lvl>
    <w:lvl w:ilvl="1">
      <w:lvlJc w:val="left"/>
      <w:lvlText w:val="%2)"/>
      <w:numFmt w:val="lowerLetter"/>
      <w:start w:val="1"/>
    </w:lvl>
  </w:abstractNum>
  <w:abstractNum w:abstractNumId="12">
    <w:nsid w:val="DED7263"/>
    <w:multiLevelType w:val="hybridMultilevel"/>
    <w:lvl w:ilvl="0">
      <w:lvlJc w:val="left"/>
      <w:lvlText w:val="%1."/>
      <w:numFmt w:val="decimal"/>
      <w:start w:val="1"/>
    </w:lvl>
    <w:lvl w:ilvl="1">
      <w:lvlJc w:val="left"/>
      <w:lvlText w:val="%2)"/>
      <w:numFmt w:val="lowerLetter"/>
      <w:start w:val="1"/>
    </w:lvl>
  </w:abstractNum>
  <w:abstractNum w:abstractNumId="13">
    <w:nsid w:val="7FDCC233"/>
    <w:multiLevelType w:val="hybridMultilevel"/>
    <w:lvl w:ilvl="0">
      <w:lvlJc w:val="left"/>
      <w:lvlText w:val="%1."/>
      <w:numFmt w:val="decimal"/>
      <w:start w:val="1"/>
    </w:lvl>
  </w:abstractNum>
  <w:abstractNum w:abstractNumId="14">
    <w:nsid w:val="1BEFD79F"/>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0" Type="http://schemas.openxmlformats.org/officeDocument/2006/relationships/hyperlink" Target="http://www.sec.gov/Archives/edgar/data/10329/000143774919001162/ex_133179.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2019-12-28T13:51:40Z</dcterms:created>
  <dcterms:modified xsi:type="dcterms:W3CDTF">2019-12-28T13:51:40Z</dcterms:modified>
</cp:coreProperties>
</file>