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1">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50430" cy="298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0430" cy="29845"/>
                    </a:xfrm>
                    <a:prstGeom prst="rect">
                      <a:avLst/>
                    </a:prstGeom>
                    <a:noFill/>
                  </pic:spPr>
                </pic:pic>
              </a:graphicData>
            </a:graphic>
          </wp:anchor>
        </w:drawing>
      </w:r>
    </w:p>
    <w:p>
      <w:pPr>
        <w:spacing w:after="0" w:line="200" w:lineRule="exact"/>
        <w:rPr>
          <w:sz w:val="24"/>
          <w:szCs w:val="24"/>
          <w:color w:val="auto"/>
        </w:rPr>
      </w:pPr>
    </w:p>
    <w:p>
      <w:pPr>
        <w:spacing w:after="0" w:line="21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3006725</wp:posOffset>
            </wp:positionH>
            <wp:positionV relativeFrom="paragraph">
              <wp:posOffset>193040</wp:posOffset>
            </wp:positionV>
            <wp:extent cx="124333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243330" cy="8890"/>
                    </a:xfrm>
                    <a:prstGeom prst="rect">
                      <a:avLst/>
                    </a:prstGeom>
                    <a:noFill/>
                  </pic:spPr>
                </pic:pic>
              </a:graphicData>
            </a:graphic>
          </wp:anchor>
        </w:drawing>
      </w:r>
    </w:p>
    <w:p>
      <w:pPr>
        <w:spacing w:after="0" w:line="200" w:lineRule="exact"/>
        <w:rPr>
          <w:sz w:val="24"/>
          <w:szCs w:val="24"/>
          <w:color w:val="auto"/>
        </w:rPr>
      </w:pPr>
    </w:p>
    <w:p>
      <w:pPr>
        <w:spacing w:after="0" w:line="219"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3006725</wp:posOffset>
            </wp:positionH>
            <wp:positionV relativeFrom="paragraph">
              <wp:posOffset>220980</wp:posOffset>
            </wp:positionV>
            <wp:extent cx="124333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4333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25" w:lineRule="exact"/>
        <w:rPr>
          <w:sz w:val="24"/>
          <w:szCs w:val="24"/>
          <w:color w:val="auto"/>
        </w:rPr>
      </w:pPr>
    </w:p>
    <w:p>
      <w:pPr>
        <w:ind w:left="580" w:hanging="572"/>
        <w:spacing w:after="0"/>
        <w:tabs>
          <w:tab w:leader="none" w:pos="580" w:val="left"/>
        </w:tabs>
        <w:numPr>
          <w:ilvl w:val="0"/>
          <w:numId w:val="1"/>
        </w:numPr>
        <w:rPr>
          <w:rFonts w:ascii="MS PGothic" w:cs="MS PGothic" w:eastAsia="MS PGothic" w:hAnsi="MS PGothic"/>
          <w:sz w:val="21"/>
          <w:szCs w:val="21"/>
          <w:color w:val="auto"/>
          <w:highlight w:val="black"/>
        </w:rPr>
      </w:pPr>
      <w:r>
        <w:rPr>
          <w:rFonts w:ascii="Arial" w:cs="Arial" w:eastAsia="Arial" w:hAnsi="Arial"/>
          <w:sz w:val="21"/>
          <w:szCs w:val="21"/>
          <w:b w:val="1"/>
          <w:bCs w:val="1"/>
          <w:color w:val="auto"/>
        </w:rPr>
        <w:t>ANNUAL REPORT PURSUANT TO SECTION 13 OR 15(d) OF THE SECURITIES EXCHANGE ACT OF 1934</w:t>
      </w:r>
    </w:p>
    <w:p>
      <w:pPr>
        <w:spacing w:after="0" w:line="190" w:lineRule="exact"/>
        <w:rPr>
          <w:sz w:val="24"/>
          <w:szCs w:val="24"/>
          <w:color w:val="auto"/>
        </w:rPr>
      </w:pPr>
    </w:p>
    <w:p>
      <w:pPr>
        <w:ind w:left="580"/>
        <w:spacing w:after="0"/>
        <w:rPr>
          <w:sz w:val="20"/>
          <w:szCs w:val="20"/>
          <w:color w:val="auto"/>
        </w:rPr>
      </w:pPr>
      <w:r>
        <w:rPr>
          <w:rFonts w:ascii="Arial" w:cs="Arial" w:eastAsia="Arial" w:hAnsi="Arial"/>
          <w:sz w:val="18"/>
          <w:szCs w:val="18"/>
          <w:b w:val="1"/>
          <w:bCs w:val="1"/>
          <w:color w:val="auto"/>
        </w:rPr>
        <w:t>For the fiscal year ended November 25, 2006</w:t>
      </w:r>
    </w:p>
    <w:p>
      <w:pPr>
        <w:spacing w:after="0" w:line="199" w:lineRule="exact"/>
        <w:rPr>
          <w:sz w:val="24"/>
          <w:szCs w:val="24"/>
          <w:color w:val="auto"/>
        </w:rPr>
      </w:pPr>
    </w:p>
    <w:p>
      <w:pPr>
        <w:ind w:left="580" w:right="340" w:hanging="572"/>
        <w:spacing w:after="0" w:line="256" w:lineRule="auto"/>
        <w:tabs>
          <w:tab w:leader="none" w:pos="580" w:val="left"/>
        </w:tabs>
        <w:numPr>
          <w:ilvl w:val="0"/>
          <w:numId w:val="2"/>
        </w:numPr>
        <w:rPr>
          <w:rFonts w:ascii="MS PGothic" w:cs="MS PGothic" w:eastAsia="MS PGothic" w:hAnsi="MS PGothic"/>
          <w:sz w:val="22"/>
          <w:szCs w:val="22"/>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122" w:lineRule="exact"/>
        <w:rPr>
          <w:sz w:val="24"/>
          <w:szCs w:val="24"/>
          <w:color w:val="auto"/>
        </w:rPr>
      </w:pPr>
    </w:p>
    <w:p>
      <w:pPr>
        <w:ind w:left="580"/>
        <w:spacing w:after="0"/>
        <w:tabs>
          <w:tab w:leader="none" w:pos="344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4"/>
          <w:szCs w:val="14"/>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1836420</wp:posOffset>
            </wp:positionH>
            <wp:positionV relativeFrom="paragraph">
              <wp:posOffset>-10160</wp:posOffset>
            </wp:positionV>
            <wp:extent cx="81724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817245" cy="8890"/>
                    </a:xfrm>
                    <a:prstGeom prst="rect">
                      <a:avLst/>
                    </a:prstGeom>
                    <a:noFill/>
                  </pic:spPr>
                </pic:pic>
              </a:graphicData>
            </a:graphic>
          </wp:anchor>
        </w:drawing>
      </w:r>
    </w:p>
    <w:p>
      <w:pPr>
        <w:spacing w:after="0" w:line="15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No. 0-209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3006725</wp:posOffset>
            </wp:positionH>
            <wp:positionV relativeFrom="paragraph">
              <wp:posOffset>212090</wp:posOffset>
            </wp:positionV>
            <wp:extent cx="124333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43330" cy="8890"/>
                    </a:xfrm>
                    <a:prstGeom prst="rect">
                      <a:avLst/>
                    </a:prstGeom>
                    <a:noFill/>
                  </pic:spPr>
                </pic:pic>
              </a:graphicData>
            </a:graphic>
          </wp:anchor>
        </w:drawing>
      </w:r>
    </w:p>
    <w:p>
      <w:pPr>
        <w:spacing w:after="0" w:line="200" w:lineRule="exact"/>
        <w:rPr>
          <w:sz w:val="24"/>
          <w:szCs w:val="24"/>
          <w:color w:val="auto"/>
        </w:rPr>
      </w:pPr>
    </w:p>
    <w:p>
      <w:pPr>
        <w:spacing w:after="0" w:line="24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BASSETT FURNITURE INDUSTRIES, INCORPORATED</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3006725</wp:posOffset>
            </wp:positionH>
            <wp:positionV relativeFrom="paragraph">
              <wp:posOffset>189230</wp:posOffset>
            </wp:positionV>
            <wp:extent cx="124333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4333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tbl>
      <w:tblPr>
        <w:tblLayout w:type="fixed"/>
        <w:tblInd w:w="1380" w:type="dxa"/>
        <w:tblCellMar>
          <w:top w:w="0" w:type="dxa"/>
          <w:left w:w="0" w:type="dxa"/>
          <w:bottom w:w="0" w:type="dxa"/>
          <w:right w:w="0" w:type="dxa"/>
        </w:tblCellMar>
      </w:tblPr>
      <w:tr>
        <w:trPr>
          <w:trHeight w:val="218"/>
        </w:trPr>
        <w:tc>
          <w:tcPr>
            <w:tcW w:w="6780" w:type="dxa"/>
            <w:vAlign w:val="bottom"/>
          </w:tcPr>
          <w:p>
            <w:pPr>
              <w:jc w:val="center"/>
              <w:ind w:right="3741"/>
              <w:spacing w:after="0"/>
              <w:rPr>
                <w:sz w:val="20"/>
                <w:szCs w:val="20"/>
                <w:color w:val="auto"/>
              </w:rPr>
            </w:pPr>
            <w:r>
              <w:rPr>
                <w:rFonts w:ascii="Arial" w:cs="Arial" w:eastAsia="Arial" w:hAnsi="Arial"/>
                <w:sz w:val="18"/>
                <w:szCs w:val="18"/>
                <w:b w:val="1"/>
                <w:bCs w:val="1"/>
                <w:color w:val="auto"/>
              </w:rPr>
              <w:t>VIRGINIA</w:t>
            </w:r>
          </w:p>
        </w:tc>
        <w:tc>
          <w:tcPr>
            <w:tcW w:w="1060" w:type="dxa"/>
            <w:vAlign w:val="bottom"/>
          </w:tcPr>
          <w:p>
            <w:pPr>
              <w:jc w:val="right"/>
              <w:ind w:right="44"/>
              <w:spacing w:after="0"/>
              <w:rPr>
                <w:sz w:val="20"/>
                <w:szCs w:val="20"/>
                <w:color w:val="auto"/>
              </w:rPr>
            </w:pPr>
            <w:r>
              <w:rPr>
                <w:rFonts w:ascii="Arial" w:cs="Arial" w:eastAsia="Arial" w:hAnsi="Arial"/>
                <w:sz w:val="18"/>
                <w:szCs w:val="18"/>
                <w:b w:val="1"/>
                <w:bCs w:val="1"/>
                <w:color w:val="auto"/>
                <w:w w:val="95"/>
              </w:rPr>
              <w:t>54-0135270</w:t>
            </w:r>
          </w:p>
        </w:tc>
      </w:tr>
      <w:tr>
        <w:trPr>
          <w:trHeight w:val="149"/>
        </w:trPr>
        <w:tc>
          <w:tcPr>
            <w:tcW w:w="6780" w:type="dxa"/>
            <w:vAlign w:val="bottom"/>
          </w:tcPr>
          <w:p>
            <w:pPr>
              <w:jc w:val="center"/>
              <w:ind w:right="3741"/>
              <w:spacing w:after="0" w:line="149" w:lineRule="exact"/>
              <w:rPr>
                <w:sz w:val="20"/>
                <w:szCs w:val="20"/>
                <w:color w:val="auto"/>
              </w:rPr>
            </w:pPr>
            <w:r>
              <w:rPr>
                <w:rFonts w:ascii="Arial" w:cs="Arial" w:eastAsia="Arial" w:hAnsi="Arial"/>
                <w:sz w:val="14"/>
                <w:szCs w:val="14"/>
                <w:b w:val="1"/>
                <w:bCs w:val="1"/>
                <w:color w:val="auto"/>
                <w:w w:val="87"/>
              </w:rPr>
              <w:t>(State or other jurisdiction of</w:t>
            </w:r>
          </w:p>
        </w:tc>
        <w:tc>
          <w:tcPr>
            <w:tcW w:w="10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(I.R.S. Employer</w:t>
            </w:r>
          </w:p>
        </w:tc>
      </w:tr>
      <w:tr>
        <w:trPr>
          <w:trHeight w:val="174"/>
        </w:trPr>
        <w:tc>
          <w:tcPr>
            <w:tcW w:w="6780" w:type="dxa"/>
            <w:vAlign w:val="bottom"/>
          </w:tcPr>
          <w:p>
            <w:pPr>
              <w:jc w:val="center"/>
              <w:ind w:right="3741"/>
              <w:spacing w:after="0"/>
              <w:rPr>
                <w:sz w:val="20"/>
                <w:szCs w:val="20"/>
                <w:color w:val="auto"/>
              </w:rPr>
            </w:pPr>
            <w:r>
              <w:rPr>
                <w:rFonts w:ascii="Arial" w:cs="Arial" w:eastAsia="Arial" w:hAnsi="Arial"/>
                <w:sz w:val="14"/>
                <w:szCs w:val="14"/>
                <w:b w:val="1"/>
                <w:bCs w:val="1"/>
                <w:color w:val="auto"/>
                <w:w w:val="88"/>
              </w:rPr>
              <w:t>incorporation or organization)</w:t>
            </w:r>
          </w:p>
        </w:tc>
        <w:tc>
          <w:tcPr>
            <w:tcW w:w="1060" w:type="dxa"/>
            <w:vAlign w:val="bottom"/>
          </w:tcPr>
          <w:p>
            <w:pPr>
              <w:jc w:val="center"/>
              <w:spacing w:after="0"/>
              <w:rPr>
                <w:sz w:val="20"/>
                <w:szCs w:val="20"/>
                <w:color w:val="auto"/>
              </w:rPr>
            </w:pPr>
            <w:r>
              <w:rPr>
                <w:rFonts w:ascii="Arial" w:cs="Arial" w:eastAsia="Arial" w:hAnsi="Arial"/>
                <w:sz w:val="14"/>
                <w:szCs w:val="14"/>
                <w:b w:val="1"/>
                <w:bCs w:val="1"/>
                <w:color w:val="auto"/>
                <w:w w:val="89"/>
              </w:rPr>
              <w:t>Identification No.)</w:t>
            </w:r>
          </w:p>
        </w:tc>
      </w:tr>
      <w:tr>
        <w:trPr>
          <w:trHeight w:val="405"/>
        </w:trPr>
        <w:tc>
          <w:tcPr>
            <w:tcW w:w="6780" w:type="dxa"/>
            <w:vAlign w:val="bottom"/>
          </w:tcPr>
          <w:p>
            <w:pPr>
              <w:jc w:val="center"/>
              <w:ind w:right="3741"/>
              <w:spacing w:after="0"/>
              <w:rPr>
                <w:sz w:val="20"/>
                <w:szCs w:val="20"/>
                <w:color w:val="auto"/>
              </w:rPr>
            </w:pPr>
            <w:r>
              <w:rPr>
                <w:rFonts w:ascii="Arial" w:cs="Arial" w:eastAsia="Arial" w:hAnsi="Arial"/>
                <w:sz w:val="18"/>
                <w:szCs w:val="18"/>
                <w:b w:val="1"/>
                <w:bCs w:val="1"/>
                <w:color w:val="auto"/>
                <w:w w:val="95"/>
              </w:rPr>
              <w:t>3525 FAIRYSTONE PARK HIGHWAY</w:t>
            </w:r>
          </w:p>
        </w:tc>
        <w:tc>
          <w:tcPr>
            <w:tcW w:w="1060" w:type="dxa"/>
            <w:vAlign w:val="bottom"/>
          </w:tcPr>
          <w:p>
            <w:pPr>
              <w:spacing w:after="0"/>
              <w:rPr>
                <w:sz w:val="24"/>
                <w:szCs w:val="24"/>
                <w:color w:val="auto"/>
              </w:rPr>
            </w:pPr>
          </w:p>
        </w:tc>
      </w:tr>
      <w:tr>
        <w:trPr>
          <w:trHeight w:val="231"/>
        </w:trPr>
        <w:tc>
          <w:tcPr>
            <w:tcW w:w="6780" w:type="dxa"/>
            <w:vAlign w:val="bottom"/>
          </w:tcPr>
          <w:p>
            <w:pPr>
              <w:jc w:val="center"/>
              <w:ind w:right="3741"/>
              <w:spacing w:after="0"/>
              <w:rPr>
                <w:sz w:val="20"/>
                <w:szCs w:val="20"/>
                <w:color w:val="auto"/>
              </w:rPr>
            </w:pPr>
            <w:r>
              <w:rPr>
                <w:rFonts w:ascii="Arial" w:cs="Arial" w:eastAsia="Arial" w:hAnsi="Arial"/>
                <w:sz w:val="18"/>
                <w:szCs w:val="18"/>
                <w:b w:val="1"/>
                <w:bCs w:val="1"/>
                <w:color w:val="auto"/>
                <w:w w:val="98"/>
              </w:rPr>
              <w:t>BASSETT, VIRGINIA</w:t>
            </w:r>
          </w:p>
        </w:tc>
        <w:tc>
          <w:tcPr>
            <w:tcW w:w="1060" w:type="dxa"/>
            <w:vAlign w:val="bottom"/>
          </w:tcPr>
          <w:p>
            <w:pPr>
              <w:jc w:val="right"/>
              <w:ind w:right="244"/>
              <w:spacing w:after="0"/>
              <w:rPr>
                <w:sz w:val="20"/>
                <w:szCs w:val="20"/>
                <w:color w:val="auto"/>
              </w:rPr>
            </w:pPr>
            <w:r>
              <w:rPr>
                <w:rFonts w:ascii="Arial" w:cs="Arial" w:eastAsia="Arial" w:hAnsi="Arial"/>
                <w:sz w:val="18"/>
                <w:szCs w:val="18"/>
                <w:b w:val="1"/>
                <w:bCs w:val="1"/>
                <w:color w:val="auto"/>
              </w:rPr>
              <w:t>24055</w:t>
            </w:r>
          </w:p>
        </w:tc>
      </w:tr>
      <w:tr>
        <w:trPr>
          <w:trHeight w:val="174"/>
        </w:trPr>
        <w:tc>
          <w:tcPr>
            <w:tcW w:w="6780" w:type="dxa"/>
            <w:vAlign w:val="bottom"/>
          </w:tcPr>
          <w:p>
            <w:pPr>
              <w:jc w:val="center"/>
              <w:ind w:right="3741"/>
              <w:spacing w:after="0"/>
              <w:rPr>
                <w:sz w:val="20"/>
                <w:szCs w:val="20"/>
                <w:color w:val="auto"/>
              </w:rPr>
            </w:pPr>
            <w:r>
              <w:rPr>
                <w:rFonts w:ascii="Arial" w:cs="Arial" w:eastAsia="Arial" w:hAnsi="Arial"/>
                <w:sz w:val="14"/>
                <w:szCs w:val="14"/>
                <w:b w:val="1"/>
                <w:bCs w:val="1"/>
                <w:color w:val="auto"/>
                <w:w w:val="85"/>
              </w:rPr>
              <w:t>(Address of principal executive offices)</w:t>
            </w:r>
          </w:p>
        </w:tc>
        <w:tc>
          <w:tcPr>
            <w:tcW w:w="1060" w:type="dxa"/>
            <w:vAlign w:val="bottom"/>
          </w:tcPr>
          <w:p>
            <w:pPr>
              <w:jc w:val="center"/>
              <w:spacing w:after="0"/>
              <w:rPr>
                <w:sz w:val="20"/>
                <w:szCs w:val="20"/>
                <w:color w:val="auto"/>
              </w:rPr>
            </w:pPr>
            <w:r>
              <w:rPr>
                <w:rFonts w:ascii="Arial" w:cs="Arial" w:eastAsia="Arial" w:hAnsi="Arial"/>
                <w:sz w:val="14"/>
                <w:szCs w:val="14"/>
                <w:b w:val="1"/>
                <w:bCs w:val="1"/>
                <w:color w:val="auto"/>
                <w:w w:val="89"/>
              </w:rPr>
              <w:t>(Zip Code)</w:t>
            </w:r>
          </w:p>
        </w:tc>
      </w:tr>
      <w:tr>
        <w:trPr>
          <w:trHeight w:val="363"/>
        </w:trPr>
        <w:tc>
          <w:tcPr>
            <w:tcW w:w="6780" w:type="dxa"/>
            <w:vAlign w:val="bottom"/>
          </w:tcPr>
          <w:p>
            <w:pPr>
              <w:ind w:left="1900"/>
              <w:spacing w:after="0"/>
              <w:rPr>
                <w:sz w:val="20"/>
                <w:szCs w:val="20"/>
                <w:color w:val="auto"/>
              </w:rPr>
            </w:pPr>
            <w:r>
              <w:rPr>
                <w:rFonts w:ascii="Arial" w:cs="Arial" w:eastAsia="Arial" w:hAnsi="Arial"/>
                <w:sz w:val="18"/>
                <w:szCs w:val="18"/>
                <w:b w:val="1"/>
                <w:bCs w:val="1"/>
                <w:color w:val="auto"/>
                <w:w w:val="86"/>
              </w:rPr>
              <w:t>Registrant’s telephone number, including area code 276/629-6000</w:t>
            </w:r>
          </w:p>
        </w:tc>
        <w:tc>
          <w:tcPr>
            <w:tcW w:w="106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3006725</wp:posOffset>
            </wp:positionH>
            <wp:positionV relativeFrom="paragraph">
              <wp:posOffset>198755</wp:posOffset>
            </wp:positionV>
            <wp:extent cx="124333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43330" cy="8890"/>
                    </a:xfrm>
                    <a:prstGeom prst="rect">
                      <a:avLst/>
                    </a:prstGeom>
                    <a:noFill/>
                  </pic:spPr>
                </pic:pic>
              </a:graphicData>
            </a:graphic>
          </wp:anchor>
        </w:drawing>
      </w:r>
    </w:p>
    <w:p>
      <w:pPr>
        <w:spacing w:after="0" w:line="200" w:lineRule="exact"/>
        <w:rPr>
          <w:sz w:val="24"/>
          <w:szCs w:val="24"/>
          <w:color w:val="auto"/>
        </w:rPr>
      </w:pPr>
    </w:p>
    <w:p>
      <w:pPr>
        <w:spacing w:after="0" w:line="254" w:lineRule="exact"/>
        <w:rPr>
          <w:sz w:val="24"/>
          <w:szCs w:val="24"/>
          <w:color w:val="auto"/>
        </w:rPr>
      </w:pPr>
    </w:p>
    <w:p>
      <w:pPr>
        <w:ind w:left="3280"/>
        <w:spacing w:after="0"/>
        <w:rPr>
          <w:sz w:val="20"/>
          <w:szCs w:val="20"/>
          <w:color w:val="auto"/>
        </w:rPr>
      </w:pPr>
      <w:r>
        <w:rPr>
          <w:rFonts w:ascii="Arial" w:cs="Arial" w:eastAsia="Arial" w:hAnsi="Arial"/>
          <w:sz w:val="18"/>
          <w:szCs w:val="18"/>
          <w:b w:val="1"/>
          <w:bCs w:val="1"/>
          <w:color w:val="auto"/>
        </w:rPr>
        <w:t>Securities registered pursuant to Section 12(b) of the Act:</w:t>
      </w:r>
    </w:p>
    <w:p>
      <w:pPr>
        <w:spacing w:after="0" w:line="213" w:lineRule="exact"/>
        <w:rPr>
          <w:sz w:val="24"/>
          <w:szCs w:val="24"/>
          <w:color w:val="auto"/>
        </w:rPr>
      </w:pPr>
    </w:p>
    <w:tbl>
      <w:tblPr>
        <w:tblLayout w:type="fixed"/>
        <w:tblInd w:w="0" w:type="dxa"/>
        <w:tblCellMar>
          <w:top w:w="0" w:type="dxa"/>
          <w:left w:w="0" w:type="dxa"/>
          <w:bottom w:w="0" w:type="dxa"/>
          <w:right w:w="0" w:type="dxa"/>
        </w:tblCellMar>
      </w:tblPr>
      <w:tr>
        <w:trPr>
          <w:trHeight w:val="181"/>
        </w:trPr>
        <w:tc>
          <w:tcPr>
            <w:tcW w:w="57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4"/>
              </w:rPr>
              <w:t>Title of each class:</w:t>
            </w:r>
          </w:p>
        </w:tc>
        <w:tc>
          <w:tcPr>
            <w:tcW w:w="240" w:type="dxa"/>
            <w:vAlign w:val="bottom"/>
          </w:tcPr>
          <w:p>
            <w:pPr>
              <w:spacing w:after="0"/>
              <w:rPr>
                <w:sz w:val="15"/>
                <w:szCs w:val="15"/>
                <w:color w:val="auto"/>
              </w:rPr>
            </w:pPr>
          </w:p>
        </w:tc>
        <w:tc>
          <w:tcPr>
            <w:tcW w:w="740" w:type="dxa"/>
            <w:vAlign w:val="bottom"/>
            <w:tcBorders>
              <w:bottom w:val="single" w:sz="8" w:color="auto"/>
            </w:tcBorders>
          </w:tcPr>
          <w:p>
            <w:pPr>
              <w:spacing w:after="0"/>
              <w:rPr>
                <w:sz w:val="15"/>
                <w:szCs w:val="15"/>
                <w:color w:val="auto"/>
              </w:rPr>
            </w:pPr>
          </w:p>
        </w:tc>
        <w:tc>
          <w:tcPr>
            <w:tcW w:w="4720" w:type="dxa"/>
            <w:vAlign w:val="bottom"/>
            <w:tcBorders>
              <w:bottom w:val="single" w:sz="8" w:color="auto"/>
            </w:tcBorders>
            <w:gridSpan w:val="3"/>
          </w:tcPr>
          <w:p>
            <w:pPr>
              <w:jc w:val="center"/>
              <w:ind w:right="652"/>
              <w:spacing w:after="0"/>
              <w:rPr>
                <w:sz w:val="20"/>
                <w:szCs w:val="20"/>
                <w:color w:val="auto"/>
              </w:rPr>
            </w:pPr>
            <w:r>
              <w:rPr>
                <w:rFonts w:ascii="Arial" w:cs="Arial" w:eastAsia="Arial" w:hAnsi="Arial"/>
                <w:sz w:val="14"/>
                <w:szCs w:val="14"/>
                <w:b w:val="1"/>
                <w:bCs w:val="1"/>
                <w:color w:val="auto"/>
                <w:w w:val="84"/>
              </w:rPr>
              <w:t>Name of each exchange on which registered</w:t>
            </w:r>
          </w:p>
        </w:tc>
        <w:tc>
          <w:tcPr>
            <w:tcW w:w="0" w:type="dxa"/>
            <w:vAlign w:val="bottom"/>
          </w:tcPr>
          <w:p>
            <w:pPr>
              <w:spacing w:after="0"/>
              <w:rPr>
                <w:sz w:val="1"/>
                <w:szCs w:val="1"/>
                <w:color w:val="auto"/>
              </w:rPr>
            </w:pPr>
          </w:p>
        </w:tc>
      </w:tr>
      <w:tr>
        <w:trPr>
          <w:trHeight w:val="215"/>
        </w:trPr>
        <w:tc>
          <w:tcPr>
            <w:tcW w:w="5720" w:type="dxa"/>
            <w:vAlign w:val="bottom"/>
            <w:gridSpan w:val="2"/>
          </w:tcPr>
          <w:p>
            <w:pPr>
              <w:jc w:val="center"/>
              <w:spacing w:after="0"/>
              <w:rPr>
                <w:sz w:val="20"/>
                <w:szCs w:val="20"/>
                <w:color w:val="auto"/>
              </w:rPr>
            </w:pPr>
            <w:r>
              <w:rPr>
                <w:rFonts w:ascii="Arial" w:cs="Arial" w:eastAsia="Arial" w:hAnsi="Arial"/>
                <w:sz w:val="18"/>
                <w:szCs w:val="18"/>
                <w:b w:val="1"/>
                <w:bCs w:val="1"/>
                <w:color w:val="auto"/>
                <w:w w:val="88"/>
              </w:rPr>
              <w:t>Common Stock ($5.00 par value)</w:t>
            </w:r>
          </w:p>
        </w:tc>
        <w:tc>
          <w:tcPr>
            <w:tcW w:w="2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b w:val="1"/>
                <w:bCs w:val="1"/>
                <w:color w:val="auto"/>
                <w:w w:val="94"/>
              </w:rPr>
              <w:t>NASDAQ</w:t>
            </w:r>
          </w:p>
        </w:tc>
        <w:tc>
          <w:tcPr>
            <w:tcW w:w="2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64"/>
        </w:trPr>
        <w:tc>
          <w:tcPr>
            <w:tcW w:w="8320" w:type="dxa"/>
            <w:vAlign w:val="bottom"/>
            <w:gridSpan w:val="5"/>
          </w:tcPr>
          <w:p>
            <w:pPr>
              <w:ind w:left="3360"/>
              <w:spacing w:after="0"/>
              <w:rPr>
                <w:sz w:val="20"/>
                <w:szCs w:val="20"/>
                <w:color w:val="auto"/>
              </w:rPr>
            </w:pPr>
            <w:r>
              <w:rPr>
                <w:rFonts w:ascii="Arial" w:cs="Arial" w:eastAsia="Arial" w:hAnsi="Arial"/>
                <w:sz w:val="18"/>
                <w:szCs w:val="18"/>
                <w:b w:val="1"/>
                <w:bCs w:val="1"/>
                <w:color w:val="auto"/>
                <w:w w:val="90"/>
              </w:rPr>
              <w:t>Securities registered pursuant to Section 12(g) of the Act: None</w:t>
            </w:r>
          </w:p>
        </w:tc>
        <w:tc>
          <w:tcPr>
            <w:tcW w:w="80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4740" w:type="dxa"/>
            <w:vAlign w:val="bottom"/>
          </w:tcPr>
          <w:p>
            <w:pPr>
              <w:spacing w:after="0"/>
              <w:rPr>
                <w:sz w:val="24"/>
                <w:szCs w:val="24"/>
                <w:color w:val="auto"/>
              </w:rPr>
            </w:pPr>
          </w:p>
        </w:tc>
        <w:tc>
          <w:tcPr>
            <w:tcW w:w="1960" w:type="dxa"/>
            <w:vAlign w:val="bottom"/>
            <w:tcBorders>
              <w:bottom w:val="single" w:sz="8" w:color="auto"/>
            </w:tcBorders>
            <w:gridSpan w:val="3"/>
          </w:tcPr>
          <w:p>
            <w:pPr>
              <w:spacing w:after="0"/>
              <w:rPr>
                <w:sz w:val="24"/>
                <w:szCs w:val="24"/>
                <w:color w:val="auto"/>
              </w:rPr>
            </w:pPr>
          </w:p>
        </w:tc>
        <w:tc>
          <w:tcPr>
            <w:tcW w:w="1620" w:type="dxa"/>
            <w:vAlign w:val="bottom"/>
          </w:tcPr>
          <w:p>
            <w:pPr>
              <w:spacing w:after="0"/>
              <w:rPr>
                <w:sz w:val="24"/>
                <w:szCs w:val="24"/>
                <w:color w:val="auto"/>
              </w:rPr>
            </w:pPr>
          </w:p>
        </w:tc>
        <w:tc>
          <w:tcPr>
            <w:tcW w:w="800" w:type="dxa"/>
            <w:vAlign w:val="bottom"/>
            <w:vMerge w:val="restart"/>
          </w:tcPr>
          <w:p>
            <w:pPr>
              <w:ind w:left="1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2300" w:type="dxa"/>
            <w:vAlign w:val="bottom"/>
            <w:vMerge w:val="restart"/>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0" w:type="dxa"/>
            <w:vAlign w:val="bottom"/>
          </w:tcPr>
          <w:p>
            <w:pPr>
              <w:spacing w:after="0"/>
              <w:rPr>
                <w:sz w:val="1"/>
                <w:szCs w:val="1"/>
                <w:color w:val="auto"/>
              </w:rPr>
            </w:pPr>
          </w:p>
        </w:tc>
      </w:tr>
      <w:tr>
        <w:trPr>
          <w:trHeight w:val="390"/>
        </w:trPr>
        <w:tc>
          <w:tcPr>
            <w:tcW w:w="8320" w:type="dxa"/>
            <w:vAlign w:val="bottom"/>
            <w:gridSpan w:val="5"/>
          </w:tcPr>
          <w:p>
            <w:pPr>
              <w:spacing w:after="0"/>
              <w:rPr>
                <w:sz w:val="20"/>
                <w:szCs w:val="20"/>
                <w:color w:val="auto"/>
              </w:rPr>
            </w:pPr>
            <w:r>
              <w:rPr>
                <w:rFonts w:ascii="Arial" w:cs="Arial" w:eastAsia="Arial" w:hAnsi="Arial"/>
                <w:sz w:val="18"/>
                <w:szCs w:val="18"/>
                <w:color w:val="auto"/>
                <w:w w:val="88"/>
              </w:rPr>
              <w:t>Indicate by check mark if the Registrant is a well-known seasoned issuer, as defined in Rule 405 of the Securities Act.</w:t>
            </w:r>
          </w:p>
        </w:tc>
        <w:tc>
          <w:tcPr>
            <w:tcW w:w="800" w:type="dxa"/>
            <w:vAlign w:val="bottom"/>
            <w:vMerge w:val="continue"/>
          </w:tcPr>
          <w:p>
            <w:pPr>
              <w:spacing w:after="0"/>
              <w:rPr>
                <w:sz w:val="24"/>
                <w:szCs w:val="24"/>
                <w:color w:val="auto"/>
              </w:rPr>
            </w:pPr>
          </w:p>
        </w:tc>
        <w:tc>
          <w:tcPr>
            <w:tcW w:w="23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9120" w:type="dxa"/>
            <w:vAlign w:val="bottom"/>
            <w:gridSpan w:val="6"/>
          </w:tcPr>
          <w:p>
            <w:pPr>
              <w:spacing w:after="0" w:line="207" w:lineRule="exact"/>
              <w:rPr>
                <w:sz w:val="20"/>
                <w:szCs w:val="20"/>
                <w:color w:val="auto"/>
              </w:rPr>
            </w:pPr>
            <w:r>
              <w:rPr>
                <w:rFonts w:ascii="Arial" w:cs="Arial" w:eastAsia="Arial" w:hAnsi="Arial"/>
                <w:sz w:val="18"/>
                <w:szCs w:val="18"/>
                <w:color w:val="auto"/>
                <w:w w:val="90"/>
              </w:rPr>
              <w:t xml:space="preserve">Indicate by check mark if the registrant is not required to file reports pursuant to Section 13 or Section 15(d) of the Act.  </w:t>
            </w:r>
            <w:r>
              <w:rPr>
                <w:rFonts w:ascii="MS PGothic" w:cs="MS PGothic" w:eastAsia="MS PGothic" w:hAnsi="MS PGothic"/>
                <w:sz w:val="18"/>
                <w:szCs w:val="18"/>
                <w:color w:val="auto"/>
                <w:w w:val="90"/>
              </w:rPr>
              <w:t>☐</w:t>
            </w:r>
            <w:r>
              <w:rPr>
                <w:rFonts w:ascii="Arial" w:cs="Arial" w:eastAsia="Arial" w:hAnsi="Arial"/>
                <w:sz w:val="18"/>
                <w:szCs w:val="18"/>
                <w:color w:val="auto"/>
                <w:w w:val="90"/>
              </w:rPr>
              <w:t xml:space="preserve"> Yes</w:t>
            </w:r>
          </w:p>
        </w:tc>
        <w:tc>
          <w:tcPr>
            <w:tcW w:w="2300" w:type="dxa"/>
            <w:vAlign w:val="bottom"/>
          </w:tcPr>
          <w:p>
            <w:pPr>
              <w:ind w:left="1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0" w:type="dxa"/>
            <w:vAlign w:val="bottom"/>
          </w:tcPr>
          <w:p>
            <w:pPr>
              <w:spacing w:after="0"/>
              <w:rPr>
                <w:sz w:val="1"/>
                <w:szCs w:val="1"/>
                <w:color w:val="auto"/>
              </w:rPr>
            </w:pPr>
          </w:p>
        </w:tc>
      </w:tr>
    </w:tbl>
    <w:p>
      <w:pPr>
        <w:spacing w:after="0" w:line="136" w:lineRule="exact"/>
        <w:rPr>
          <w:sz w:val="24"/>
          <w:szCs w:val="24"/>
          <w:color w:val="auto"/>
        </w:rPr>
      </w:pPr>
    </w:p>
    <w:p>
      <w:pPr>
        <w:ind w:right="240"/>
        <w:spacing w:after="0" w:line="229"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and (2) has been subject to such filing requirements for at least the past 90 days. </w:t>
      </w:r>
      <w:r>
        <w:rPr>
          <w:rFonts w:ascii="MS PGothic" w:cs="MS PGothic" w:eastAsia="MS PGothic" w:hAnsi="MS PGothic"/>
          <w:sz w:val="18"/>
          <w:szCs w:val="18"/>
          <w:color w:val="auto"/>
        </w:rPr>
        <w:t>☒</w:t>
      </w:r>
      <w:r>
        <w:rPr>
          <w:rFonts w:ascii="Arial" w:cs="Arial" w:eastAsia="Arial" w:hAnsi="Arial"/>
          <w:sz w:val="18"/>
          <w:szCs w:val="18"/>
          <w:color w:val="auto"/>
        </w:rPr>
        <w:t xml:space="preserve"> Yes </w:t>
      </w: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p>
      <w:pPr>
        <w:spacing w:after="0" w:line="137" w:lineRule="exact"/>
        <w:rPr>
          <w:sz w:val="24"/>
          <w:szCs w:val="24"/>
          <w:color w:val="auto"/>
        </w:rPr>
      </w:pPr>
    </w:p>
    <w:p>
      <w:pPr>
        <w:jc w:val="both"/>
        <w:ind w:right="140"/>
        <w:spacing w:after="0" w:line="225" w:lineRule="exact"/>
        <w:rPr>
          <w:sz w:val="20"/>
          <w:szCs w:val="20"/>
          <w:color w:val="auto"/>
        </w:rPr>
      </w:pPr>
      <w:r>
        <w:rPr>
          <w:rFonts w:ascii="Arial" w:cs="Arial" w:eastAsia="Arial" w:hAnsi="Arial"/>
          <w:sz w:val="18"/>
          <w:szCs w:val="18"/>
          <w:color w:val="auto"/>
        </w:rPr>
        <w:t xml:space="preserve">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w:t>
      </w:r>
      <w:r>
        <w:rPr>
          <w:rFonts w:ascii="MS PGothic" w:cs="MS PGothic" w:eastAsia="MS PGothic" w:hAnsi="MS PGothic"/>
          <w:sz w:val="18"/>
          <w:szCs w:val="18"/>
          <w:color w:val="auto"/>
        </w:rPr>
        <w:t>☒</w:t>
      </w:r>
    </w:p>
    <w:p>
      <w:pPr>
        <w:spacing w:after="0" w:line="138" w:lineRule="exact"/>
        <w:rPr>
          <w:sz w:val="24"/>
          <w:szCs w:val="24"/>
          <w:color w:val="auto"/>
        </w:rPr>
      </w:pPr>
    </w:p>
    <w:p>
      <w:pPr>
        <w:ind w:right="160"/>
        <w:spacing w:after="0" w:line="230" w:lineRule="exact"/>
        <w:rPr>
          <w:sz w:val="20"/>
          <w:szCs w:val="20"/>
          <w:color w:val="auto"/>
        </w:rPr>
      </w:pPr>
      <w:r>
        <w:rPr>
          <w:rFonts w:ascii="Arial" w:cs="Arial" w:eastAsia="Arial" w:hAnsi="Arial"/>
          <w:sz w:val="16"/>
          <w:szCs w:val="16"/>
          <w:color w:val="auto"/>
        </w:rPr>
        <w:t xml:space="preserve">Indicate by check mark whether the Registrant is a large accelerated filer, an accelerated filer, or a non-accelerated filer. See definition of “accelerated filer” and “large accelerated filer” in Rule 126-2 of the Exchange Act. (check one) Large Accelerated Filer </w:t>
      </w:r>
      <w:r>
        <w:rPr>
          <w:rFonts w:ascii="MS PGothic" w:cs="MS PGothic" w:eastAsia="MS PGothic" w:hAnsi="MS PGothic"/>
          <w:sz w:val="16"/>
          <w:szCs w:val="16"/>
          <w:color w:val="auto"/>
        </w:rPr>
        <w:t>☐</w:t>
      </w:r>
      <w:r>
        <w:rPr>
          <w:rFonts w:ascii="Arial" w:cs="Arial" w:eastAsia="Arial" w:hAnsi="Arial"/>
          <w:sz w:val="16"/>
          <w:szCs w:val="16"/>
          <w:color w:val="auto"/>
        </w:rPr>
        <w:t xml:space="preserve"> Accelerated Filer </w:t>
      </w:r>
      <w:r>
        <w:rPr>
          <w:rFonts w:ascii="MS PGothic" w:cs="MS PGothic" w:eastAsia="MS PGothic" w:hAnsi="MS PGothic"/>
          <w:sz w:val="16"/>
          <w:szCs w:val="16"/>
          <w:color w:val="auto"/>
        </w:rPr>
        <w:t>☒</w:t>
      </w:r>
      <w:r>
        <w:rPr>
          <w:rFonts w:ascii="Arial" w:cs="Arial" w:eastAsia="Arial" w:hAnsi="Arial"/>
          <w:sz w:val="16"/>
          <w:szCs w:val="16"/>
          <w:color w:val="auto"/>
        </w:rPr>
        <w:t xml:space="preserve"> Non-Accelerated Filer </w:t>
      </w:r>
      <w:r>
        <w:rPr>
          <w:rFonts w:ascii="MS PGothic" w:cs="MS PGothic" w:eastAsia="MS PGothic" w:hAnsi="MS PGothic"/>
          <w:sz w:val="16"/>
          <w:szCs w:val="16"/>
          <w:color w:val="auto"/>
        </w:rPr>
        <w:t>☐</w:t>
      </w:r>
    </w:p>
    <w:p>
      <w:pPr>
        <w:sectPr>
          <w:pgSz w:w="11900" w:h="16838" w:orient="portrait"/>
          <w:cols w:equalWidth="0" w:num="1">
            <w:col w:w="11420"/>
          </w:cols>
          <w:pgMar w:left="240" w:top="230" w:right="239" w:bottom="0" w:gutter="0" w:footer="0" w:header="0"/>
        </w:sectPr>
      </w:pPr>
    </w:p>
    <w:p>
      <w:pPr>
        <w:spacing w:after="0" w:line="136" w:lineRule="exact"/>
        <w:rPr>
          <w:sz w:val="24"/>
          <w:szCs w:val="24"/>
          <w:color w:val="auto"/>
        </w:rPr>
      </w:pPr>
    </w:p>
    <w:p>
      <w:pPr>
        <w:spacing w:after="0"/>
        <w:rPr>
          <w:sz w:val="20"/>
          <w:szCs w:val="20"/>
          <w:color w:val="auto"/>
        </w:rPr>
      </w:pPr>
      <w:r>
        <w:rPr>
          <w:rFonts w:ascii="Arial" w:cs="Arial" w:eastAsia="Arial" w:hAnsi="Arial"/>
          <w:sz w:val="15"/>
          <w:szCs w:val="15"/>
          <w:color w:val="auto"/>
        </w:rPr>
        <w:t>Indicate by check mark whether the registrant is a shell company (as defined in Rule 12-b2 of the Exchange Act).</w:t>
      </w:r>
    </w:p>
    <w:p>
      <w:pPr>
        <w:spacing w:after="0" w:line="20" w:lineRule="exact"/>
        <w:rPr>
          <w:sz w:val="24"/>
          <w:szCs w:val="24"/>
          <w:color w:val="auto"/>
        </w:rPr>
      </w:pPr>
      <w:r>
        <w:rPr>
          <w:sz w:val="24"/>
          <w:szCs w:val="24"/>
          <w:color w:val="auto"/>
        </w:rPr>
        <w:br w:type="column"/>
      </w:r>
    </w:p>
    <w:p>
      <w:pPr>
        <w:spacing w:after="0" w:line="83"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16" w:lineRule="exact"/>
        <w:rPr>
          <w:sz w:val="24"/>
          <w:szCs w:val="24"/>
          <w:color w:val="auto"/>
        </w:rPr>
      </w:pPr>
    </w:p>
    <w:p>
      <w:pPr>
        <w:spacing w:after="0"/>
        <w:rPr>
          <w:sz w:val="20"/>
          <w:szCs w:val="20"/>
          <w:color w:val="auto"/>
        </w:rPr>
      </w:pPr>
      <w:r>
        <w:rPr>
          <w:rFonts w:ascii="Arial" w:cs="Arial" w:eastAsia="Arial" w:hAnsi="Arial"/>
          <w:sz w:val="15"/>
          <w:szCs w:val="15"/>
          <w:color w:val="auto"/>
        </w:rPr>
        <w:t>Yes</w:t>
      </w:r>
    </w:p>
    <w:p>
      <w:pPr>
        <w:spacing w:after="0" w:line="20" w:lineRule="exact"/>
        <w:rPr>
          <w:sz w:val="24"/>
          <w:szCs w:val="24"/>
          <w:color w:val="auto"/>
        </w:rPr>
      </w:pPr>
      <w:r>
        <w:rPr>
          <w:sz w:val="24"/>
          <w:szCs w:val="24"/>
          <w:color w:val="auto"/>
        </w:rPr>
        <w:br w:type="column"/>
      </w:r>
    </w:p>
    <w:p>
      <w:pPr>
        <w:spacing w:after="0" w:line="83"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16" w:lineRule="exact"/>
        <w:rPr>
          <w:sz w:val="24"/>
          <w:szCs w:val="24"/>
          <w:color w:val="auto"/>
        </w:rPr>
      </w:pPr>
    </w:p>
    <w:p>
      <w:pPr>
        <w:spacing w:after="0"/>
        <w:rPr>
          <w:sz w:val="20"/>
          <w:szCs w:val="20"/>
          <w:color w:val="auto"/>
        </w:rPr>
      </w:pPr>
      <w:r>
        <w:rPr>
          <w:rFonts w:ascii="Arial" w:cs="Arial" w:eastAsia="Arial" w:hAnsi="Arial"/>
          <w:sz w:val="16"/>
          <w:szCs w:val="16"/>
          <w:color w:val="auto"/>
        </w:rPr>
        <w:t>No</w:t>
      </w:r>
    </w:p>
    <w:p>
      <w:pPr>
        <w:spacing w:after="0" w:line="194" w:lineRule="exact"/>
        <w:rPr>
          <w:sz w:val="24"/>
          <w:szCs w:val="24"/>
          <w:color w:val="auto"/>
        </w:rPr>
      </w:pPr>
    </w:p>
    <w:p>
      <w:pPr>
        <w:sectPr>
          <w:pgSz w:w="11900" w:h="16838" w:orient="portrait"/>
          <w:cols w:equalWidth="0" w:num="5">
            <w:col w:w="7980" w:space="180"/>
            <w:col w:w="160" w:space="80"/>
            <w:col w:w="260" w:space="180"/>
            <w:col w:w="160" w:space="80"/>
            <w:col w:w="2340"/>
          </w:cols>
          <w:pgMar w:left="240" w:top="230" w:right="239" w:bottom="0" w:gutter="0" w:footer="0" w:header="0"/>
          <w:type w:val="continuous"/>
        </w:sectPr>
      </w:pPr>
    </w:p>
    <w:p>
      <w:pPr>
        <w:spacing w:after="0"/>
        <w:rPr>
          <w:sz w:val="20"/>
          <w:szCs w:val="20"/>
          <w:color w:val="auto"/>
        </w:rPr>
      </w:pPr>
      <w:r>
        <w:rPr>
          <w:rFonts w:ascii="Arial" w:cs="Arial" w:eastAsia="Arial" w:hAnsi="Arial"/>
          <w:sz w:val="16"/>
          <w:szCs w:val="16"/>
          <w:color w:val="auto"/>
        </w:rPr>
        <w:t>The aggregate market value of the voting and non-voting common equity held by non-affiliates of the registrant as of May 27, 2006 was $204,710,804.</w:t>
      </w:r>
    </w:p>
    <w:p>
      <w:pPr>
        <w:spacing w:after="0" w:line="194" w:lineRule="exact"/>
        <w:rPr>
          <w:sz w:val="24"/>
          <w:szCs w:val="24"/>
          <w:color w:val="auto"/>
        </w:rPr>
      </w:pPr>
    </w:p>
    <w:p>
      <w:pPr>
        <w:spacing w:after="0"/>
        <w:rPr>
          <w:sz w:val="20"/>
          <w:szCs w:val="20"/>
          <w:color w:val="auto"/>
        </w:rPr>
      </w:pPr>
      <w:r>
        <w:rPr>
          <w:rFonts w:ascii="Arial" w:cs="Arial" w:eastAsia="Arial" w:hAnsi="Arial"/>
          <w:sz w:val="18"/>
          <w:szCs w:val="18"/>
          <w:color w:val="auto"/>
        </w:rPr>
        <w:t>The number of shares of the Registrant’s common stock outstanding on February 6, 2007 was 11,811,973.</w:t>
      </w:r>
    </w:p>
    <w:p>
      <w:pPr>
        <w:spacing w:after="0" w:line="16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DOCUMENTS INCORPORATED BY REFERENCE</w:t>
      </w:r>
    </w:p>
    <w:p>
      <w:pPr>
        <w:spacing w:after="0" w:line="218" w:lineRule="exact"/>
        <w:rPr>
          <w:sz w:val="24"/>
          <w:szCs w:val="24"/>
          <w:color w:val="auto"/>
        </w:rPr>
      </w:pPr>
    </w:p>
    <w:p>
      <w:pPr>
        <w:ind w:left="460" w:right="100" w:hanging="452"/>
        <w:spacing w:after="0" w:line="268" w:lineRule="auto"/>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Portions of the Bassett Furniture Industries, Incorporated Annual Report to Stockholders for the year ended November 25, 2006 (the “Annual Report”) are incorporated by reference into Parts I and II of this Form 10-K.</w:t>
      </w:r>
    </w:p>
    <w:p>
      <w:pPr>
        <w:spacing w:after="0" w:line="172" w:lineRule="exact"/>
        <w:rPr>
          <w:rFonts w:ascii="Arial" w:cs="Arial" w:eastAsia="Arial" w:hAnsi="Arial"/>
          <w:sz w:val="18"/>
          <w:szCs w:val="18"/>
          <w:color w:val="auto"/>
        </w:rPr>
      </w:pPr>
    </w:p>
    <w:p>
      <w:pPr>
        <w:ind w:left="460" w:right="100" w:hanging="452"/>
        <w:spacing w:after="0" w:line="332" w:lineRule="auto"/>
        <w:tabs>
          <w:tab w:leader="none" w:pos="460" w:val="left"/>
        </w:tabs>
        <w:numPr>
          <w:ilvl w:val="0"/>
          <w:numId w:val="3"/>
        </w:numPr>
        <w:rPr>
          <w:rFonts w:ascii="Arial" w:cs="Arial" w:eastAsia="Arial" w:hAnsi="Arial"/>
          <w:sz w:val="16"/>
          <w:szCs w:val="16"/>
          <w:color w:val="auto"/>
        </w:rPr>
      </w:pPr>
      <w:r>
        <w:rPr>
          <w:rFonts w:ascii="Arial" w:cs="Arial" w:eastAsia="Arial" w:hAnsi="Arial"/>
          <w:sz w:val="16"/>
          <w:szCs w:val="16"/>
          <w:color w:val="auto"/>
        </w:rPr>
        <w:t>Portions of the Bassett Furniture Industries, Incorporated definitive Proxy Statement for its 2007 Annual Meeting of Stockholders to be held April 19, 2007, filed with the Securities and Exchange Commission pursuant to Regulation 14A under the Securities Exchange Act of 1934 (the “Proxy Statement”)</w:t>
      </w:r>
    </w:p>
    <w:p>
      <w:pPr>
        <w:sectPr>
          <w:pgSz w:w="11900" w:h="16838" w:orient="portrait"/>
          <w:cols w:equalWidth="0" w:num="1">
            <w:col w:w="11420"/>
          </w:cols>
          <w:pgMar w:left="240" w:top="230" w:right="239" w:bottom="0" w:gutter="0" w:footer="0" w:header="0"/>
          <w:type w:val="continuous"/>
        </w:sectPr>
      </w:pPr>
    </w:p>
    <w:bookmarkStart w:id="1" w:name="page2"/>
    <w:bookmarkEnd w:id="1"/>
    <w:p>
      <w:pPr>
        <w:spacing w:after="0"/>
        <w:rPr>
          <w:sz w:val="20"/>
          <w:szCs w:val="20"/>
          <w:color w:val="auto"/>
        </w:rPr>
      </w:pPr>
      <w:r>
        <w:rPr>
          <w:rFonts w:ascii="Arial" w:cs="Arial" w:eastAsia="Arial" w:hAnsi="Arial"/>
          <w:sz w:val="16"/>
          <w:szCs w:val="16"/>
          <w:color w:val="auto"/>
        </w:rPr>
        <w:t>are incorporated by reference into Part III of this Form 10-K.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143510</wp:posOffset>
            </wp:positionV>
            <wp:extent cx="7250430"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29845"/>
                    </a:xfrm>
                    <a:prstGeom prst="rect">
                      <a:avLst/>
                    </a:prstGeom>
                    <a:noFill/>
                  </pic:spPr>
                </pic:pic>
              </a:graphicData>
            </a:graphic>
          </wp:anchor>
        </w:drawing>
      </w:r>
    </w:p>
    <w:p>
      <w:pPr>
        <w:sectPr>
          <w:pgSz w:w="11900" w:h="16838" w:orient="portrait"/>
          <w:cols w:equalWidth="0" w:num="1">
            <w:col w:w="9759"/>
          </w:cols>
          <w:pgMar w:left="700" w:top="131" w:right="1440"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center"/>
        <w:ind w:right="-39"/>
        <w:spacing w:after="0"/>
        <w:rPr>
          <w:sz w:val="20"/>
          <w:szCs w:val="20"/>
          <w:color w:val="auto"/>
        </w:rPr>
      </w:pPr>
      <w:r>
        <w:rPr>
          <w:rFonts w:ascii="Arial" w:cs="Arial" w:eastAsia="Arial" w:hAnsi="Arial"/>
          <w:sz w:val="18"/>
          <w:szCs w:val="18"/>
          <w:u w:val="single" w:color="auto"/>
          <w:color w:val="auto"/>
        </w:rPr>
        <w:t>PART I</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1. </w:t>
      </w:r>
      <w:r>
        <w:rPr>
          <w:rFonts w:ascii="Arial" w:cs="Arial" w:eastAsia="Arial" w:hAnsi="Arial"/>
          <w:sz w:val="18"/>
          <w:szCs w:val="18"/>
          <w:u w:val="single" w:color="auto"/>
          <w:color w:val="auto"/>
        </w:rPr>
        <w:t>BUSINESS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(dollar amounts in thousands except share and per share data)</w:t>
      </w:r>
    </w:p>
    <w:p>
      <w:pPr>
        <w:spacing w:after="0" w:line="84"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General</w:t>
      </w:r>
    </w:p>
    <w:p>
      <w:pPr>
        <w:spacing w:after="0" w:line="96" w:lineRule="exact"/>
        <w:rPr>
          <w:sz w:val="20"/>
          <w:szCs w:val="20"/>
          <w:color w:val="auto"/>
        </w:rPr>
      </w:pPr>
    </w:p>
    <w:p>
      <w:pPr>
        <w:ind w:left="460" w:right="40"/>
        <w:spacing w:after="0" w:line="257" w:lineRule="auto"/>
        <w:rPr>
          <w:sz w:val="20"/>
          <w:szCs w:val="20"/>
          <w:color w:val="auto"/>
        </w:rPr>
      </w:pPr>
      <w:r>
        <w:rPr>
          <w:rFonts w:ascii="Arial" w:cs="Arial" w:eastAsia="Arial" w:hAnsi="Arial"/>
          <w:sz w:val="16"/>
          <w:szCs w:val="16"/>
          <w:color w:val="auto"/>
        </w:rPr>
        <w:t>Bassett Furniture Industries, Incorporated (together with its consolidated subsidiaries, “Bassett”, “we”, “our” or the “Company”), based in Bassett, Va., is a leading retailer, manufacturer and marketer of branded home furnishings. Bassett’s products are sold primarily through Bassett Furniture Direct</w:t>
      </w:r>
      <w:r>
        <w:rPr>
          <w:rFonts w:ascii="Arial" w:cs="Arial" w:eastAsia="Arial" w:hAnsi="Arial"/>
          <w:sz w:val="20"/>
          <w:szCs w:val="20"/>
          <w:color w:val="auto"/>
          <w:vertAlign w:val="superscript"/>
        </w:rPr>
        <w:t>®</w:t>
      </w:r>
      <w:r>
        <w:rPr>
          <w:rFonts w:ascii="Arial" w:cs="Arial" w:eastAsia="Arial" w:hAnsi="Arial"/>
          <w:sz w:val="16"/>
          <w:szCs w:val="16"/>
          <w:color w:val="auto"/>
        </w:rPr>
        <w:t xml:space="preserve"> stores, with secondary distribution through Bassett Design Centers and other multi-line furniture stores. Bassettbaby</w:t>
      </w:r>
      <w:r>
        <w:rPr>
          <w:rFonts w:ascii="Arial" w:cs="Arial" w:eastAsia="Arial" w:hAnsi="Arial"/>
          <w:sz w:val="20"/>
          <w:szCs w:val="20"/>
          <w:color w:val="auto"/>
          <w:vertAlign w:val="superscript"/>
        </w:rPr>
        <w:t>®</w:t>
      </w:r>
      <w:r>
        <w:rPr>
          <w:rFonts w:ascii="Arial" w:cs="Arial" w:eastAsia="Arial" w:hAnsi="Arial"/>
          <w:sz w:val="16"/>
          <w:szCs w:val="16"/>
          <w:color w:val="auto"/>
        </w:rPr>
        <w:t xml:space="preserve"> cribs and casegoods are sold through specialty stores and mass merchants. Bassett was founded in 1902 and incorporated under the laws of Virginia in 1930.</w:t>
      </w:r>
    </w:p>
    <w:p>
      <w:pPr>
        <w:spacing w:after="0" w:line="59" w:lineRule="exact"/>
        <w:rPr>
          <w:sz w:val="20"/>
          <w:szCs w:val="20"/>
          <w:color w:val="auto"/>
        </w:rPr>
      </w:pPr>
    </w:p>
    <w:p>
      <w:pPr>
        <w:ind w:left="460"/>
        <w:spacing w:after="0" w:line="243" w:lineRule="auto"/>
        <w:rPr>
          <w:sz w:val="20"/>
          <w:szCs w:val="20"/>
          <w:color w:val="auto"/>
        </w:rPr>
      </w:pPr>
      <w:r>
        <w:rPr>
          <w:rFonts w:ascii="Arial" w:cs="Arial" w:eastAsia="Arial" w:hAnsi="Arial"/>
          <w:sz w:val="18"/>
          <w:szCs w:val="18"/>
          <w:color w:val="auto"/>
        </w:rPr>
        <w:t>The Bassett Furniture Direct</w:t>
      </w:r>
      <w:r>
        <w:rPr>
          <w:rFonts w:ascii="Arial" w:cs="Arial" w:eastAsia="Arial" w:hAnsi="Arial"/>
          <w:sz w:val="22"/>
          <w:szCs w:val="22"/>
          <w:color w:val="auto"/>
          <w:vertAlign w:val="superscript"/>
        </w:rPr>
        <w:t>®</w:t>
      </w:r>
      <w:r>
        <w:rPr>
          <w:rFonts w:ascii="Arial" w:cs="Arial" w:eastAsia="Arial" w:hAnsi="Arial"/>
          <w:sz w:val="18"/>
          <w:szCs w:val="18"/>
          <w:color w:val="auto"/>
        </w:rPr>
        <w:t xml:space="preserve"> (“BFD”) store program was created in 1997 as a single source home furnishings retail store that provides a unique combination of stylish, well-made furniture and accessories with a high level of customer service. This service includes complimentary room planning, in-home design visits, fast delivery, and custom-order furniture. Our BFD network currently consists of 134 retail stores of which 100 are independently owned (“licensee operated”), 27 are controlled and consolidated by the Company (“Company-owned retail stores”) and seven are operated by joint ventures (“partnership licensees”). Our customers also include over 800 furniture and department stores located throughout the United States. We have four domestic manufacturing facilities.</w:t>
      </w:r>
    </w:p>
    <w:p>
      <w:pPr>
        <w:spacing w:after="0" w:line="236"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Material Changes in the Development of Business</w:t>
      </w:r>
      <w:r>
        <w:rPr>
          <w:rFonts w:ascii="Arial" w:cs="Arial" w:eastAsia="Arial" w:hAnsi="Arial"/>
          <w:sz w:val="18"/>
          <w:szCs w:val="18"/>
          <w:color w:val="auto"/>
        </w:rPr>
        <w:t>:</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There have been two significant business developments that have materially affected our operations over the last ten years.</w:t>
      </w:r>
    </w:p>
    <w:p>
      <w:pPr>
        <w:spacing w:after="0" w:line="90" w:lineRule="exact"/>
        <w:rPr>
          <w:sz w:val="20"/>
          <w:szCs w:val="20"/>
          <w:color w:val="auto"/>
        </w:rPr>
      </w:pPr>
    </w:p>
    <w:p>
      <w:pPr>
        <w:ind w:left="460"/>
        <w:spacing w:after="0" w:line="259" w:lineRule="auto"/>
        <w:rPr>
          <w:sz w:val="20"/>
          <w:szCs w:val="20"/>
          <w:color w:val="auto"/>
        </w:rPr>
      </w:pPr>
      <w:r>
        <w:rPr>
          <w:rFonts w:ascii="Arial" w:cs="Arial" w:eastAsia="Arial" w:hAnsi="Arial"/>
          <w:sz w:val="18"/>
          <w:szCs w:val="18"/>
          <w:color w:val="auto"/>
        </w:rPr>
        <w:t>First, we created and re-channeled sales through a vertically integrated retail sales network. This strategy both builds on our strengths (brand name, balance sheet, product offerings) and better positions us to capitalize on the changing furniture retail environment. These retail stores, known as Bassett Furniture Direct (BFD), accounted for 68% of our wholesale shipments in 2006.</w:t>
      </w:r>
    </w:p>
    <w:p>
      <w:pPr>
        <w:spacing w:after="0" w:line="59" w:lineRule="exact"/>
        <w:rPr>
          <w:sz w:val="20"/>
          <w:szCs w:val="20"/>
          <w:color w:val="auto"/>
        </w:rPr>
      </w:pPr>
    </w:p>
    <w:p>
      <w:pPr>
        <w:ind w:left="460" w:right="200"/>
        <w:spacing w:after="0" w:line="256" w:lineRule="auto"/>
        <w:rPr>
          <w:sz w:val="20"/>
          <w:szCs w:val="20"/>
          <w:color w:val="auto"/>
        </w:rPr>
      </w:pPr>
      <w:r>
        <w:rPr>
          <w:rFonts w:ascii="Arial" w:cs="Arial" w:eastAsia="Arial" w:hAnsi="Arial"/>
          <w:sz w:val="18"/>
          <w:szCs w:val="18"/>
          <w:color w:val="auto"/>
        </w:rPr>
        <w:t>Second, the furniture industry continues to experience a rapid shift from traditional domestic manufacturing to offshore sourcing in lower cost markets, primarily China and the Pacific Rim countries. This shift in sourcing has resulted in downward pressure on retail prices and reductions in traditional channels of sales distribution as many retailers can source their own products rather than relying on a traditional domestic manufacturer to supply goods. We responded to</w:t>
      </w:r>
    </w:p>
    <w:p>
      <w:pPr>
        <w:spacing w:after="0" w:line="13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459" w:right="25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right="100"/>
        <w:spacing w:after="0" w:line="290" w:lineRule="auto"/>
        <w:rPr>
          <w:sz w:val="20"/>
          <w:szCs w:val="20"/>
          <w:color w:val="auto"/>
        </w:rPr>
      </w:pPr>
      <w:r>
        <w:rPr>
          <w:rFonts w:ascii="Arial" w:cs="Arial" w:eastAsia="Arial" w:hAnsi="Arial"/>
          <w:sz w:val="16"/>
          <w:szCs w:val="16"/>
          <w:color w:val="auto"/>
        </w:rPr>
        <w:t>these changes with our BFD program and by reducing our domestic production where we can more efficiently source product. Related to this shift from domestic production to sourcing, over the past 6 years we have reduced our number of facilities from 13 to 4 and reduced headcount from 4,200 to 1,800. During 2005, we made the difficult decision to close another large wood manufacturing facility, our plant located in Mt. Airy, N.C. This action resulted in reductions in headcount of approximately 300 employees and leaves us with one large wood manufacturing plant in Bassett, Va. one small wood assembly plant in Martinsville, Va., one fiberboard supply facility in Bassett, Va., and one upholstery facility in Newton, N.C. We have closed and consolidated six wood factories over the past six years. We strive to provide our customers with home furnishings at competitive prices and, with that goal in mind, will continue to evaluate the cost effectiveness of domestic production on a product by product basis.</w:t>
      </w:r>
    </w:p>
    <w:p>
      <w:pPr>
        <w:spacing w:after="0" w:line="37" w:lineRule="exact"/>
        <w:rPr>
          <w:sz w:val="20"/>
          <w:szCs w:val="20"/>
          <w:color w:val="auto"/>
        </w:rPr>
      </w:pPr>
    </w:p>
    <w:p>
      <w:pPr>
        <w:ind w:left="460" w:right="20"/>
        <w:spacing w:after="0" w:line="255" w:lineRule="auto"/>
        <w:rPr>
          <w:sz w:val="20"/>
          <w:szCs w:val="20"/>
          <w:color w:val="auto"/>
        </w:rPr>
      </w:pPr>
      <w:r>
        <w:rPr>
          <w:rFonts w:ascii="Arial" w:cs="Arial" w:eastAsia="Arial" w:hAnsi="Arial"/>
          <w:sz w:val="18"/>
          <w:szCs w:val="18"/>
          <w:color w:val="auto"/>
        </w:rPr>
        <w:t>Approximately 44% of our 2006 wholesale sales were of imported product compared to 34% in 2005. We define imported product as fully finished product that is sourced. Our domestic product includes certain products that contain components which were also sourced. We continue to believe that a blended strategy including domestically produced products primarily of a custom-order nature combined with sourcing of major collections provides the best value and quality of products to our customers. We expect that overall operating margins will be positively impacted as we shift our mix of domestic versus imported product to a 50/50 mix during 2007.</w:t>
      </w:r>
    </w:p>
    <w:p>
      <w:pPr>
        <w:spacing w:after="0" w:line="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Other significant business developments that impacted the retail store program and manufacturing operations are summarized below.</w:t>
      </w:r>
    </w:p>
    <w:p>
      <w:pPr>
        <w:spacing w:after="0" w:line="252"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Retail:</w:t>
      </w:r>
    </w:p>
    <w:p>
      <w:pPr>
        <w:spacing w:after="0" w:line="90" w:lineRule="exact"/>
        <w:rPr>
          <w:sz w:val="20"/>
          <w:szCs w:val="20"/>
          <w:color w:val="auto"/>
        </w:rPr>
      </w:pPr>
    </w:p>
    <w:p>
      <w:pPr>
        <w:ind w:left="460" w:right="100"/>
        <w:spacing w:after="0" w:line="268" w:lineRule="auto"/>
        <w:rPr>
          <w:sz w:val="20"/>
          <w:szCs w:val="20"/>
          <w:color w:val="auto"/>
        </w:rPr>
      </w:pPr>
      <w:r>
        <w:rPr>
          <w:rFonts w:ascii="Arial" w:cs="Arial" w:eastAsia="Arial" w:hAnsi="Arial"/>
          <w:sz w:val="18"/>
          <w:szCs w:val="18"/>
          <w:color w:val="auto"/>
        </w:rPr>
        <w:t>During the second quarter of 2006, we closed two Company-owned stores, one in Dallas and one in Atlanta. In addition, during the fourth quarter of 2006, we opened one new Company-owned store in Austin, Tx.</w:t>
      </w:r>
    </w:p>
    <w:p>
      <w:pPr>
        <w:spacing w:after="0" w:line="51" w:lineRule="exact"/>
        <w:rPr>
          <w:sz w:val="20"/>
          <w:szCs w:val="20"/>
          <w:color w:val="auto"/>
        </w:rPr>
      </w:pPr>
    </w:p>
    <w:p>
      <w:pPr>
        <w:ind w:left="460" w:right="20"/>
        <w:spacing w:after="0" w:line="256" w:lineRule="auto"/>
        <w:rPr>
          <w:sz w:val="20"/>
          <w:szCs w:val="20"/>
          <w:color w:val="auto"/>
        </w:rPr>
      </w:pPr>
      <w:r>
        <w:rPr>
          <w:rFonts w:ascii="Arial" w:cs="Arial" w:eastAsia="Arial" w:hAnsi="Arial"/>
          <w:sz w:val="18"/>
          <w:szCs w:val="18"/>
          <w:color w:val="auto"/>
        </w:rPr>
        <w:t>In 2005, our Retail Segment underwent significant changes. We increased our number of Company-owned retail stores from 14 to 27 primarily through our acquisitions of 15 retail licensee stores in Dallas, Atlanta and upstate New York. For more discussion on these acquisitions, see Note 15 to the Consolidated Financial Statements included in the Annual Report. Additionally, during our third quarter of 2005, we sold two Company-owned retail stores in Las Vegas, Nev., to an independent licensee for approximately net book value.</w:t>
      </w:r>
    </w:p>
    <w:p>
      <w:pPr>
        <w:spacing w:after="0" w:line="62" w:lineRule="exact"/>
        <w:rPr>
          <w:sz w:val="20"/>
          <w:szCs w:val="20"/>
          <w:color w:val="auto"/>
        </w:rPr>
      </w:pPr>
    </w:p>
    <w:p>
      <w:pPr>
        <w:ind w:left="460" w:right="180"/>
        <w:spacing w:after="0" w:line="268" w:lineRule="auto"/>
        <w:rPr>
          <w:sz w:val="20"/>
          <w:szCs w:val="20"/>
          <w:color w:val="auto"/>
        </w:rPr>
      </w:pPr>
      <w:r>
        <w:rPr>
          <w:rFonts w:ascii="Arial" w:cs="Arial" w:eastAsia="Arial" w:hAnsi="Arial"/>
          <w:sz w:val="18"/>
          <w:szCs w:val="18"/>
          <w:color w:val="auto"/>
        </w:rPr>
        <w:t>We believe having a substantial Company-owned retail store group will provide us better first-hand retail experience that will allow us to make our entire BFD program more successful.</w:t>
      </w:r>
    </w:p>
    <w:p>
      <w:pPr>
        <w:spacing w:after="0" w:line="213"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Manufacturing:</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As previously mentioned, we have undergone significant changes in domestic manufacturing. Summaries of these changes are as follows:</w:t>
      </w:r>
    </w:p>
    <w:p>
      <w:pPr>
        <w:spacing w:after="0" w:line="113"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the second quarter of 2006, we sold our contemporary furniture business (Weiman). This action reduced our headcount by approximately 60 employees.</w:t>
      </w:r>
    </w:p>
    <w:p>
      <w:pPr>
        <w:spacing w:after="0" w:line="113" w:lineRule="exact"/>
        <w:rPr>
          <w:sz w:val="20"/>
          <w:szCs w:val="20"/>
          <w:color w:val="auto"/>
        </w:rPr>
      </w:pPr>
    </w:p>
    <w:p>
      <w:pPr>
        <w:jc w:val="both"/>
        <w:ind w:left="460" w:right="380"/>
        <w:spacing w:after="0" w:line="259" w:lineRule="auto"/>
        <w:rPr>
          <w:sz w:val="20"/>
          <w:szCs w:val="20"/>
          <w:color w:val="auto"/>
        </w:rPr>
      </w:pPr>
      <w:r>
        <w:rPr>
          <w:rFonts w:ascii="Arial" w:cs="Arial" w:eastAsia="Arial" w:hAnsi="Arial"/>
          <w:sz w:val="18"/>
          <w:szCs w:val="18"/>
          <w:color w:val="auto"/>
        </w:rPr>
        <w:t>In the fourth quarter of 2005, we made the decision to cease operations at our wood manufacturing facility in Mt. Airy, N.C., and made plans to move production of certain products from the Mt. Airy facility to our wood facility in Bassett, Va., with certain other products shifted to imports. This action reduced our headcount by approximately 300 employees.</w:t>
      </w:r>
    </w:p>
    <w:p>
      <w:pPr>
        <w:spacing w:after="0" w:line="59" w:lineRule="exact"/>
        <w:rPr>
          <w:sz w:val="20"/>
          <w:szCs w:val="20"/>
          <w:color w:val="auto"/>
        </w:rPr>
      </w:pPr>
    </w:p>
    <w:p>
      <w:pPr>
        <w:jc w:val="both"/>
        <w:ind w:left="460"/>
        <w:spacing w:after="0" w:line="306" w:lineRule="auto"/>
        <w:rPr>
          <w:sz w:val="20"/>
          <w:szCs w:val="20"/>
          <w:color w:val="auto"/>
        </w:rPr>
      </w:pPr>
      <w:r>
        <w:rPr>
          <w:rFonts w:ascii="Arial" w:cs="Arial" w:eastAsia="Arial" w:hAnsi="Arial"/>
          <w:sz w:val="16"/>
          <w:szCs w:val="16"/>
          <w:color w:val="auto"/>
        </w:rPr>
        <w:t>In the third quarter of 2004, we closed our wood manufacturing facility in Macon, Ga., primarily due to excess capacity at this facility. This plant primarily focused on home office and home entertainment. We determined certain products previously manufactured at the Macon, Ga., facility would be produced at our Mt. Airy, N.C., facility while certain other products would be imported from foreign sources. This action reduced our headcount by 180 employees.</w:t>
      </w:r>
    </w:p>
    <w:p>
      <w:pPr>
        <w:spacing w:after="0" w:line="26" w:lineRule="exact"/>
        <w:rPr>
          <w:sz w:val="20"/>
          <w:szCs w:val="20"/>
          <w:color w:val="auto"/>
        </w:rPr>
      </w:pPr>
    </w:p>
    <w:p>
      <w:pPr>
        <w:ind w:left="460" w:right="40"/>
        <w:spacing w:after="0" w:line="256" w:lineRule="auto"/>
        <w:rPr>
          <w:sz w:val="20"/>
          <w:szCs w:val="20"/>
          <w:color w:val="auto"/>
        </w:rPr>
      </w:pPr>
      <w:r>
        <w:rPr>
          <w:rFonts w:ascii="Arial" w:cs="Arial" w:eastAsia="Arial" w:hAnsi="Arial"/>
          <w:sz w:val="18"/>
          <w:szCs w:val="18"/>
          <w:color w:val="auto"/>
        </w:rPr>
        <w:t>In the first quarter of 2004, we made the decision to close our Hiddenite, N.C., upholstery plant and consolidate our upholstery operations into our Newton, N.C., plant. Management of this plant has increased production capacity through continued improvements in the manufacturing process which currently allows us to deliver custom-made upholstered furniture into the retail customer’s home in 30 days or less. This action reduced our headcount by 50 employees.</w:t>
      </w:r>
    </w:p>
    <w:p>
      <w:pPr>
        <w:spacing w:after="0" w:line="62"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We closed our wood manufacturing plant in Dublin, Georgia, in the first quarter of 2003. This action reduced our headcount by 320 employees.</w:t>
      </w:r>
    </w:p>
    <w:p>
      <w:pPr>
        <w:spacing w:after="0" w:line="113" w:lineRule="exact"/>
        <w:rPr>
          <w:sz w:val="20"/>
          <w:szCs w:val="20"/>
          <w:color w:val="auto"/>
        </w:rPr>
      </w:pPr>
    </w:p>
    <w:p>
      <w:pPr>
        <w:ind w:left="460" w:right="60"/>
        <w:spacing w:after="0" w:line="268" w:lineRule="auto"/>
        <w:rPr>
          <w:sz w:val="20"/>
          <w:szCs w:val="20"/>
          <w:color w:val="auto"/>
        </w:rPr>
      </w:pPr>
      <w:r>
        <w:rPr>
          <w:rFonts w:ascii="Arial" w:cs="Arial" w:eastAsia="Arial" w:hAnsi="Arial"/>
          <w:sz w:val="18"/>
          <w:szCs w:val="18"/>
          <w:color w:val="auto"/>
        </w:rPr>
        <w:t>We closed our California upholstery plant during the fourth quarter of 2002 and consolidated production into remaining upholstery manufacturing facilities in North Carolina. This action reduced our headcount by 200 employees.</w:t>
      </w:r>
    </w:p>
    <w:p>
      <w:pPr>
        <w:spacing w:after="0" w:line="51" w:lineRule="exact"/>
        <w:rPr>
          <w:sz w:val="20"/>
          <w:szCs w:val="20"/>
          <w:color w:val="auto"/>
        </w:rPr>
      </w:pPr>
    </w:p>
    <w:p>
      <w:pPr>
        <w:ind w:left="460" w:right="300"/>
        <w:spacing w:after="0" w:line="259" w:lineRule="auto"/>
        <w:rPr>
          <w:sz w:val="20"/>
          <w:szCs w:val="20"/>
          <w:color w:val="auto"/>
        </w:rPr>
      </w:pPr>
      <w:r>
        <w:rPr>
          <w:rFonts w:ascii="Arial" w:cs="Arial" w:eastAsia="Arial" w:hAnsi="Arial"/>
          <w:sz w:val="18"/>
          <w:szCs w:val="18"/>
          <w:color w:val="auto"/>
        </w:rPr>
        <w:t>We restructured production capacities for our Wood Division in 2001. During the first quarter, production was moved from one facility to another and a wood manufacturing facility was identified for closure and subsequently closed in the second quarter. Additionally, 60 corporate office positions were eliminated in the first and second quarters of 2001.</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459" w:right="2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right="80"/>
        <w:spacing w:after="0" w:line="306" w:lineRule="auto"/>
        <w:rPr>
          <w:sz w:val="20"/>
          <w:szCs w:val="20"/>
          <w:color w:val="auto"/>
        </w:rPr>
      </w:pPr>
      <w:r>
        <w:rPr>
          <w:rFonts w:ascii="Arial" w:cs="Arial" w:eastAsia="Arial" w:hAnsi="Arial"/>
          <w:sz w:val="16"/>
          <w:szCs w:val="16"/>
          <w:color w:val="auto"/>
        </w:rPr>
        <w:t>Ongoing efforts to match production with demand, offer more competitively priced products and operate more efficient manufacturing facilities resulted in the announcement and subsequent closure of two additional facilities in Bassett, Virginia during the third quarter of 2001. Production was moved to other manufacturing facilities in Virginia or outsourced. Approximately 800 positions were eliminated as a result of this restructuring activity.</w:t>
      </w:r>
    </w:p>
    <w:p>
      <w:pPr>
        <w:spacing w:after="0" w:line="26" w:lineRule="exact"/>
        <w:rPr>
          <w:sz w:val="20"/>
          <w:szCs w:val="20"/>
          <w:color w:val="auto"/>
        </w:rPr>
      </w:pPr>
    </w:p>
    <w:p>
      <w:pPr>
        <w:ind w:left="460" w:right="200"/>
        <w:spacing w:after="0" w:line="268" w:lineRule="auto"/>
        <w:rPr>
          <w:sz w:val="20"/>
          <w:szCs w:val="20"/>
          <w:color w:val="auto"/>
        </w:rPr>
      </w:pPr>
      <w:r>
        <w:rPr>
          <w:rFonts w:ascii="Arial" w:cs="Arial" w:eastAsia="Arial" w:hAnsi="Arial"/>
          <w:sz w:val="18"/>
          <w:szCs w:val="18"/>
          <w:color w:val="auto"/>
        </w:rPr>
        <w:t>Refer to Note 14 of the Consolidated Financial Statements which are filed with this report for a detail of restructuring activity and refer to Management’s Discussion and Analysis which is filed with this report for additional discussion on these topics.</w:t>
      </w:r>
    </w:p>
    <w:p>
      <w:pPr>
        <w:spacing w:after="0" w:line="207"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Operating Segments</w:t>
      </w:r>
    </w:p>
    <w:p>
      <w:pPr>
        <w:spacing w:after="0" w:line="96" w:lineRule="exact"/>
        <w:rPr>
          <w:sz w:val="20"/>
          <w:szCs w:val="20"/>
          <w:color w:val="auto"/>
        </w:rPr>
      </w:pPr>
    </w:p>
    <w:p>
      <w:pPr>
        <w:ind w:left="460" w:right="20"/>
        <w:spacing w:after="0" w:line="291" w:lineRule="auto"/>
        <w:rPr>
          <w:sz w:val="20"/>
          <w:szCs w:val="20"/>
          <w:color w:val="auto"/>
        </w:rPr>
      </w:pPr>
      <w:r>
        <w:rPr>
          <w:rFonts w:ascii="Arial" w:cs="Arial" w:eastAsia="Arial" w:hAnsi="Arial"/>
          <w:sz w:val="16"/>
          <w:szCs w:val="16"/>
          <w:color w:val="auto"/>
        </w:rPr>
        <w:t>We have strategically aligned our business into three reportable segments: Wholesale, Retail and Investments/Real Estate. The wholesale home furnishings segment is involved principally in the design, manufacture, sourcing, sale and distribution of furniture products to a network of BFD stores (independently-owned stores, Company-owned retail stores and partnership licensees) and independent furniture retailers. Our wholesale segment includes our wood and upholstery operations as well as all corporate selling, general and administrative expenses. During the second quarter of 2006, we sold our contemporary furniture business (Weiman), which was previously included in this segment. The wholesale segment accounted for 74%, 79% and 85%, of net sales during 2006, 2005 and 2004, respectively. The Company currently has four wholesale manufacturing facilities.</w:t>
      </w:r>
    </w:p>
    <w:p>
      <w:pPr>
        <w:spacing w:after="0" w:line="39" w:lineRule="exact"/>
        <w:rPr>
          <w:sz w:val="20"/>
          <w:szCs w:val="20"/>
          <w:color w:val="auto"/>
        </w:rPr>
      </w:pPr>
    </w:p>
    <w:p>
      <w:pPr>
        <w:ind w:left="460" w:right="220"/>
        <w:spacing w:after="0" w:line="268" w:lineRule="auto"/>
        <w:rPr>
          <w:sz w:val="20"/>
          <w:szCs w:val="20"/>
          <w:color w:val="auto"/>
        </w:rPr>
      </w:pPr>
      <w:r>
        <w:rPr>
          <w:rFonts w:ascii="Arial" w:cs="Arial" w:eastAsia="Arial" w:hAnsi="Arial"/>
          <w:sz w:val="18"/>
          <w:szCs w:val="18"/>
          <w:color w:val="auto"/>
        </w:rPr>
        <w:t>Our retail segment currently consists of 27 Company-owned stores in North Carolina, South Carolina, Texas, Georgia and New York. Our retail segment accounted for 26%, 21% and 15% of total net sales in 2006, 2005 and 2004.</w:t>
      </w:r>
    </w:p>
    <w:p>
      <w:pPr>
        <w:spacing w:after="0" w:line="51" w:lineRule="exact"/>
        <w:rPr>
          <w:sz w:val="20"/>
          <w:szCs w:val="20"/>
          <w:color w:val="auto"/>
        </w:rPr>
      </w:pPr>
    </w:p>
    <w:p>
      <w:pPr>
        <w:ind w:left="460"/>
        <w:spacing w:after="0" w:line="306" w:lineRule="auto"/>
        <w:rPr>
          <w:sz w:val="20"/>
          <w:szCs w:val="20"/>
          <w:color w:val="auto"/>
        </w:rPr>
      </w:pPr>
      <w:r>
        <w:rPr>
          <w:rFonts w:ascii="Arial" w:cs="Arial" w:eastAsia="Arial" w:hAnsi="Arial"/>
          <w:sz w:val="16"/>
          <w:szCs w:val="16"/>
          <w:color w:val="auto"/>
        </w:rPr>
        <w:t>Our investments and real estate business segment consists of a 99.8% interest in the Bassett Industries Alternative Asset Fund (“Alternative Asset Fund”), a portfolio of marketable securities, retail real estate utilized by licensee operated BFD stores and a minority interest in the International Home Furnishings Center (“IHFC”) in High Point, N.C. The IHFC financial statements are included on pages F-53 to F-72.</w:t>
      </w:r>
    </w:p>
    <w:p>
      <w:pPr>
        <w:spacing w:after="0" w:line="26" w:lineRule="exact"/>
        <w:rPr>
          <w:sz w:val="20"/>
          <w:szCs w:val="20"/>
          <w:color w:val="auto"/>
        </w:rPr>
      </w:pPr>
    </w:p>
    <w:p>
      <w:pPr>
        <w:ind w:left="460" w:right="140"/>
        <w:spacing w:after="0" w:line="298" w:lineRule="auto"/>
        <w:rPr>
          <w:sz w:val="20"/>
          <w:szCs w:val="20"/>
          <w:color w:val="auto"/>
        </w:rPr>
      </w:pPr>
      <w:r>
        <w:rPr>
          <w:rFonts w:ascii="Arial" w:cs="Arial" w:eastAsia="Arial" w:hAnsi="Arial"/>
          <w:sz w:val="16"/>
          <w:szCs w:val="16"/>
          <w:color w:val="auto"/>
        </w:rPr>
        <w:t>We classify our marketable securities as available-for-sale, which are reported at fair value. Unrealized holding gains and losses, net of the related income tax effect, on available-for-sale securities are excluded from income and are reported as other comprehensive income in stockholders’ equity. Realized gains and losses from securities classified as available-for-sale are included in income and are determined using the specific identification method for ascertaining the cost of securities sold. All investments are marked-to-market and recorded at their fair value.</w:t>
      </w:r>
    </w:p>
    <w:p>
      <w:pPr>
        <w:spacing w:after="0" w:line="32" w:lineRule="exact"/>
        <w:rPr>
          <w:sz w:val="20"/>
          <w:szCs w:val="20"/>
          <w:color w:val="auto"/>
        </w:rPr>
      </w:pPr>
    </w:p>
    <w:p>
      <w:pPr>
        <w:ind w:left="460"/>
        <w:spacing w:after="0" w:line="285" w:lineRule="auto"/>
        <w:rPr>
          <w:sz w:val="20"/>
          <w:szCs w:val="20"/>
          <w:color w:val="auto"/>
        </w:rPr>
      </w:pPr>
      <w:r>
        <w:rPr>
          <w:rFonts w:ascii="Arial" w:cs="Arial" w:eastAsia="Arial" w:hAnsi="Arial"/>
          <w:sz w:val="16"/>
          <w:szCs w:val="16"/>
          <w:color w:val="auto"/>
        </w:rPr>
        <w:t>The Alternative Asset Fund was organized under the Delaware Revised Uniform Limited Partnership Act and commenced operations on July 1, 1998. Private Advisors, L.L.C. is the general partner (the General Partner) of the Alternative Asset Fund. We and the General Partner are currently the only two partners. The objective of the Alternative Asset Fund is to achieve consistent positive returns, while attempting to reduce risk and volatility, by placing its capital with a variety of hedge funds and experienced portfolio managers. Such hedge funds and portfolio managers employ a variety of trading styles or strategies, including, but not limited to, convertible arbitrage, merger or risk arbitrage, distressed debt, long/short equity, multi-strategy and other market-neutral strategies. The General Partner has discretion to make all investment and trading decisions, including the selection of investment managers. The General Partner selects portfolio managers on the basis of various criteria, including, among other things, the manager’s investment performance during various time periods and market cycles, the fund’s infrastructure, and the manager’s reputation, experience, training and investment philosophy. In addition, the General Partner requires that each portfolio manager have a substantial personal investment in the investment program. Our investment in the Alternative Asset Fund, which totaled $52,755 at November 25, 2006, includes investments in various other private limited partnerships, which contain contractual commitments with elements of market risk. These contractual commitments, which include fixed-income securities and derivatives, may involve future settlements, which give rise to both market and credit risk. The investment partnership’s exposure to market risk is determined by a number of factors, including the size, composition, and diversification of positions held, volatility of interest rates, market currency rates, and liquidity. Risks to these funds arise from possible adverse changes in the market value of such interests and the potential inability of counterparties to perform under the terms of the contracts. However, the risk to the Alternative Asset Fund is limited to the amount of the Alternative Asset Fund investment in each of the funds.</w:t>
      </w:r>
    </w:p>
    <w:p>
      <w:pPr>
        <w:spacing w:after="0" w:line="11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459" w:right="2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right="20"/>
        <w:spacing w:after="0" w:line="255" w:lineRule="auto"/>
        <w:rPr>
          <w:sz w:val="20"/>
          <w:szCs w:val="20"/>
          <w:color w:val="auto"/>
        </w:rPr>
      </w:pPr>
      <w:r>
        <w:rPr>
          <w:rFonts w:ascii="Arial" w:cs="Arial" w:eastAsia="Arial" w:hAnsi="Arial"/>
          <w:sz w:val="18"/>
          <w:szCs w:val="18"/>
          <w:color w:val="auto"/>
        </w:rPr>
        <w:t>We account for our investments in the Alternative Asset Fund by marking them to market value each month based on the net asset values provided by the General Partner. The hedge funds and portfolio managers provide the General Partner with estimated net asset values on a monthly basis that represents the amount the partnership would receive if it were to liquidate its investments in the investee funds. The partnership may redeem part of its investments as of the end of each quarter or calendar year, with no less than 45 days prior written notice. (See Note 6 to the Consolidated Financial Statements included in the Annual Report which is filed with this report.)</w:t>
      </w:r>
    </w:p>
    <w:p>
      <w:pPr>
        <w:spacing w:after="0" w:line="62" w:lineRule="exact"/>
        <w:rPr>
          <w:sz w:val="20"/>
          <w:szCs w:val="20"/>
          <w:color w:val="auto"/>
        </w:rPr>
      </w:pPr>
    </w:p>
    <w:p>
      <w:pPr>
        <w:ind w:left="460" w:right="80"/>
        <w:spacing w:after="0" w:line="332" w:lineRule="auto"/>
        <w:rPr>
          <w:sz w:val="20"/>
          <w:szCs w:val="20"/>
          <w:color w:val="auto"/>
        </w:rPr>
      </w:pPr>
      <w:r>
        <w:rPr>
          <w:rFonts w:ascii="Arial" w:cs="Arial" w:eastAsia="Arial" w:hAnsi="Arial"/>
          <w:sz w:val="16"/>
          <w:szCs w:val="16"/>
          <w:color w:val="auto"/>
        </w:rPr>
        <w:t>Refer to Note 19 to the Consolidated Financial Statements which are filed with this report for more information about segment information for 2004, 2005 and 2006 and refer to the Management’s Discussion and Analysis which is filed with this report for additional discussion on this topic.</w:t>
      </w:r>
    </w:p>
    <w:p>
      <w:pPr>
        <w:spacing w:after="0" w:line="160"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Raw Materials</w:t>
      </w:r>
    </w:p>
    <w:p>
      <w:pPr>
        <w:spacing w:after="0" w:line="96" w:lineRule="exact"/>
        <w:rPr>
          <w:sz w:val="20"/>
          <w:szCs w:val="20"/>
          <w:color w:val="auto"/>
        </w:rPr>
      </w:pPr>
    </w:p>
    <w:p>
      <w:pPr>
        <w:ind w:left="460" w:right="200"/>
        <w:spacing w:after="0" w:line="306" w:lineRule="auto"/>
        <w:rPr>
          <w:sz w:val="20"/>
          <w:szCs w:val="20"/>
          <w:color w:val="auto"/>
        </w:rPr>
      </w:pPr>
      <w:r>
        <w:rPr>
          <w:rFonts w:ascii="Arial" w:cs="Arial" w:eastAsia="Arial" w:hAnsi="Arial"/>
          <w:sz w:val="16"/>
          <w:szCs w:val="16"/>
          <w:color w:val="auto"/>
        </w:rPr>
        <w:t>We use lumber, fabric, leather and other materials in the production of wood and upholstered furniture. These components originate from a variety of domestic and international suppliers and are currently widely available. Prices for these components in the aggregate have been relatively stable over the last several years. We currently assemble and finish these components in several of our plants in the United States.</w:t>
      </w:r>
    </w:p>
    <w:p>
      <w:pPr>
        <w:spacing w:after="0" w:line="18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Trademarks and Patents</w:t>
      </w:r>
    </w:p>
    <w:p>
      <w:pPr>
        <w:spacing w:after="0" w:line="96" w:lineRule="exact"/>
        <w:rPr>
          <w:sz w:val="20"/>
          <w:szCs w:val="20"/>
          <w:color w:val="auto"/>
        </w:rPr>
      </w:pPr>
    </w:p>
    <w:p>
      <w:pPr>
        <w:ind w:left="460"/>
        <w:spacing w:after="0" w:line="256" w:lineRule="auto"/>
        <w:rPr>
          <w:sz w:val="20"/>
          <w:szCs w:val="20"/>
          <w:color w:val="auto"/>
        </w:rPr>
      </w:pPr>
      <w:r>
        <w:rPr>
          <w:rFonts w:ascii="Arial" w:cs="Arial" w:eastAsia="Arial" w:hAnsi="Arial"/>
          <w:sz w:val="18"/>
          <w:szCs w:val="18"/>
          <w:color w:val="auto"/>
        </w:rPr>
        <w:t>Our trademarks, including “Bassett” and the names of our marketing divisions, products and collections, are significant to the conduct of our business. This importance is due to consumer recognition of the names and identification with our broad range of products. Certain of our trademarks are licensed to independent retailers for use in full store and store gallery presentations of our products. We also own patents, trademarks and copyrights that are important in the conduct of our business.</w:t>
      </w:r>
    </w:p>
    <w:p>
      <w:pPr>
        <w:spacing w:after="0" w:line="21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Seasonality</w:t>
      </w:r>
    </w:p>
    <w:p>
      <w:pPr>
        <w:spacing w:after="0" w:line="96" w:lineRule="exact"/>
        <w:rPr>
          <w:sz w:val="20"/>
          <w:szCs w:val="20"/>
          <w:color w:val="auto"/>
        </w:rPr>
      </w:pPr>
    </w:p>
    <w:p>
      <w:pPr>
        <w:ind w:left="460" w:right="320"/>
        <w:spacing w:after="0" w:line="268" w:lineRule="auto"/>
        <w:rPr>
          <w:sz w:val="20"/>
          <w:szCs w:val="20"/>
          <w:color w:val="auto"/>
        </w:rPr>
      </w:pPr>
      <w:r>
        <w:rPr>
          <w:rFonts w:ascii="Arial" w:cs="Arial" w:eastAsia="Arial" w:hAnsi="Arial"/>
          <w:sz w:val="18"/>
          <w:szCs w:val="18"/>
          <w:color w:val="auto"/>
        </w:rPr>
        <w:t>The furniture industry in which we compete is not considered to be a seasonal industry. However, working capital levels will fluctuate based on overall business conditions and desired service levels.</w:t>
      </w:r>
    </w:p>
    <w:p>
      <w:pPr>
        <w:spacing w:after="0" w:line="207"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Backlog</w:t>
      </w:r>
    </w:p>
    <w:p>
      <w:pPr>
        <w:spacing w:after="0" w:line="96" w:lineRule="exact"/>
        <w:rPr>
          <w:sz w:val="20"/>
          <w:szCs w:val="20"/>
          <w:color w:val="auto"/>
        </w:rPr>
      </w:pPr>
    </w:p>
    <w:p>
      <w:pPr>
        <w:jc w:val="both"/>
        <w:ind w:left="460" w:right="560"/>
        <w:spacing w:after="0" w:line="370" w:lineRule="auto"/>
        <w:rPr>
          <w:sz w:val="20"/>
          <w:szCs w:val="20"/>
          <w:color w:val="auto"/>
        </w:rPr>
      </w:pPr>
      <w:r>
        <w:rPr>
          <w:rFonts w:ascii="Arial" w:cs="Arial" w:eastAsia="Arial" w:hAnsi="Arial"/>
          <w:sz w:val="15"/>
          <w:szCs w:val="15"/>
          <w:color w:val="auto"/>
        </w:rPr>
        <w:t>Our backlog of wholesale orders believed to be firm was $14,365 at November 25, 2006, and $17,091 at November 26, 2005. It is expected that the November 25, 2006, backlog will be filled within the 2007 fiscal year, with the majority of our backlog being filled during the first quarter of 2007.</w:t>
      </w:r>
    </w:p>
    <w:p>
      <w:pPr>
        <w:spacing w:after="0" w:line="137"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Competition</w:t>
      </w:r>
    </w:p>
    <w:p>
      <w:pPr>
        <w:spacing w:after="0" w:line="96" w:lineRule="exact"/>
        <w:rPr>
          <w:sz w:val="20"/>
          <w:szCs w:val="20"/>
          <w:color w:val="auto"/>
        </w:rPr>
      </w:pPr>
    </w:p>
    <w:p>
      <w:pPr>
        <w:ind w:left="460" w:right="40"/>
        <w:spacing w:after="0" w:line="255" w:lineRule="auto"/>
        <w:rPr>
          <w:sz w:val="20"/>
          <w:szCs w:val="20"/>
          <w:color w:val="auto"/>
        </w:rPr>
      </w:pPr>
      <w:r>
        <w:rPr>
          <w:rFonts w:ascii="Arial" w:cs="Arial" w:eastAsia="Arial" w:hAnsi="Arial"/>
          <w:sz w:val="18"/>
          <w:szCs w:val="18"/>
          <w:color w:val="auto"/>
        </w:rPr>
        <w:t>The wholesale furniture industry is very competitive and there are a large number of manufacturers both within and outside the United States who compete in the market on the basis of product quality, price, style, delivery and service. Additionally, certain retailers are increasingly sourcing imported product directly, thus bypassing domestic furniture manufacturers. Based on annual sales revenue, we are one of the largest furniture manufacturers located in the United States. We compete in this environment by providing products which represent excellent value, quality and styling and by providing prompt delivery and courteous service.</w:t>
      </w:r>
    </w:p>
    <w:p>
      <w:pPr>
        <w:spacing w:after="0" w:line="62" w:lineRule="exact"/>
        <w:rPr>
          <w:sz w:val="20"/>
          <w:szCs w:val="20"/>
          <w:color w:val="auto"/>
        </w:rPr>
      </w:pPr>
    </w:p>
    <w:p>
      <w:pPr>
        <w:jc w:val="both"/>
        <w:ind w:left="460" w:right="280"/>
        <w:spacing w:after="0" w:line="256" w:lineRule="auto"/>
        <w:rPr>
          <w:sz w:val="20"/>
          <w:szCs w:val="20"/>
          <w:color w:val="auto"/>
        </w:rPr>
      </w:pPr>
      <w:r>
        <w:rPr>
          <w:rFonts w:ascii="Arial" w:cs="Arial" w:eastAsia="Arial" w:hAnsi="Arial"/>
          <w:sz w:val="18"/>
          <w:szCs w:val="18"/>
          <w:color w:val="auto"/>
        </w:rPr>
        <w:t>The retail furniture industry is very competitive and includes local furniture stores, regional furniture retailers and national department and chain stores. Additionally, there are a growing number of single-vendor branded retailers. There are a large number of fairly new entrants into the industry that have approached the industry from more of a consumer lifestyle and home accessory viewpoint. As a whole, our BFD network, even though it is growing, is much smaller than many of our retail competitors in today’s marketplace.</w:t>
      </w:r>
    </w:p>
    <w:p>
      <w:pPr>
        <w:spacing w:after="0" w:line="21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Research and Development</w:t>
      </w:r>
    </w:p>
    <w:p>
      <w:pPr>
        <w:spacing w:after="0" w:line="96" w:lineRule="exact"/>
        <w:rPr>
          <w:sz w:val="20"/>
          <w:szCs w:val="20"/>
          <w:color w:val="auto"/>
        </w:rPr>
      </w:pPr>
    </w:p>
    <w:p>
      <w:pPr>
        <w:ind w:left="460"/>
        <w:spacing w:after="0" w:line="298" w:lineRule="auto"/>
        <w:rPr>
          <w:sz w:val="20"/>
          <w:szCs w:val="20"/>
          <w:color w:val="auto"/>
        </w:rPr>
      </w:pPr>
      <w:r>
        <w:rPr>
          <w:rFonts w:ascii="Arial" w:cs="Arial" w:eastAsia="Arial" w:hAnsi="Arial"/>
          <w:sz w:val="16"/>
          <w:szCs w:val="16"/>
          <w:color w:val="auto"/>
        </w:rPr>
        <w:t>The furniture industry is considered to be a “fashion” industry subject to constant fluctuations to meet changing consumer preferences and tastes. As such, we are continuously involved in the development of new designs and products. Due to the nature of these efforts and the close relationship to the manufacturing operations, these costs are considered normal operating costs and are not segregated. We are not otherwise involved in “traditional” research and development activities nor do we sponsor research and development activities of any of our customers.</w:t>
      </w:r>
    </w:p>
    <w:p>
      <w:pPr>
        <w:spacing w:after="0" w:line="9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00"/>
          </w:cols>
          <w:pgMar w:left="240" w:top="459" w:right="25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Government Regulations</w:t>
      </w:r>
    </w:p>
    <w:p>
      <w:pPr>
        <w:spacing w:after="0" w:line="96" w:lineRule="exact"/>
        <w:rPr>
          <w:sz w:val="20"/>
          <w:szCs w:val="20"/>
          <w:color w:val="auto"/>
        </w:rPr>
      </w:pPr>
    </w:p>
    <w:p>
      <w:pPr>
        <w:ind w:left="460" w:right="120"/>
        <w:spacing w:after="0" w:line="298" w:lineRule="auto"/>
        <w:rPr>
          <w:sz w:val="20"/>
          <w:szCs w:val="20"/>
          <w:color w:val="auto"/>
        </w:rPr>
      </w:pPr>
      <w:r>
        <w:rPr>
          <w:rFonts w:ascii="Arial" w:cs="Arial" w:eastAsia="Arial" w:hAnsi="Arial"/>
          <w:sz w:val="16"/>
          <w:szCs w:val="16"/>
          <w:color w:val="auto"/>
        </w:rPr>
        <w:t>In our view, we have complied in all material respects with all federal, state and local standards in the area of safety, health and pollution and environmental controls. We are involved in environmental matters at certain of our plant facilities, which arise in the normal course of business. Although the final outcome of these environmental matters cannot be determined, based on the facts presently known, it is our opinion that the final resolution of these matters will not have a material adverse effect on our financial position or future results of operations.</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People</w:t>
      </w:r>
    </w:p>
    <w:p>
      <w:pPr>
        <w:spacing w:after="0" w:line="96" w:lineRule="exact"/>
        <w:rPr>
          <w:sz w:val="20"/>
          <w:szCs w:val="20"/>
          <w:color w:val="auto"/>
        </w:rPr>
      </w:pPr>
    </w:p>
    <w:p>
      <w:pPr>
        <w:ind w:left="460" w:right="460"/>
        <w:spacing w:after="0" w:line="268" w:lineRule="auto"/>
        <w:rPr>
          <w:sz w:val="20"/>
          <w:szCs w:val="20"/>
          <w:color w:val="auto"/>
        </w:rPr>
      </w:pPr>
      <w:r>
        <w:rPr>
          <w:rFonts w:ascii="Arial" w:cs="Arial" w:eastAsia="Arial" w:hAnsi="Arial"/>
          <w:sz w:val="18"/>
          <w:szCs w:val="18"/>
          <w:color w:val="auto"/>
        </w:rPr>
        <w:t>We employed approximately 1,800 people as of November 25, 2006, none of whom were subject to collective bargaining arrangements. We have not experienced any recent work stoppages. We consider our relationship with our employees to be good.</w:t>
      </w:r>
    </w:p>
    <w:p>
      <w:pPr>
        <w:spacing w:after="0" w:line="207"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Foreign and Domestic Operations and Export Sales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We have no foreign operations, and our export sales were approximately $3.7 million, $4.7 million and $5.0 million in 2006, 2005 and 2004 respectively.</w:t>
      </w:r>
    </w:p>
    <w:p>
      <w:pPr>
        <w:spacing w:after="0" w:line="269"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Available Information</w:t>
      </w:r>
    </w:p>
    <w:p>
      <w:pPr>
        <w:spacing w:after="0" w:line="96" w:lineRule="exact"/>
        <w:rPr>
          <w:sz w:val="20"/>
          <w:szCs w:val="20"/>
          <w:color w:val="auto"/>
        </w:rPr>
      </w:pPr>
    </w:p>
    <w:p>
      <w:pPr>
        <w:ind w:left="460" w:right="40"/>
        <w:spacing w:after="0" w:line="332" w:lineRule="auto"/>
        <w:rPr>
          <w:sz w:val="20"/>
          <w:szCs w:val="20"/>
          <w:color w:val="auto"/>
        </w:rPr>
      </w:pPr>
      <w:r>
        <w:rPr>
          <w:rFonts w:ascii="Arial" w:cs="Arial" w:eastAsia="Arial" w:hAnsi="Arial"/>
          <w:sz w:val="16"/>
          <w:szCs w:val="16"/>
          <w:color w:val="auto"/>
        </w:rPr>
        <w:t>Through our website www.bassettfurniture.com, we make available free of charge as soon as reasonably practicable after electronically filing or furnishing with the SEC, our annual report on Form 10-K, quarterly reports on Form 10-Q, current reports on Form 8-K and amendments thereto.</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1A. </w:t>
      </w:r>
      <w:r>
        <w:rPr>
          <w:rFonts w:ascii="Arial" w:cs="Arial" w:eastAsia="Arial" w:hAnsi="Arial"/>
          <w:sz w:val="18"/>
          <w:szCs w:val="18"/>
          <w:u w:val="single" w:color="auto"/>
          <w:color w:val="auto"/>
        </w:rPr>
        <w:t>RISK FACTORS</w:t>
      </w:r>
    </w:p>
    <w:p>
      <w:pPr>
        <w:spacing w:after="0" w:line="90" w:lineRule="exact"/>
        <w:rPr>
          <w:sz w:val="20"/>
          <w:szCs w:val="20"/>
          <w:color w:val="auto"/>
        </w:rPr>
      </w:pPr>
    </w:p>
    <w:p>
      <w:pPr>
        <w:ind w:right="60"/>
        <w:spacing w:after="0" w:line="298" w:lineRule="auto"/>
        <w:rPr>
          <w:sz w:val="20"/>
          <w:szCs w:val="20"/>
          <w:color w:val="auto"/>
        </w:rPr>
      </w:pPr>
      <w:r>
        <w:rPr>
          <w:rFonts w:ascii="Arial" w:cs="Arial" w:eastAsia="Arial" w:hAnsi="Arial"/>
          <w:sz w:val="16"/>
          <w:szCs w:val="16"/>
          <w:color w:val="auto"/>
        </w:rPr>
        <w:t>Our business is subject to a variety of risks. You should carefully consider the risk factors detailed below in conjunction with the other information contained in this document. These risks are not the only ones we face. Interest rates, consumer confidence, housing starts, and other general economic factors that affect many other businesses are particularly significant to us because our principal products are consumer goods. Additional factors that are presently unknown to us or that we currently believe to be immaterial also could affect our business.</w:t>
      </w:r>
    </w:p>
    <w:p>
      <w:pPr>
        <w:spacing w:after="0" w:line="194"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Competition from domestic and overseas manufacturers continues to increase and may adversely affect our business, operating results or financial condition.</w:t>
      </w:r>
    </w:p>
    <w:p>
      <w:pPr>
        <w:spacing w:after="0" w:line="125" w:lineRule="exact"/>
        <w:rPr>
          <w:sz w:val="20"/>
          <w:szCs w:val="20"/>
          <w:color w:val="auto"/>
        </w:rPr>
      </w:pPr>
    </w:p>
    <w:p>
      <w:pPr>
        <w:ind w:right="40"/>
        <w:spacing w:after="0" w:line="288" w:lineRule="auto"/>
        <w:rPr>
          <w:sz w:val="20"/>
          <w:szCs w:val="20"/>
          <w:color w:val="auto"/>
        </w:rPr>
      </w:pPr>
      <w:r>
        <w:rPr>
          <w:rFonts w:ascii="Arial" w:cs="Arial" w:eastAsia="Arial" w:hAnsi="Arial"/>
          <w:sz w:val="16"/>
          <w:szCs w:val="16"/>
          <w:color w:val="auto"/>
        </w:rPr>
        <w:t>Our wholesale business segment is involved in the development of our brand, which encompasses the design, manufacture, sourcing, sales and distribution of our home furnishings products, and competes with other U.S. and foreign manufacturers. Industry globalization and the development of manufacturing capabilities in other countries, particularly within Asia, has led to increased competitive pressures brought about by the increasing volume of imported finished goods and components, particularly for casegood products. The increase in overseas production capacity in recent years has created over-capacity for many foreign and U.S. manufacturers, including us, which has led to industry-wide plant consolidation in the U.S. In addition, because many foreign manufacturers are able to maintain substantially lower production costs, including the cost of labor and overhead, imported product is capable of being sold at a lower price to consumers, which, in turn, could lead to additional industry-wide price deflation. Governments in the foreign countries where we source our products also may change their laws, regulations and policies, including those related to currency, tariffs and trade barriers, investments, and taxation. These changes could make it more difficult to service our customers resulting in an adverse effect on our earnings.</w:t>
      </w:r>
    </w:p>
    <w:p>
      <w:pPr>
        <w:spacing w:after="0" w:line="20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company-owned BFD stores and others we may acquire in the future may not achieve the anticipated levels of growth and profitability.</w:t>
      </w:r>
    </w:p>
    <w:p>
      <w:pPr>
        <w:spacing w:after="0" w:line="113" w:lineRule="exact"/>
        <w:rPr>
          <w:sz w:val="20"/>
          <w:szCs w:val="20"/>
          <w:color w:val="auto"/>
        </w:rPr>
      </w:pPr>
    </w:p>
    <w:p>
      <w:pPr>
        <w:ind w:right="100"/>
        <w:spacing w:after="0" w:line="291" w:lineRule="auto"/>
        <w:rPr>
          <w:sz w:val="20"/>
          <w:szCs w:val="20"/>
          <w:color w:val="auto"/>
        </w:rPr>
      </w:pPr>
      <w:r>
        <w:rPr>
          <w:rFonts w:ascii="Arial" w:cs="Arial" w:eastAsia="Arial" w:hAnsi="Arial"/>
          <w:sz w:val="16"/>
          <w:szCs w:val="16"/>
          <w:color w:val="auto"/>
        </w:rPr>
        <w:t>Our Company-owned stores currently operate at a loss. Our short-term goal essentially is to operate these stores at break-even to ultimately protect the operating margins generated by our wholesale operation. To be successful, we need to increase our sales per store while decreasing the support costs as a percentage of sales. As part of our strategy, we must hire, train and retain a qualified staff of design consultants to improve the customer experience. Competition with other furniture retailers for qualified design consultants also continues to increase. We also compete with other retailers for management personnel and appropriate retail locations. Failures and delays in implementing our retail strategies or failure to realize the benefits of these strategies could adversely impact our business and operating results.</w:t>
      </w:r>
    </w:p>
    <w:p>
      <w:pPr>
        <w:spacing w:after="0" w:line="10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00"/>
          </w:cols>
          <w:pgMar w:left="240" w:top="459" w:right="25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licensee-owned BFD stores may not be able to meet their obligations to us.</w:t>
      </w:r>
    </w:p>
    <w:p>
      <w:pPr>
        <w:spacing w:after="0" w:line="90" w:lineRule="exact"/>
        <w:rPr>
          <w:sz w:val="20"/>
          <w:szCs w:val="20"/>
          <w:color w:val="auto"/>
        </w:rPr>
      </w:pPr>
    </w:p>
    <w:p>
      <w:pPr>
        <w:spacing w:after="0" w:line="294" w:lineRule="auto"/>
        <w:rPr>
          <w:sz w:val="20"/>
          <w:szCs w:val="20"/>
          <w:color w:val="auto"/>
        </w:rPr>
      </w:pPr>
      <w:r>
        <w:rPr>
          <w:rFonts w:ascii="Arial" w:cs="Arial" w:eastAsia="Arial" w:hAnsi="Arial"/>
          <w:sz w:val="16"/>
          <w:szCs w:val="16"/>
          <w:color w:val="auto"/>
        </w:rPr>
        <w:t>We have a significant amount of accounts and notes receivable from our network of licensee-owned BFD stores. We also own some of the real estate that is leased to the licensees and guarantee some of the debt and/or leases of some of them. If these stores do not generate the necessary level of sales and profits, they may not be able to fulfill their obligations to us resulting in potential bad debt expenses and real estate related losses. We continue to assess our licensees to determine whether additional subordinated financial support will be required by us to ensure their continued operation, thereby requiring them to be consolidated as variable interest entities. Should we be required to consolidate variable interest entities, our future earnings could be reduced.</w:t>
      </w:r>
    </w:p>
    <w:p>
      <w:pPr>
        <w:spacing w:after="0" w:line="197" w:lineRule="exact"/>
        <w:rPr>
          <w:sz w:val="20"/>
          <w:szCs w:val="20"/>
          <w:color w:val="auto"/>
        </w:rPr>
      </w:pPr>
    </w:p>
    <w:p>
      <w:pPr>
        <w:ind w:right="340"/>
        <w:spacing w:after="0" w:line="268" w:lineRule="auto"/>
        <w:rPr>
          <w:sz w:val="20"/>
          <w:szCs w:val="20"/>
          <w:color w:val="auto"/>
        </w:rPr>
      </w:pPr>
      <w:r>
        <w:rPr>
          <w:rFonts w:ascii="Arial" w:cs="Arial" w:eastAsia="Arial" w:hAnsi="Arial"/>
          <w:sz w:val="18"/>
          <w:szCs w:val="18"/>
          <w:b w:val="1"/>
          <w:bCs w:val="1"/>
          <w:i w:val="1"/>
          <w:iCs w:val="1"/>
          <w:color w:val="auto"/>
        </w:rPr>
        <w:t>Failure to successfully anticipate or respond to changes in consumer tastes and trends in a timely manner could adversely impact our business, operating results and financial condition.</w:t>
      </w:r>
    </w:p>
    <w:p>
      <w:pPr>
        <w:spacing w:after="0" w:line="51" w:lineRule="exact"/>
        <w:rPr>
          <w:sz w:val="20"/>
          <w:szCs w:val="20"/>
          <w:color w:val="auto"/>
        </w:rPr>
      </w:pPr>
    </w:p>
    <w:p>
      <w:pPr>
        <w:ind w:right="300"/>
        <w:spacing w:after="0" w:line="294" w:lineRule="auto"/>
        <w:rPr>
          <w:sz w:val="20"/>
          <w:szCs w:val="20"/>
          <w:color w:val="auto"/>
        </w:rPr>
      </w:pPr>
      <w:r>
        <w:rPr>
          <w:rFonts w:ascii="Arial" w:cs="Arial" w:eastAsia="Arial" w:hAnsi="Arial"/>
          <w:sz w:val="16"/>
          <w:szCs w:val="16"/>
          <w:color w:val="auto"/>
        </w:rPr>
        <w:t>Sales of our furniture are dependent upon consumer acceptance of our designs, styles, quality and price. As with all retailers, our business is susceptible to changes in consumer tastes and trends. We attempt to monitor changes in consumer tastes and home design trends through attendance at international industry events and fashion shows, internal marketing research, and communication with our retailers and design consultants who provide valuable input on consumer tendencies. However, such tastes and trends can change rapidly and any delay or failure to anticipate or respond to changing consumer tastes and trends in a timely manner could adversely impact our business, operating results and financial condition.</w:t>
      </w:r>
    </w:p>
    <w:p>
      <w:pPr>
        <w:spacing w:after="0" w:line="197" w:lineRule="exact"/>
        <w:rPr>
          <w:sz w:val="20"/>
          <w:szCs w:val="20"/>
          <w:color w:val="auto"/>
        </w:rPr>
      </w:pPr>
    </w:p>
    <w:p>
      <w:pPr>
        <w:ind w:right="100"/>
        <w:spacing w:after="0" w:line="332" w:lineRule="auto"/>
        <w:rPr>
          <w:sz w:val="20"/>
          <w:szCs w:val="20"/>
          <w:color w:val="auto"/>
        </w:rPr>
      </w:pPr>
      <w:r>
        <w:rPr>
          <w:rFonts w:ascii="Arial" w:cs="Arial" w:eastAsia="Arial" w:hAnsi="Arial"/>
          <w:sz w:val="16"/>
          <w:szCs w:val="16"/>
          <w:b w:val="1"/>
          <w:bCs w:val="1"/>
          <w:i w:val="1"/>
          <w:iCs w:val="1"/>
          <w:color w:val="auto"/>
        </w:rPr>
        <w:t>Our success depends upon our brand, marketing and advertising efforts and pricing strategies, and if we are not able to maintain and enhance our brand, or if we are not successful in these efforts and strategies, our business and operating results could be adversely affected.</w:t>
      </w:r>
    </w:p>
    <w:p>
      <w:pPr>
        <w:spacing w:after="0" w:line="4"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Maintaining and enhancing our brand is critical to our ability to expand our base of customers and drive increased traffic at both company-owned and licensee-owned stores. Our advertising and marketing campaign utilizes television, direct mail, catalogs, newspapers, magazines and radio in an effort to maintain and enhance our existing brand equity. We cannot provide assurance that our marketing, advertising and other efforts to promote and maintain awareness of our brand will not require us to incur substantial costs. If these efforts are unsuccessful or we incur substantial costs in connection with these efforts, our business, operating results and financial condition could be adversely affected.</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Manufacturing realignments could result in a decrease in our near-term earnings.</w:t>
      </w:r>
    </w:p>
    <w:p>
      <w:pPr>
        <w:spacing w:after="0" w:line="90" w:lineRule="exact"/>
        <w:rPr>
          <w:sz w:val="20"/>
          <w:szCs w:val="20"/>
          <w:color w:val="auto"/>
        </w:rPr>
      </w:pPr>
    </w:p>
    <w:p>
      <w:pPr>
        <w:ind w:right="20"/>
        <w:spacing w:after="0" w:line="294" w:lineRule="auto"/>
        <w:rPr>
          <w:sz w:val="20"/>
          <w:szCs w:val="20"/>
          <w:color w:val="auto"/>
        </w:rPr>
      </w:pPr>
      <w:r>
        <w:rPr>
          <w:rFonts w:ascii="Arial" w:cs="Arial" w:eastAsia="Arial" w:hAnsi="Arial"/>
          <w:sz w:val="16"/>
          <w:szCs w:val="16"/>
          <w:color w:val="auto"/>
        </w:rPr>
        <w:t>We regularly review and evaluate our domestic manufacturing operations and offshore (import) sourcing capabilities. As a result, we sometimes realign those operations and capabilities and institute cost savings programs. These programs can include the consolidation and integration of facilities, functions, systems and procedures. We also may shift certain products from domestic manufacturing to offshore sourcing. These realignments and cost savings programs generally involve some initial cost and can result in decreases in our near-term earnings until we achieve the expected cost reductions. We may not always accomplish these actions as quickly as anticipated, and we may not fully achieve the expected cost reductions.</w:t>
      </w:r>
    </w:p>
    <w:p>
      <w:pPr>
        <w:spacing w:after="0" w:line="197" w:lineRule="exact"/>
        <w:rPr>
          <w:sz w:val="20"/>
          <w:szCs w:val="20"/>
          <w:color w:val="auto"/>
        </w:rPr>
      </w:pPr>
    </w:p>
    <w:p>
      <w:pPr>
        <w:ind w:right="300"/>
        <w:spacing w:after="0" w:line="268" w:lineRule="auto"/>
        <w:rPr>
          <w:sz w:val="20"/>
          <w:szCs w:val="20"/>
          <w:color w:val="auto"/>
        </w:rPr>
      </w:pPr>
      <w:r>
        <w:rPr>
          <w:rFonts w:ascii="Arial" w:cs="Arial" w:eastAsia="Arial" w:hAnsi="Arial"/>
          <w:sz w:val="18"/>
          <w:szCs w:val="18"/>
          <w:b w:val="1"/>
          <w:bCs w:val="1"/>
          <w:i w:val="1"/>
          <w:iCs w:val="1"/>
          <w:color w:val="auto"/>
        </w:rPr>
        <w:t>Fluctuations in the price, availability and quality of raw materials and imported products could result in increased costs or cause production delays which might result in a decline in sales, either of which could adversely impact our earnings.</w:t>
      </w:r>
    </w:p>
    <w:p>
      <w:pPr>
        <w:spacing w:after="0" w:line="51"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We use various types of wood, foam, fibers, fabrics, leathers, and other raw materials in manufacturing our furniture. Certain of our raw materials, including fabrics, are purchased both abroad and domestically. Fluctuations in the price, availability and quality of raw materials could result in increased costs or a delay in manufacturing our products, which in turn could result in a delay in delivering products to our customers. For example, lumber prices fluctuate over time based on factors such as weather and demand, which in turn, impact availability. Production delays or upward trends in raw material prices could result in lower sales or margins, thereby adversely impacting our earnings.</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459" w:right="2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40"/>
        <w:spacing w:after="0" w:line="259" w:lineRule="auto"/>
        <w:rPr>
          <w:sz w:val="20"/>
          <w:szCs w:val="20"/>
          <w:color w:val="auto"/>
        </w:rPr>
      </w:pPr>
      <w:r>
        <w:rPr>
          <w:rFonts w:ascii="Arial" w:cs="Arial" w:eastAsia="Arial" w:hAnsi="Arial"/>
          <w:sz w:val="18"/>
          <w:szCs w:val="18"/>
          <w:color w:val="auto"/>
        </w:rPr>
        <w:t>In addition, certain suppliers may require advance notice of our requirements in order to produce products in the quantities we desire. This long lead time may require us to place orders far in advance of the time when certain products will be offered for sale, thereby exposing us to risks relating to shifts in consumer demand and trends, and any downturn in the U.S. economy.</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receive a substantial amount of our earnings and cash flow from our investment in the International Home Furnishings Center (“IHFC”).</w:t>
      </w:r>
    </w:p>
    <w:p>
      <w:pPr>
        <w:spacing w:after="0" w:line="113" w:lineRule="exact"/>
        <w:rPr>
          <w:sz w:val="20"/>
          <w:szCs w:val="20"/>
          <w:color w:val="auto"/>
        </w:rPr>
      </w:pPr>
    </w:p>
    <w:p>
      <w:pPr>
        <w:ind w:right="80"/>
        <w:spacing w:after="0" w:line="291" w:lineRule="auto"/>
        <w:rPr>
          <w:sz w:val="20"/>
          <w:szCs w:val="20"/>
          <w:color w:val="auto"/>
        </w:rPr>
      </w:pPr>
      <w:r>
        <w:rPr>
          <w:rFonts w:ascii="Arial" w:cs="Arial" w:eastAsia="Arial" w:hAnsi="Arial"/>
          <w:sz w:val="16"/>
          <w:szCs w:val="16"/>
          <w:color w:val="auto"/>
        </w:rPr>
        <w:t>We own 46.9% of IHFC which owns and leases permanent exhibition space in High Point, North Carolina to furniture and accessory manufacturers throughout the United States and in many foreign countries who showcase their products at the High Point Market held each March and September. In fiscal 2006, we recognized $6.7 million in earnings and received $6.6 million in dividends from our investment in IHFC. There can be no assurance that we will continue to recognize this level of earnings or receive this level of dividends in the future as leases are typically for five years and the lessees may not renew their respective leases. In addition, a home furnishings market recently started in Las Vegas which could potentially impact the number of manufacturers showcasing their products at the High Point market, thereby reducing the demand for the exhibition space in High Point.</w:t>
      </w:r>
    </w:p>
    <w:p>
      <w:pPr>
        <w:spacing w:after="0" w:line="201"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b w:val="1"/>
          <w:bCs w:val="1"/>
          <w:i w:val="1"/>
          <w:iCs w:val="1"/>
          <w:color w:val="auto"/>
        </w:rPr>
        <w:t>We receive a substantial amount of our earnings and cash flow from our investments in The Bassett Furniture Industries Alternative Asset Fund LP and our marketable securities portfolio.</w:t>
      </w:r>
    </w:p>
    <w:p>
      <w:pPr>
        <w:spacing w:after="0" w:line="51" w:lineRule="exact"/>
        <w:rPr>
          <w:sz w:val="20"/>
          <w:szCs w:val="20"/>
          <w:color w:val="auto"/>
        </w:rPr>
      </w:pPr>
    </w:p>
    <w:p>
      <w:pPr>
        <w:ind w:right="80"/>
        <w:spacing w:after="0" w:line="286" w:lineRule="auto"/>
        <w:rPr>
          <w:sz w:val="20"/>
          <w:szCs w:val="20"/>
          <w:color w:val="auto"/>
        </w:rPr>
      </w:pPr>
      <w:r>
        <w:rPr>
          <w:rFonts w:ascii="Arial" w:cs="Arial" w:eastAsia="Arial" w:hAnsi="Arial"/>
          <w:sz w:val="16"/>
          <w:szCs w:val="16"/>
          <w:color w:val="auto"/>
        </w:rPr>
        <w:t>We have $52.8 million invested in The Bassett Industries Alternative Asset Fund L.P. (the Fund) in which we are the only limited partner. The objective of the Fund is to achieve consistent positive returns, while attempting to reduce risk and volatility, by placing its capital with a variety of hedge funds and experienced portfolio managers. Such hedge funds and portfolio managers employ a variety of trading styles or strategies, including, but not limited to, convertible arbitrage, merger or risk arbitrage, distressed debt, long/short equity, multi-strategy and other market-neutral strategies. The general partner has discretion to make all investment and trading decisions, including the selection of investment managers. Our investment in the Fund includes investments in various other private limited partnerships, which contain contractual commitments with elements of market risk. These contractual commitments, which include fixed-income securities and derivatives, may involve future settlements, which give rise to both market and credit risk. The investment partnership’s exposure to market risk is determined by a number of factors, including the size, composition, and diversification of positions held, volatility of interest rates, market currency rates, and liquidity. Risks to these funds arise from possible adverse changes in the market value of such interests and the potential inability of counterparties to perform under the terms of the contracts. However, the risk to the Fund is limited to the amount of the Fund investment in each of the funds. There can be no assurance that the Fund will continue to produce the levels of returns it has historically provided to support our operating cash flow needs.</w:t>
      </w:r>
    </w:p>
    <w:p>
      <w:pPr>
        <w:spacing w:after="0" w:line="127" w:lineRule="exact"/>
        <w:rPr>
          <w:sz w:val="20"/>
          <w:szCs w:val="20"/>
          <w:color w:val="auto"/>
        </w:rPr>
      </w:pPr>
    </w:p>
    <w:p>
      <w:pPr>
        <w:spacing w:after="0" w:line="306" w:lineRule="auto"/>
        <w:rPr>
          <w:sz w:val="20"/>
          <w:szCs w:val="20"/>
          <w:color w:val="auto"/>
        </w:rPr>
      </w:pPr>
      <w:r>
        <w:rPr>
          <w:rFonts w:ascii="Arial" w:cs="Arial" w:eastAsia="Arial" w:hAnsi="Arial"/>
          <w:sz w:val="16"/>
          <w:szCs w:val="16"/>
          <w:color w:val="auto"/>
        </w:rPr>
        <w:t>At November 25, 2006, we have $25.9 million in marketable securities on our balance sheet consisting of both equity and debt instruments. This portfolio is diversified among eight different money managers and twenty-five different equity securities. There can be no assurance that this portfolio will produce the levels of returns it has historically provided to support our operating cash flow needs as it is subject to those risks inherent in the stock and money markets including:</w:t>
      </w:r>
    </w:p>
    <w:p>
      <w:pPr>
        <w:spacing w:after="0" w:line="26" w:lineRule="exact"/>
        <w:rPr>
          <w:sz w:val="20"/>
          <w:szCs w:val="20"/>
          <w:color w:val="auto"/>
        </w:rPr>
      </w:pPr>
    </w:p>
    <w:p>
      <w:pPr>
        <w:ind w:left="900" w:hanging="325"/>
        <w:spacing w:after="0"/>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color w:val="auto"/>
        </w:rPr>
        <w:t>changes in trade, monetary and fiscal policies and laws,</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color w:val="auto"/>
        </w:rPr>
        <w:t>changes in interest rates and the effects of inflation, and</w:t>
      </w:r>
    </w:p>
    <w:p>
      <w:pPr>
        <w:spacing w:after="0" w:line="90" w:lineRule="exact"/>
        <w:rPr>
          <w:rFonts w:ascii="Arial" w:cs="Arial" w:eastAsia="Arial" w:hAnsi="Arial"/>
          <w:sz w:val="18"/>
          <w:szCs w:val="18"/>
          <w:color w:val="auto"/>
        </w:rPr>
      </w:pPr>
    </w:p>
    <w:p>
      <w:pPr>
        <w:ind w:left="900" w:hanging="325"/>
        <w:spacing w:after="0"/>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color w:val="auto"/>
        </w:rPr>
        <w:t>changes in the outlook for the economy as a whole or shifts in investor attitudes.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Unsuccessful implementation of our new initiatives may be detrimental to future operating results and financial condition.</w:t>
      </w:r>
    </w:p>
    <w:p>
      <w:pPr>
        <w:spacing w:after="0" w:line="90"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In addition to changes in pricing and product assortment, we have embarked on two key initiatives in 2007 that we believe are critical to our operating success. In the second quarter of 2007, we plan to unveil a new store prototype. The design of this store is based on extensive research we have conducted and assessed over the past several years, including the comprehensive market segmentation study completed in 2006. We believe this will increase traffic and provide a better customer experience in both Company-owned and licensee-owned stores. We also plan to capitalize on the opportunities that the Internet affords retailers by introducing a commerce enabled catalog and website. Failure to successfully implement these new initiatives could prove costly and could adversely impact our operating results and financial condition.</w:t>
      </w:r>
    </w:p>
    <w:p>
      <w:pPr>
        <w:spacing w:after="0" w:line="13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380"/>
          </w:cols>
          <w:pgMar w:left="240" w:top="459" w:right="27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1B. </w:t>
      </w:r>
      <w:r>
        <w:rPr>
          <w:rFonts w:ascii="Arial" w:cs="Arial" w:eastAsia="Arial" w:hAnsi="Arial"/>
          <w:sz w:val="18"/>
          <w:szCs w:val="18"/>
          <w:u w:val="single" w:color="auto"/>
          <w:color w:val="auto"/>
        </w:rPr>
        <w:t>UNRESOLVED STAFF COMMENTS</w:t>
      </w:r>
    </w:p>
    <w:p>
      <w:pPr>
        <w:spacing w:after="0" w:line="90" w:lineRule="exact"/>
        <w:rPr>
          <w:sz w:val="20"/>
          <w:szCs w:val="20"/>
          <w:color w:val="auto"/>
        </w:rPr>
      </w:pPr>
    </w:p>
    <w:p>
      <w:pPr>
        <w:ind w:left="460"/>
        <w:spacing w:after="0" w:line="298" w:lineRule="auto"/>
        <w:rPr>
          <w:sz w:val="20"/>
          <w:szCs w:val="20"/>
          <w:color w:val="auto"/>
        </w:rPr>
      </w:pPr>
      <w:r>
        <w:rPr>
          <w:rFonts w:ascii="Arial" w:cs="Arial" w:eastAsia="Arial" w:hAnsi="Arial"/>
          <w:sz w:val="16"/>
          <w:szCs w:val="16"/>
          <w:color w:val="auto"/>
        </w:rPr>
        <w:t>During 2006, the Staff of the Securities and Exchange Commission commenced a review of our 2005 Annual Report on Form 10-K. We have been in discussions with the Staff and have provided responses to the comments raised by the Staff. Even though we have not received final clearance from the Staff, we believe we have satisfactorily responded to each item raised by the Staff and we believe there are no unresolved comments. Refer to Note 2 to our Consolidated Financial Statements for a discussion of the most significant items raised by the Staff.</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2. </w:t>
      </w:r>
      <w:r>
        <w:rPr>
          <w:rFonts w:ascii="Arial" w:cs="Arial" w:eastAsia="Arial" w:hAnsi="Arial"/>
          <w:sz w:val="18"/>
          <w:szCs w:val="18"/>
          <w:u w:val="single" w:color="auto"/>
          <w:color w:val="auto"/>
        </w:rPr>
        <w:t>PROPERTIES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own the following manufacturing facilities, by segment:</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Wholesale Segment:</w:t>
      </w:r>
    </w:p>
    <w:p>
      <w:pPr>
        <w:spacing w:after="0" w:line="9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J. D. Bassett Manufacturing Company *</w:t>
      </w:r>
    </w:p>
    <w:p>
      <w:pPr>
        <w:spacing w:after="0" w:line="15" w:lineRule="exact"/>
        <w:rPr>
          <w:sz w:val="20"/>
          <w:szCs w:val="20"/>
          <w:color w:val="auto"/>
        </w:rPr>
      </w:pPr>
    </w:p>
    <w:p>
      <w:pPr>
        <w:ind w:left="900"/>
        <w:spacing w:after="0"/>
        <w:rPr>
          <w:sz w:val="20"/>
          <w:szCs w:val="20"/>
          <w:color w:val="auto"/>
        </w:rPr>
      </w:pPr>
      <w:r>
        <w:rPr>
          <w:rFonts w:ascii="Arial" w:cs="Arial" w:eastAsia="Arial" w:hAnsi="Arial"/>
          <w:sz w:val="18"/>
          <w:szCs w:val="18"/>
          <w:color w:val="auto"/>
        </w:rPr>
        <w:t>Bassett, Va.</w:t>
      </w:r>
    </w:p>
    <w:p>
      <w:pPr>
        <w:spacing w:after="0" w:line="16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Bassett Superior Lines</w:t>
      </w:r>
    </w:p>
    <w:p>
      <w:pPr>
        <w:spacing w:after="0" w:line="1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Bassett, Va.</w:t>
      </w:r>
    </w:p>
    <w:p>
      <w:pPr>
        <w:spacing w:after="0" w:line="16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Bassett Chair Company *</w:t>
      </w:r>
    </w:p>
    <w:p>
      <w:pPr>
        <w:spacing w:after="0" w:line="1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Bassett, Va.</w:t>
      </w:r>
    </w:p>
    <w:p>
      <w:pPr>
        <w:spacing w:after="0" w:line="16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Bassett Table Company *</w:t>
      </w:r>
    </w:p>
    <w:p>
      <w:pPr>
        <w:spacing w:after="0" w:line="1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Bassett, Va.</w:t>
      </w:r>
    </w:p>
    <w:p>
      <w:pPr>
        <w:spacing w:after="0" w:line="16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Bassett Furniture Industries*</w:t>
      </w:r>
    </w:p>
    <w:p>
      <w:pPr>
        <w:spacing w:after="0" w:line="1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Macon, Ga.</w:t>
      </w:r>
    </w:p>
    <w:p>
      <w:pPr>
        <w:spacing w:after="0" w:line="16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Bassett Furniture Industries</w:t>
      </w:r>
    </w:p>
    <w:p>
      <w:pPr>
        <w:spacing w:after="0" w:line="1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Martinsville, Va.</w:t>
      </w:r>
    </w:p>
    <w:p>
      <w:pPr>
        <w:spacing w:after="0" w:line="16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Bassett Fiberboard</w:t>
      </w:r>
    </w:p>
    <w:p>
      <w:pPr>
        <w:spacing w:after="0" w:line="1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Bassett, Va.</w:t>
      </w:r>
    </w:p>
    <w:p>
      <w:pPr>
        <w:spacing w:after="0" w:line="16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Bassett Upholstery Division</w:t>
      </w:r>
    </w:p>
    <w:p>
      <w:pPr>
        <w:spacing w:after="0" w:line="1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Newton, N.C.</w:t>
      </w:r>
    </w:p>
    <w:p>
      <w:pPr>
        <w:spacing w:after="0" w:line="165" w:lineRule="exact"/>
        <w:rPr>
          <w:sz w:val="20"/>
          <w:szCs w:val="20"/>
          <w:color w:val="auto"/>
        </w:rPr>
      </w:pPr>
    </w:p>
    <w:p>
      <w:pPr>
        <w:ind w:right="580"/>
        <w:spacing w:after="0" w:line="268" w:lineRule="auto"/>
        <w:rPr>
          <w:sz w:val="20"/>
          <w:szCs w:val="20"/>
          <w:color w:val="auto"/>
        </w:rPr>
      </w:pPr>
      <w:r>
        <w:rPr>
          <w:rFonts w:ascii="Arial" w:cs="Arial" w:eastAsia="Arial" w:hAnsi="Arial"/>
          <w:sz w:val="18"/>
          <w:szCs w:val="18"/>
          <w:color w:val="auto"/>
        </w:rPr>
        <w:t>Properties designated by an asterisk “*” have ceased manufacturing operations and are currently held either for sale or as idle facilities in connection with restructuring efforts.</w:t>
      </w:r>
    </w:p>
    <w:p>
      <w:pPr>
        <w:spacing w:after="0" w:line="132" w:lineRule="exact"/>
        <w:rPr>
          <w:sz w:val="20"/>
          <w:szCs w:val="20"/>
          <w:color w:val="auto"/>
        </w:rPr>
      </w:pPr>
    </w:p>
    <w:p>
      <w:pPr>
        <w:ind w:right="460"/>
        <w:spacing w:after="0" w:line="268" w:lineRule="auto"/>
        <w:rPr>
          <w:sz w:val="20"/>
          <w:szCs w:val="20"/>
          <w:color w:val="auto"/>
        </w:rPr>
      </w:pPr>
      <w:r>
        <w:rPr>
          <w:rFonts w:ascii="Arial" w:cs="Arial" w:eastAsia="Arial" w:hAnsi="Arial"/>
          <w:sz w:val="18"/>
          <w:szCs w:val="18"/>
          <w:color w:val="auto"/>
        </w:rPr>
        <w:t>We own the real estate used by certain Bassett Furniture Direct retail stores, ranging from 15,000 to 25,000 square feet each, in the following cities with the number of locations owned in each city noted:</w:t>
      </w:r>
    </w:p>
    <w:p>
      <w:pPr>
        <w:spacing w:after="0" w:line="51" w:lineRule="exact"/>
        <w:rPr>
          <w:sz w:val="20"/>
          <w:szCs w:val="20"/>
          <w:color w:val="auto"/>
        </w:rPr>
      </w:pPr>
    </w:p>
    <w:p>
      <w:pPr>
        <w:spacing w:after="0"/>
        <w:rPr>
          <w:sz w:val="20"/>
          <w:szCs w:val="20"/>
          <w:color w:val="auto"/>
        </w:rPr>
      </w:pPr>
      <w:r>
        <w:rPr>
          <w:rFonts w:ascii="Arial" w:cs="Arial" w:eastAsia="Arial" w:hAnsi="Arial"/>
          <w:sz w:val="18"/>
          <w:szCs w:val="18"/>
          <w:color w:val="auto"/>
        </w:rPr>
        <w:t>Company-owned retail stores: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Greenville, S.C. (1)</w:t>
      </w:r>
    </w:p>
    <w:p>
      <w:pPr>
        <w:spacing w:after="0" w:line="1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Concord, N.C. (1)</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Greensboro, N.C. (1)</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Houston, Texas (4)</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color w:val="auto"/>
        </w:rPr>
        <w:t>Licensee-operated retail stores: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Fredericksburg, Va. (1)</w:t>
      </w:r>
    </w:p>
    <w:p>
      <w:pPr>
        <w:spacing w:after="0" w:line="1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Knoxville, Tenn. (1)</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Gulfport, Miss. (1)</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Chesterfield, Va. (1)</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Louisville, Ky. (1)</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Denver, Colo. (1)</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Las Vegas, Nev. (2)</w:t>
      </w:r>
    </w:p>
    <w:p>
      <w:pPr>
        <w:spacing w:after="0" w:line="165" w:lineRule="exact"/>
        <w:rPr>
          <w:sz w:val="20"/>
          <w:szCs w:val="20"/>
          <w:color w:val="auto"/>
        </w:rPr>
      </w:pPr>
    </w:p>
    <w:p>
      <w:pPr>
        <w:spacing w:after="0"/>
        <w:rPr>
          <w:sz w:val="20"/>
          <w:szCs w:val="20"/>
          <w:color w:val="auto"/>
        </w:rPr>
      </w:pPr>
      <w:r>
        <w:rPr>
          <w:rFonts w:ascii="Arial" w:cs="Arial" w:eastAsia="Arial" w:hAnsi="Arial"/>
          <w:sz w:val="16"/>
          <w:szCs w:val="16"/>
          <w:color w:val="auto"/>
        </w:rPr>
        <w:t>In addition, we own leasehold improvements in approximately 25 stores. All of the properties noted above are operated as Bassett Furniture Direct stores.</w:t>
      </w:r>
    </w:p>
    <w:p>
      <w:pPr>
        <w:spacing w:after="0" w:line="181" w:lineRule="exact"/>
        <w:rPr>
          <w:sz w:val="20"/>
          <w:szCs w:val="20"/>
          <w:color w:val="auto"/>
        </w:rPr>
      </w:pPr>
    </w:p>
    <w:p>
      <w:pPr>
        <w:ind w:left="5680"/>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00"/>
          </w:cols>
          <w:pgMar w:left="240" w:top="459" w:right="25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We own our general corporate office building, one warehouse, and an outlet store all located in Bassett, Virginia and one warehouse located in Mt. Airy, N.C. We also own leasehold improvements in our High Point, N.C., showroom.</w:t>
      </w:r>
    </w:p>
    <w:p>
      <w:pPr>
        <w:spacing w:after="0" w:line="132" w:lineRule="exact"/>
        <w:rPr>
          <w:sz w:val="20"/>
          <w:szCs w:val="20"/>
          <w:color w:val="auto"/>
        </w:rPr>
      </w:pPr>
    </w:p>
    <w:p>
      <w:pPr>
        <w:ind w:right="260"/>
        <w:spacing w:after="0" w:line="268" w:lineRule="auto"/>
        <w:rPr>
          <w:sz w:val="20"/>
          <w:szCs w:val="20"/>
          <w:color w:val="auto"/>
        </w:rPr>
      </w:pPr>
      <w:r>
        <w:rPr>
          <w:rFonts w:ascii="Arial" w:cs="Arial" w:eastAsia="Arial" w:hAnsi="Arial"/>
          <w:sz w:val="18"/>
          <w:szCs w:val="18"/>
          <w:color w:val="auto"/>
        </w:rPr>
        <w:t>In general, these facilities are suitable and are considered to be adequate for the continuing operations involved. All facilities, except those indicated above as held for sale or idle, are in regular use and provide more than adequate capacity for our manufacturing needs.</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color w:val="auto"/>
        </w:rPr>
        <w:t>The following facilities were sold and disposed of during 2006:</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Weiman Upholstery</w:t>
      </w:r>
    </w:p>
    <w:p>
      <w:pPr>
        <w:spacing w:after="0" w:line="1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Christiansburg, Va.</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color w:val="auto"/>
        </w:rPr>
        <w:t>The following facilities were sold and disposed of during 2005:</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Bassett Upholstery Division</w:t>
      </w:r>
    </w:p>
    <w:p>
      <w:pPr>
        <w:spacing w:after="0" w:line="1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Hiddenite, N.C.</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color w:val="auto"/>
        </w:rPr>
        <w:t>The following facilities were sold and disposed of during 2004:</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Bassett Furniture Industries</w:t>
      </w:r>
    </w:p>
    <w:p>
      <w:pPr>
        <w:spacing w:after="0" w:line="1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Dublin, Ga.</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color w:val="auto"/>
        </w:rPr>
        <w:t>The following facilities were sold and disposed of during 2003:</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Bassett Upholstery</w:t>
      </w:r>
    </w:p>
    <w:p>
      <w:pPr>
        <w:spacing w:after="0" w:line="1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Los Angeles, Calif.</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color w:val="auto"/>
        </w:rPr>
        <w:t>The following facilities were sold and disposed of during 2001:</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Showroom</w:t>
      </w:r>
    </w:p>
    <w:p>
      <w:pPr>
        <w:spacing w:after="0" w:line="1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Thomasville, N.C.</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Bassett Upholstery</w:t>
      </w:r>
    </w:p>
    <w:p>
      <w:pPr>
        <w:spacing w:after="0" w:line="1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Conover, N.C.</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Bassett Upholstery</w:t>
      </w:r>
    </w:p>
    <w:p>
      <w:pPr>
        <w:spacing w:after="0" w:line="1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Claremont, N.C.</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Warehouse</w:t>
      </w:r>
    </w:p>
    <w:p>
      <w:pPr>
        <w:spacing w:after="0" w:line="1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Los Angeles, Calif.</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3. </w:t>
      </w:r>
      <w:r>
        <w:rPr>
          <w:rFonts w:ascii="Arial" w:cs="Arial" w:eastAsia="Arial" w:hAnsi="Arial"/>
          <w:sz w:val="18"/>
          <w:szCs w:val="18"/>
          <w:u w:val="single" w:color="auto"/>
          <w:color w:val="auto"/>
        </w:rPr>
        <w:t>LEGAL PROCEEDINGS</w:t>
      </w:r>
    </w:p>
    <w:p>
      <w:pPr>
        <w:spacing w:after="0" w:line="90" w:lineRule="exact"/>
        <w:rPr>
          <w:sz w:val="20"/>
          <w:szCs w:val="20"/>
          <w:color w:val="auto"/>
        </w:rPr>
      </w:pPr>
    </w:p>
    <w:p>
      <w:pPr>
        <w:ind w:left="460" w:right="20"/>
        <w:spacing w:after="0" w:line="259" w:lineRule="auto"/>
        <w:rPr>
          <w:sz w:val="20"/>
          <w:szCs w:val="20"/>
          <w:color w:val="auto"/>
        </w:rPr>
      </w:pPr>
      <w:r>
        <w:rPr>
          <w:rFonts w:ascii="Arial" w:cs="Arial" w:eastAsia="Arial" w:hAnsi="Arial"/>
          <w:sz w:val="18"/>
          <w:szCs w:val="18"/>
          <w:color w:val="auto"/>
        </w:rPr>
        <w:t>We are also involved in various claims and actions, including environmental matters, which arise in the normal course of business. Although the final outcome of these matters cannot be determined, based on the facts presently known, it is our opinion that the final resolution of these matters will not have a material adverse effect on our financial position or future results of operations.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4. </w:t>
      </w:r>
      <w:r>
        <w:rPr>
          <w:rFonts w:ascii="Arial" w:cs="Arial" w:eastAsia="Arial" w:hAnsi="Arial"/>
          <w:sz w:val="18"/>
          <w:szCs w:val="18"/>
          <w:u w:val="single" w:color="auto"/>
          <w:color w:val="auto"/>
        </w:rPr>
        <w:t>SUBMISSION OF MATTERS TO A VOTE OF SECURITY HOLDERS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4B. </w:t>
      </w:r>
      <w:r>
        <w:rPr>
          <w:rFonts w:ascii="Arial" w:cs="Arial" w:eastAsia="Arial" w:hAnsi="Arial"/>
          <w:sz w:val="18"/>
          <w:szCs w:val="18"/>
          <w:u w:val="single" w:color="auto"/>
          <w:color w:val="auto"/>
        </w:rPr>
        <w:t>EXECUTIVE OFFICERS OF THE REGISTRANT</w:t>
      </w:r>
    </w:p>
    <w:p>
      <w:pPr>
        <w:spacing w:after="0" w:line="90" w:lineRule="exact"/>
        <w:rPr>
          <w:sz w:val="20"/>
          <w:szCs w:val="20"/>
          <w:color w:val="auto"/>
        </w:rPr>
      </w:pPr>
    </w:p>
    <w:p>
      <w:pPr>
        <w:ind w:left="460" w:right="480"/>
        <w:spacing w:after="0" w:line="268" w:lineRule="auto"/>
        <w:rPr>
          <w:sz w:val="20"/>
          <w:szCs w:val="20"/>
          <w:color w:val="auto"/>
        </w:rPr>
      </w:pPr>
      <w:r>
        <w:rPr>
          <w:rFonts w:ascii="Arial" w:cs="Arial" w:eastAsia="Arial" w:hAnsi="Arial"/>
          <w:sz w:val="18"/>
          <w:szCs w:val="18"/>
          <w:color w:val="auto"/>
        </w:rPr>
        <w:t>John E. Bassett III, 48, has been with the Company since 1981 and served as Vice President of Wood Manufacturing from 1997 to 2001 and as Vice President Global Sourcing since 2001.</w:t>
      </w:r>
    </w:p>
    <w:p>
      <w:pPr>
        <w:spacing w:after="0" w:line="51" w:lineRule="exact"/>
        <w:rPr>
          <w:sz w:val="20"/>
          <w:szCs w:val="20"/>
          <w:color w:val="auto"/>
        </w:rPr>
      </w:pPr>
    </w:p>
    <w:p>
      <w:pPr>
        <w:ind w:left="460" w:right="60"/>
        <w:spacing w:after="0" w:line="268" w:lineRule="auto"/>
        <w:rPr>
          <w:sz w:val="20"/>
          <w:szCs w:val="20"/>
          <w:color w:val="auto"/>
        </w:rPr>
      </w:pPr>
      <w:r>
        <w:rPr>
          <w:rFonts w:ascii="Arial" w:cs="Arial" w:eastAsia="Arial" w:hAnsi="Arial"/>
          <w:sz w:val="18"/>
          <w:szCs w:val="18"/>
          <w:color w:val="auto"/>
        </w:rPr>
        <w:t>Thomas M. Brockman, 52, joined the Company in late 2003 as Vice President of the Wood Division. From 2000 to 2003 he was a regional Vice President of Manufacturing for Ethan Allen.</w:t>
      </w:r>
    </w:p>
    <w:p>
      <w:pPr>
        <w:spacing w:after="0" w:line="5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Jason W. Camp, 38, joined the Company in 2006 as Senior Vice President of Retail.</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Jay R. Hervey, Esq., 47, has served as the General Counsel, Vice President and Secretary for the Company since 1997.</w:t>
      </w:r>
    </w:p>
    <w:p>
      <w:pPr>
        <w:spacing w:after="0" w:line="15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340"/>
          </w:cols>
          <w:pgMar w:left="240" w:top="459" w:right="31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Matthew S. Johnson, 45, has been with the Company since 1984. Since 2000, he has been serving as Vice President of Merchandising and Design.</w:t>
      </w:r>
    </w:p>
    <w:p>
      <w:pPr>
        <w:spacing w:after="0" w:line="113" w:lineRule="exact"/>
        <w:rPr>
          <w:sz w:val="20"/>
          <w:szCs w:val="20"/>
          <w:color w:val="auto"/>
        </w:rPr>
      </w:pPr>
    </w:p>
    <w:p>
      <w:pPr>
        <w:ind w:left="460" w:right="140"/>
        <w:spacing w:after="0" w:line="268" w:lineRule="auto"/>
        <w:rPr>
          <w:sz w:val="20"/>
          <w:szCs w:val="20"/>
          <w:color w:val="auto"/>
        </w:rPr>
      </w:pPr>
      <w:r>
        <w:rPr>
          <w:rFonts w:ascii="Arial" w:cs="Arial" w:eastAsia="Arial" w:hAnsi="Arial"/>
          <w:sz w:val="18"/>
          <w:szCs w:val="18"/>
          <w:color w:val="auto"/>
        </w:rPr>
        <w:t>Mark S. Jordan, 53, joined the Company in 1999 as Plant Manager. In 2001, he was promoted to Vice President of Upholstery Manufacturing and in 2002 he was promoted to Vice President and General Manager-Upholstery.</w:t>
      </w:r>
    </w:p>
    <w:p>
      <w:pPr>
        <w:spacing w:after="0" w:line="51" w:lineRule="exact"/>
        <w:rPr>
          <w:sz w:val="20"/>
          <w:szCs w:val="20"/>
          <w:color w:val="auto"/>
        </w:rPr>
      </w:pPr>
    </w:p>
    <w:p>
      <w:pPr>
        <w:ind w:left="460" w:right="320"/>
        <w:spacing w:after="0" w:line="268" w:lineRule="auto"/>
        <w:rPr>
          <w:sz w:val="20"/>
          <w:szCs w:val="20"/>
          <w:color w:val="auto"/>
        </w:rPr>
      </w:pPr>
      <w:r>
        <w:rPr>
          <w:rFonts w:ascii="Arial" w:cs="Arial" w:eastAsia="Arial" w:hAnsi="Arial"/>
          <w:sz w:val="18"/>
          <w:szCs w:val="18"/>
          <w:color w:val="auto"/>
        </w:rPr>
        <w:t>Barry C. Safrit, 44, joined the Company as Vice President and Chief Accounting Officer in 1998. In 2001 he was promoted to Vice President and Chief Financial Officer. He was promoted to Senior Vice President and Chief Financial Officer in 2006.</w:t>
      </w:r>
    </w:p>
    <w:p>
      <w:pPr>
        <w:spacing w:after="0" w:line="51" w:lineRule="exact"/>
        <w:rPr>
          <w:sz w:val="20"/>
          <w:szCs w:val="20"/>
          <w:color w:val="auto"/>
        </w:rPr>
      </w:pPr>
    </w:p>
    <w:p>
      <w:pPr>
        <w:ind w:left="460" w:right="540"/>
        <w:spacing w:after="0" w:line="268" w:lineRule="auto"/>
        <w:rPr>
          <w:sz w:val="20"/>
          <w:szCs w:val="20"/>
          <w:color w:val="auto"/>
        </w:rPr>
      </w:pPr>
      <w:r>
        <w:rPr>
          <w:rFonts w:ascii="Arial" w:cs="Arial" w:eastAsia="Arial" w:hAnsi="Arial"/>
          <w:sz w:val="18"/>
          <w:szCs w:val="18"/>
          <w:color w:val="auto"/>
        </w:rPr>
        <w:t>Keith R. Sanders, 62, joined the Company in 1998 as the Vice President of Upholstery Manufacturing . In 1999, he was promoted to Executive Vice President, Operations.</w:t>
      </w:r>
    </w:p>
    <w:p>
      <w:pPr>
        <w:spacing w:after="0" w:line="5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Robert H. Spilman, Jr., 50, has been with the Company since 1984. Since 2000, he has served as Chief Executive Officer and President.</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PART II</w:t>
      </w:r>
    </w:p>
    <w:p>
      <w:pPr>
        <w:spacing w:after="0" w:line="171" w:lineRule="exact"/>
        <w:rPr>
          <w:sz w:val="20"/>
          <w:szCs w:val="20"/>
          <w:color w:val="auto"/>
        </w:rPr>
      </w:pPr>
    </w:p>
    <w:p>
      <w:pPr>
        <w:ind w:right="680"/>
        <w:spacing w:after="0" w:line="268" w:lineRule="auto"/>
        <w:rPr>
          <w:sz w:val="20"/>
          <w:szCs w:val="20"/>
          <w:color w:val="auto"/>
        </w:rPr>
      </w:pPr>
      <w:r>
        <w:rPr>
          <w:rFonts w:ascii="Arial" w:cs="Arial" w:eastAsia="Arial" w:hAnsi="Arial"/>
          <w:sz w:val="18"/>
          <w:szCs w:val="18"/>
          <w:color w:val="auto"/>
        </w:rPr>
        <w:t xml:space="preserve">ITEM 5. </w:t>
      </w:r>
      <w:r>
        <w:rPr>
          <w:rFonts w:ascii="Arial" w:cs="Arial" w:eastAsia="Arial" w:hAnsi="Arial"/>
          <w:sz w:val="18"/>
          <w:szCs w:val="18"/>
          <w:u w:val="single" w:color="auto"/>
          <w:color w:val="auto"/>
        </w:rPr>
        <w:t>MARKET FOR REGISTRANT’S COMMON EQUITY, RELATED STOCKHOLDER MATTERS AND ISSUER PURCHASES OF EQUITY</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SECURITIES</w:t>
      </w:r>
    </w:p>
    <w:p>
      <w:pPr>
        <w:spacing w:after="0" w:line="45"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Market and Dividend Information:</w:t>
      </w:r>
    </w:p>
    <w:p>
      <w:pPr>
        <w:spacing w:after="0" w:line="96" w:lineRule="exact"/>
        <w:rPr>
          <w:sz w:val="20"/>
          <w:szCs w:val="20"/>
          <w:color w:val="auto"/>
        </w:rPr>
      </w:pPr>
    </w:p>
    <w:p>
      <w:pPr>
        <w:ind w:left="460" w:right="80"/>
        <w:spacing w:after="0" w:line="259" w:lineRule="auto"/>
        <w:rPr>
          <w:sz w:val="20"/>
          <w:szCs w:val="20"/>
          <w:color w:val="auto"/>
        </w:rPr>
      </w:pPr>
      <w:r>
        <w:rPr>
          <w:rFonts w:ascii="Arial" w:cs="Arial" w:eastAsia="Arial" w:hAnsi="Arial"/>
          <w:sz w:val="18"/>
          <w:szCs w:val="18"/>
          <w:color w:val="auto"/>
        </w:rPr>
        <w:t>Bassett’s common stock trades on the NASDAQ national securities exchange under the symbol “BSET.” We had approximately 1,150 registered stockholders at November 25, 2006. The range of per share amounts for the high and low market prices and dividends declared for the last two fiscal years are listed below:</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0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760" w:type="dxa"/>
            <w:vAlign w:val="bottom"/>
            <w:gridSpan w:val="8"/>
          </w:tcPr>
          <w:p>
            <w:pPr>
              <w:ind w:left="380"/>
              <w:spacing w:after="0"/>
              <w:rPr>
                <w:sz w:val="20"/>
                <w:szCs w:val="20"/>
                <w:color w:val="auto"/>
              </w:rPr>
            </w:pPr>
            <w:r>
              <w:rPr>
                <w:rFonts w:ascii="Arial" w:cs="Arial" w:eastAsia="Arial" w:hAnsi="Arial"/>
                <w:sz w:val="14"/>
                <w:szCs w:val="14"/>
                <w:b w:val="1"/>
                <w:bCs w:val="1"/>
                <w:color w:val="auto"/>
              </w:rPr>
              <w:t>Market Prices of Common Stock</w:t>
            </w:r>
          </w:p>
        </w:tc>
        <w:tc>
          <w:tcPr>
            <w:tcW w:w="120" w:type="dxa"/>
            <w:vAlign w:val="bottom"/>
          </w:tcPr>
          <w:p>
            <w:pPr>
              <w:spacing w:after="0"/>
              <w:rPr>
                <w:sz w:val="14"/>
                <w:szCs w:val="14"/>
                <w:color w:val="auto"/>
              </w:rPr>
            </w:pPr>
          </w:p>
        </w:tc>
        <w:tc>
          <w:tcPr>
            <w:tcW w:w="1280" w:type="dxa"/>
            <w:vAlign w:val="bottom"/>
            <w:gridSpan w:val="4"/>
            <w:vMerge w:val="restart"/>
          </w:tcPr>
          <w:p>
            <w:pPr>
              <w:ind w:left="60"/>
              <w:spacing w:after="0"/>
              <w:rPr>
                <w:sz w:val="20"/>
                <w:szCs w:val="20"/>
                <w:color w:val="auto"/>
              </w:rPr>
            </w:pPr>
            <w:r>
              <w:rPr>
                <w:rFonts w:ascii="Arial" w:cs="Arial" w:eastAsia="Arial" w:hAnsi="Arial"/>
                <w:sz w:val="14"/>
                <w:szCs w:val="14"/>
                <w:b w:val="1"/>
                <w:bCs w:val="1"/>
                <w:color w:val="auto"/>
                <w:w w:val="92"/>
              </w:rPr>
              <w:t>Dividends Declared</w:t>
            </w:r>
          </w:p>
        </w:tc>
        <w:tc>
          <w:tcPr>
            <w:tcW w:w="0" w:type="dxa"/>
            <w:vAlign w:val="bottom"/>
          </w:tcPr>
          <w:p>
            <w:pPr>
              <w:spacing w:after="0"/>
              <w:rPr>
                <w:sz w:val="1"/>
                <w:szCs w:val="1"/>
                <w:color w:val="auto"/>
              </w:rPr>
            </w:pPr>
          </w:p>
        </w:tc>
      </w:tr>
      <w:tr>
        <w:trPr>
          <w:trHeight w:val="142"/>
        </w:trPr>
        <w:tc>
          <w:tcPr>
            <w:tcW w:w="70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Quarter</w:t>
            </w:r>
          </w:p>
        </w:tc>
        <w:tc>
          <w:tcPr>
            <w:tcW w:w="200" w:type="dxa"/>
            <w:vAlign w:val="bottom"/>
          </w:tcPr>
          <w:p>
            <w:pPr>
              <w:spacing w:after="0"/>
              <w:rPr>
                <w:sz w:val="12"/>
                <w:szCs w:val="12"/>
                <w:color w:val="auto"/>
              </w:rPr>
            </w:pPr>
          </w:p>
        </w:tc>
        <w:tc>
          <w:tcPr>
            <w:tcW w:w="1220" w:type="dxa"/>
            <w:vAlign w:val="bottom"/>
            <w:tcBorders>
              <w:top w:val="single" w:sz="8" w:color="auto"/>
            </w:tcBorders>
            <w:gridSpan w:val="3"/>
          </w:tcPr>
          <w:p>
            <w:pPr>
              <w:jc w:val="right"/>
              <w:ind w:right="382"/>
              <w:spacing w:after="0" w:line="142" w:lineRule="exact"/>
              <w:rPr>
                <w:sz w:val="20"/>
                <w:szCs w:val="20"/>
                <w:color w:val="auto"/>
              </w:rPr>
            </w:pPr>
            <w:r>
              <w:rPr>
                <w:rFonts w:ascii="Arial" w:cs="Arial" w:eastAsia="Arial" w:hAnsi="Arial"/>
                <w:sz w:val="14"/>
                <w:szCs w:val="14"/>
                <w:b w:val="1"/>
                <w:bCs w:val="1"/>
                <w:color w:val="auto"/>
              </w:rPr>
              <w:t>2006</w:t>
            </w:r>
          </w:p>
        </w:tc>
        <w:tc>
          <w:tcPr>
            <w:tcW w:w="1440" w:type="dxa"/>
            <w:vAlign w:val="bottom"/>
            <w:tcBorders>
              <w:top w:val="single" w:sz="8" w:color="auto"/>
            </w:tcBorders>
            <w:gridSpan w:val="4"/>
          </w:tcPr>
          <w:p>
            <w:pPr>
              <w:jc w:val="right"/>
              <w:ind w:right="412"/>
              <w:spacing w:after="0" w:line="142" w:lineRule="exact"/>
              <w:rPr>
                <w:sz w:val="20"/>
                <w:szCs w:val="20"/>
                <w:color w:val="auto"/>
              </w:rPr>
            </w:pPr>
            <w:r>
              <w:rPr>
                <w:rFonts w:ascii="Arial" w:cs="Arial" w:eastAsia="Arial" w:hAnsi="Arial"/>
                <w:sz w:val="14"/>
                <w:szCs w:val="14"/>
                <w:b w:val="1"/>
                <w:bCs w:val="1"/>
                <w:color w:val="auto"/>
              </w:rPr>
              <w:t>2005</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4"/>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7080" w:type="dxa"/>
            <w:vAlign w:val="bottom"/>
            <w:gridSpan w:val="2"/>
            <w:vMerge w:val="continue"/>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Borders>
              <w:top w:val="single" w:sz="8" w:color="auto"/>
            </w:tcBorders>
          </w:tcPr>
          <w:p>
            <w:pPr>
              <w:jc w:val="right"/>
              <w:ind w:right="27"/>
              <w:spacing w:after="0" w:line="129" w:lineRule="exact"/>
              <w:rPr>
                <w:sz w:val="20"/>
                <w:szCs w:val="20"/>
                <w:color w:val="auto"/>
              </w:rPr>
            </w:pPr>
            <w:r>
              <w:rPr>
                <w:rFonts w:ascii="Arial" w:cs="Arial" w:eastAsia="Arial" w:hAnsi="Arial"/>
                <w:sz w:val="14"/>
                <w:szCs w:val="14"/>
                <w:b w:val="1"/>
                <w:bCs w:val="1"/>
                <w:color w:val="auto"/>
              </w:rPr>
              <w:t>High</w:t>
            </w:r>
          </w:p>
        </w:tc>
        <w:tc>
          <w:tcPr>
            <w:tcW w:w="22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jc w:val="right"/>
              <w:ind w:right="42"/>
              <w:spacing w:after="0" w:line="129" w:lineRule="exact"/>
              <w:rPr>
                <w:sz w:val="20"/>
                <w:szCs w:val="20"/>
                <w:color w:val="auto"/>
              </w:rPr>
            </w:pPr>
            <w:r>
              <w:rPr>
                <w:rFonts w:ascii="Arial" w:cs="Arial" w:eastAsia="Arial" w:hAnsi="Arial"/>
                <w:sz w:val="14"/>
                <w:szCs w:val="14"/>
                <w:b w:val="1"/>
                <w:bCs w:val="1"/>
                <w:color w:val="auto"/>
              </w:rPr>
              <w:t>Low</w:t>
            </w:r>
          </w:p>
        </w:tc>
        <w:tc>
          <w:tcPr>
            <w:tcW w:w="220" w:type="dxa"/>
            <w:vAlign w:val="bottom"/>
          </w:tcPr>
          <w:p>
            <w:pPr>
              <w:spacing w:after="0"/>
              <w:rPr>
                <w:sz w:val="11"/>
                <w:szCs w:val="11"/>
                <w:color w:val="auto"/>
              </w:rPr>
            </w:pPr>
          </w:p>
        </w:tc>
        <w:tc>
          <w:tcPr>
            <w:tcW w:w="500" w:type="dxa"/>
            <w:vAlign w:val="bottom"/>
            <w:tcBorders>
              <w:top w:val="single" w:sz="8" w:color="auto"/>
            </w:tcBorders>
          </w:tcPr>
          <w:p>
            <w:pPr>
              <w:jc w:val="right"/>
              <w:ind w:right="32"/>
              <w:spacing w:after="0" w:line="129" w:lineRule="exact"/>
              <w:rPr>
                <w:sz w:val="20"/>
                <w:szCs w:val="20"/>
                <w:color w:val="auto"/>
              </w:rPr>
            </w:pPr>
            <w:r>
              <w:rPr>
                <w:rFonts w:ascii="Arial" w:cs="Arial" w:eastAsia="Arial" w:hAnsi="Arial"/>
                <w:sz w:val="14"/>
                <w:szCs w:val="14"/>
                <w:b w:val="1"/>
                <w:bCs w:val="1"/>
                <w:color w:val="auto"/>
              </w:rPr>
              <w:t>High</w:t>
            </w:r>
          </w:p>
        </w:tc>
        <w:tc>
          <w:tcPr>
            <w:tcW w:w="22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jc w:val="right"/>
              <w:ind w:right="52"/>
              <w:spacing w:after="0" w:line="129" w:lineRule="exact"/>
              <w:rPr>
                <w:sz w:val="20"/>
                <w:szCs w:val="20"/>
                <w:color w:val="auto"/>
              </w:rPr>
            </w:pPr>
            <w:r>
              <w:rPr>
                <w:rFonts w:ascii="Arial" w:cs="Arial" w:eastAsia="Arial" w:hAnsi="Arial"/>
                <w:sz w:val="14"/>
                <w:szCs w:val="14"/>
                <w:b w:val="1"/>
                <w:bCs w:val="1"/>
                <w:color w:val="auto"/>
              </w:rPr>
              <w:t>Low</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Borders>
              <w:top w:val="single" w:sz="8" w:color="auto"/>
            </w:tcBorders>
          </w:tcPr>
          <w:p>
            <w:pPr>
              <w:jc w:val="right"/>
              <w:ind w:right="52"/>
              <w:spacing w:after="0" w:line="129" w:lineRule="exact"/>
              <w:rPr>
                <w:sz w:val="20"/>
                <w:szCs w:val="20"/>
                <w:color w:val="auto"/>
              </w:rPr>
            </w:pPr>
            <w:r>
              <w:rPr>
                <w:rFonts w:ascii="Arial" w:cs="Arial" w:eastAsia="Arial" w:hAnsi="Arial"/>
                <w:sz w:val="14"/>
                <w:szCs w:val="14"/>
                <w:b w:val="1"/>
                <w:bCs w:val="1"/>
                <w:color w:val="auto"/>
              </w:rPr>
              <w:t>2006</w:t>
            </w:r>
          </w:p>
        </w:tc>
        <w:tc>
          <w:tcPr>
            <w:tcW w:w="760" w:type="dxa"/>
            <w:vAlign w:val="bottom"/>
            <w:tcBorders>
              <w:top w:val="single" w:sz="8" w:color="auto"/>
            </w:tcBorders>
            <w:gridSpan w:val="2"/>
          </w:tcPr>
          <w:p>
            <w:pPr>
              <w:jc w:val="right"/>
              <w:ind w:right="140"/>
              <w:spacing w:after="0" w:line="129" w:lineRule="exact"/>
              <w:rPr>
                <w:sz w:val="20"/>
                <w:szCs w:val="20"/>
                <w:color w:val="auto"/>
              </w:rPr>
            </w:pPr>
            <w:r>
              <w:rPr>
                <w:rFonts w:ascii="Arial" w:cs="Arial" w:eastAsia="Arial" w:hAnsi="Arial"/>
                <w:sz w:val="14"/>
                <w:szCs w:val="14"/>
                <w:b w:val="1"/>
                <w:bCs w:val="1"/>
                <w:color w:val="auto"/>
              </w:rPr>
              <w:t>2005</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70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060" w:type="dxa"/>
            <w:vAlign w:val="bottom"/>
            <w:shd w:val="clear" w:color="auto" w:fill="CCEEFF"/>
          </w:tcPr>
          <w:p>
            <w:pPr>
              <w:spacing w:after="0"/>
              <w:rPr>
                <w:sz w:val="20"/>
                <w:szCs w:val="20"/>
                <w:color w:val="auto"/>
              </w:rPr>
            </w:pPr>
            <w:r>
              <w:rPr>
                <w:rFonts w:ascii="Arial" w:cs="Arial" w:eastAsia="Arial" w:hAnsi="Arial"/>
                <w:sz w:val="18"/>
                <w:szCs w:val="18"/>
                <w:color w:val="auto"/>
              </w:rPr>
              <w:t>First</w:t>
            </w: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$19.60</w:t>
            </w: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$17.99</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$20.26</w:t>
            </w:r>
          </w:p>
        </w:tc>
        <w:tc>
          <w:tcPr>
            <w:tcW w:w="8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$18.00</w:t>
            </w: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0.20</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0.20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tcPr>
          <w:p>
            <w:pPr>
              <w:spacing w:after="0"/>
              <w:rPr>
                <w:sz w:val="20"/>
                <w:szCs w:val="20"/>
                <w:color w:val="auto"/>
              </w:rPr>
            </w:pPr>
            <w:r>
              <w:rPr>
                <w:rFonts w:ascii="Arial" w:cs="Arial" w:eastAsia="Arial" w:hAnsi="Arial"/>
                <w:sz w:val="18"/>
                <w:szCs w:val="18"/>
                <w:color w:val="auto"/>
              </w:rPr>
              <w:t>Second</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19.95</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16.59</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21.03</w:t>
            </w:r>
          </w:p>
        </w:tc>
        <w:tc>
          <w:tcPr>
            <w:tcW w:w="820" w:type="dxa"/>
            <w:vAlign w:val="bottom"/>
            <w:gridSpan w:val="3"/>
          </w:tcPr>
          <w:p>
            <w:pPr>
              <w:jc w:val="right"/>
              <w:ind w:right="100"/>
              <w:spacing w:after="0"/>
              <w:rPr>
                <w:sz w:val="20"/>
                <w:szCs w:val="20"/>
                <w:color w:val="auto"/>
              </w:rPr>
            </w:pPr>
            <w:r>
              <w:rPr>
                <w:rFonts w:ascii="Arial" w:cs="Arial" w:eastAsia="Arial" w:hAnsi="Arial"/>
                <w:sz w:val="18"/>
                <w:szCs w:val="18"/>
                <w:color w:val="auto"/>
              </w:rPr>
              <w:t>18.13</w:t>
            </w: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0.20</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0.20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shd w:val="clear" w:color="auto" w:fill="CCEEFF"/>
          </w:tcPr>
          <w:p>
            <w:pPr>
              <w:spacing w:after="0"/>
              <w:rPr>
                <w:sz w:val="20"/>
                <w:szCs w:val="20"/>
                <w:color w:val="auto"/>
              </w:rPr>
            </w:pPr>
            <w:r>
              <w:rPr>
                <w:rFonts w:ascii="Arial" w:cs="Arial" w:eastAsia="Arial" w:hAnsi="Arial"/>
                <w:sz w:val="18"/>
                <w:szCs w:val="18"/>
                <w:color w:val="auto"/>
              </w:rPr>
              <w:t>Third</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18.51</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16.56</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20.17</w:t>
            </w:r>
          </w:p>
        </w:tc>
        <w:tc>
          <w:tcPr>
            <w:tcW w:w="8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18.56</w:t>
            </w: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0.20</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0.20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7060" w:type="dxa"/>
            <w:vAlign w:val="bottom"/>
          </w:tcPr>
          <w:p>
            <w:pPr>
              <w:spacing w:after="0"/>
              <w:rPr>
                <w:sz w:val="20"/>
                <w:szCs w:val="20"/>
                <w:color w:val="auto"/>
              </w:rPr>
            </w:pPr>
            <w:r>
              <w:rPr>
                <w:rFonts w:ascii="Arial" w:cs="Arial" w:eastAsia="Arial" w:hAnsi="Arial"/>
                <w:sz w:val="18"/>
                <w:szCs w:val="18"/>
                <w:color w:val="auto"/>
              </w:rPr>
              <w:t>Fourth</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17.48</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15.24</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19.62</w:t>
            </w:r>
          </w:p>
        </w:tc>
        <w:tc>
          <w:tcPr>
            <w:tcW w:w="820" w:type="dxa"/>
            <w:vAlign w:val="bottom"/>
            <w:gridSpan w:val="3"/>
          </w:tcPr>
          <w:p>
            <w:pPr>
              <w:jc w:val="right"/>
              <w:ind w:right="100"/>
              <w:spacing w:after="0"/>
              <w:rPr>
                <w:sz w:val="20"/>
                <w:szCs w:val="20"/>
                <w:color w:val="auto"/>
              </w:rPr>
            </w:pPr>
            <w:r>
              <w:rPr>
                <w:rFonts w:ascii="Arial" w:cs="Arial" w:eastAsia="Arial" w:hAnsi="Arial"/>
                <w:sz w:val="18"/>
                <w:szCs w:val="18"/>
                <w:color w:val="auto"/>
              </w:rPr>
              <w:t>17.80</w:t>
            </w: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0.20</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0.20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30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60" w:type="dxa"/>
            <w:vAlign w:val="bottom"/>
          </w:tcPr>
          <w:p>
            <w:pPr>
              <w:spacing w:after="0"/>
              <w:rPr>
                <w:sz w:val="14"/>
                <w:szCs w:val="14"/>
                <w:color w:val="auto"/>
              </w:rPr>
            </w:pPr>
          </w:p>
        </w:tc>
        <w:tc>
          <w:tcPr>
            <w:tcW w:w="37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1"/>
              </w:rPr>
              <w:t>Maximum Number (or</w:t>
            </w:r>
          </w:p>
        </w:tc>
      </w:tr>
      <w:tr>
        <w:trPr>
          <w:trHeight w:val="149"/>
        </w:trPr>
        <w:tc>
          <w:tcPr>
            <w:tcW w:w="960" w:type="dxa"/>
            <w:vAlign w:val="bottom"/>
          </w:tcPr>
          <w:p>
            <w:pPr>
              <w:spacing w:after="0"/>
              <w:rPr>
                <w:sz w:val="12"/>
                <w:szCs w:val="12"/>
                <w:color w:val="auto"/>
              </w:rPr>
            </w:pPr>
          </w:p>
        </w:tc>
        <w:tc>
          <w:tcPr>
            <w:tcW w:w="37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400" w:type="dxa"/>
            <w:vAlign w:val="bottom"/>
            <w:gridSpan w:val="2"/>
          </w:tcPr>
          <w:p>
            <w:pPr>
              <w:jc w:val="center"/>
              <w:ind w:right="720"/>
              <w:spacing w:after="0" w:line="149" w:lineRule="exact"/>
              <w:rPr>
                <w:sz w:val="20"/>
                <w:szCs w:val="20"/>
                <w:color w:val="auto"/>
              </w:rPr>
            </w:pPr>
            <w:r>
              <w:rPr>
                <w:rFonts w:ascii="Arial" w:cs="Arial" w:eastAsia="Arial" w:hAnsi="Arial"/>
                <w:sz w:val="14"/>
                <w:szCs w:val="14"/>
                <w:b w:val="1"/>
                <w:bCs w:val="1"/>
                <w:color w:val="auto"/>
                <w:w w:val="86"/>
              </w:rPr>
              <w:t>Total Number of Shares</w:t>
            </w:r>
          </w:p>
        </w:tc>
        <w:tc>
          <w:tcPr>
            <w:tcW w:w="174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89"/>
              </w:rPr>
              <w:t>Approximate Dollar Value) of</w:t>
            </w:r>
          </w:p>
        </w:tc>
      </w:tr>
      <w:tr>
        <w:trPr>
          <w:trHeight w:val="149"/>
        </w:trPr>
        <w:tc>
          <w:tcPr>
            <w:tcW w:w="960" w:type="dxa"/>
            <w:vAlign w:val="bottom"/>
          </w:tcPr>
          <w:p>
            <w:pPr>
              <w:spacing w:after="0"/>
              <w:rPr>
                <w:sz w:val="12"/>
                <w:szCs w:val="12"/>
                <w:color w:val="auto"/>
              </w:rPr>
            </w:pPr>
          </w:p>
        </w:tc>
        <w:tc>
          <w:tcPr>
            <w:tcW w:w="3780" w:type="dxa"/>
            <w:vAlign w:val="bottom"/>
          </w:tcPr>
          <w:p>
            <w:pPr>
              <w:spacing w:after="0"/>
              <w:rPr>
                <w:sz w:val="12"/>
                <w:szCs w:val="12"/>
                <w:color w:val="auto"/>
              </w:rPr>
            </w:pPr>
          </w:p>
        </w:tc>
        <w:tc>
          <w:tcPr>
            <w:tcW w:w="98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9"/>
              </w:rPr>
              <w:t>Total</w:t>
            </w:r>
          </w:p>
        </w:tc>
        <w:tc>
          <w:tcPr>
            <w:tcW w:w="360" w:type="dxa"/>
            <w:vAlign w:val="bottom"/>
          </w:tcPr>
          <w:p>
            <w:pPr>
              <w:spacing w:after="0"/>
              <w:rPr>
                <w:sz w:val="12"/>
                <w:szCs w:val="12"/>
                <w:color w:val="auto"/>
              </w:rPr>
            </w:pPr>
          </w:p>
        </w:tc>
        <w:tc>
          <w:tcPr>
            <w:tcW w:w="1220" w:type="dxa"/>
            <w:vAlign w:val="bottom"/>
            <w:gridSpan w:val="2"/>
          </w:tcPr>
          <w:p>
            <w:pPr>
              <w:jc w:val="center"/>
              <w:ind w:right="720"/>
              <w:spacing w:after="0" w:line="149" w:lineRule="exact"/>
              <w:rPr>
                <w:sz w:val="20"/>
                <w:szCs w:val="20"/>
                <w:color w:val="auto"/>
              </w:rPr>
            </w:pPr>
            <w:r>
              <w:rPr>
                <w:rFonts w:ascii="Arial" w:cs="Arial" w:eastAsia="Arial" w:hAnsi="Arial"/>
                <w:sz w:val="14"/>
                <w:szCs w:val="14"/>
                <w:b w:val="1"/>
                <w:bCs w:val="1"/>
                <w:color w:val="auto"/>
                <w:w w:val="83"/>
              </w:rPr>
              <w:t>Avg</w:t>
            </w:r>
          </w:p>
        </w:tc>
        <w:tc>
          <w:tcPr>
            <w:tcW w:w="2400" w:type="dxa"/>
            <w:vAlign w:val="bottom"/>
            <w:gridSpan w:val="2"/>
          </w:tcPr>
          <w:p>
            <w:pPr>
              <w:jc w:val="center"/>
              <w:ind w:right="720"/>
              <w:spacing w:after="0" w:line="149" w:lineRule="exact"/>
              <w:rPr>
                <w:sz w:val="20"/>
                <w:szCs w:val="20"/>
                <w:color w:val="auto"/>
              </w:rPr>
            </w:pPr>
            <w:r>
              <w:rPr>
                <w:rFonts w:ascii="Arial" w:cs="Arial" w:eastAsia="Arial" w:hAnsi="Arial"/>
                <w:sz w:val="14"/>
                <w:szCs w:val="14"/>
                <w:b w:val="1"/>
                <w:bCs w:val="1"/>
                <w:color w:val="auto"/>
                <w:w w:val="86"/>
              </w:rPr>
              <w:t>Purchased as Part of</w:t>
            </w:r>
          </w:p>
        </w:tc>
        <w:tc>
          <w:tcPr>
            <w:tcW w:w="140" w:type="dxa"/>
            <w:vAlign w:val="bottom"/>
          </w:tcPr>
          <w:p>
            <w:pPr>
              <w:spacing w:after="0"/>
              <w:rPr>
                <w:sz w:val="12"/>
                <w:szCs w:val="12"/>
                <w:color w:val="auto"/>
              </w:rPr>
            </w:pPr>
          </w:p>
        </w:tc>
        <w:tc>
          <w:tcPr>
            <w:tcW w:w="16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7"/>
              </w:rPr>
              <w:t>Shares that May Yet Be</w:t>
            </w:r>
          </w:p>
        </w:tc>
      </w:tr>
      <w:tr>
        <w:trPr>
          <w:trHeight w:val="149"/>
        </w:trPr>
        <w:tc>
          <w:tcPr>
            <w:tcW w:w="960" w:type="dxa"/>
            <w:vAlign w:val="bottom"/>
          </w:tcPr>
          <w:p>
            <w:pPr>
              <w:spacing w:after="0"/>
              <w:rPr>
                <w:sz w:val="12"/>
                <w:szCs w:val="12"/>
                <w:color w:val="auto"/>
              </w:rPr>
            </w:pPr>
          </w:p>
        </w:tc>
        <w:tc>
          <w:tcPr>
            <w:tcW w:w="3780" w:type="dxa"/>
            <w:vAlign w:val="bottom"/>
          </w:tcPr>
          <w:p>
            <w:pPr>
              <w:spacing w:after="0"/>
              <w:rPr>
                <w:sz w:val="12"/>
                <w:szCs w:val="12"/>
                <w:color w:val="auto"/>
              </w:rPr>
            </w:pPr>
          </w:p>
        </w:tc>
        <w:tc>
          <w:tcPr>
            <w:tcW w:w="98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1"/>
              </w:rPr>
              <w:t>Shares</w:t>
            </w:r>
          </w:p>
        </w:tc>
        <w:tc>
          <w:tcPr>
            <w:tcW w:w="360" w:type="dxa"/>
            <w:vAlign w:val="bottom"/>
          </w:tcPr>
          <w:p>
            <w:pPr>
              <w:spacing w:after="0"/>
              <w:rPr>
                <w:sz w:val="12"/>
                <w:szCs w:val="12"/>
                <w:color w:val="auto"/>
              </w:rPr>
            </w:pPr>
          </w:p>
        </w:tc>
        <w:tc>
          <w:tcPr>
            <w:tcW w:w="1220" w:type="dxa"/>
            <w:vAlign w:val="bottom"/>
            <w:gridSpan w:val="2"/>
          </w:tcPr>
          <w:p>
            <w:pPr>
              <w:jc w:val="center"/>
              <w:ind w:right="720"/>
              <w:spacing w:after="0" w:line="149" w:lineRule="exact"/>
              <w:rPr>
                <w:sz w:val="20"/>
                <w:szCs w:val="20"/>
                <w:color w:val="auto"/>
              </w:rPr>
            </w:pPr>
            <w:r>
              <w:rPr>
                <w:rFonts w:ascii="Arial" w:cs="Arial" w:eastAsia="Arial" w:hAnsi="Arial"/>
                <w:sz w:val="14"/>
                <w:szCs w:val="14"/>
                <w:b w:val="1"/>
                <w:bCs w:val="1"/>
                <w:color w:val="auto"/>
                <w:w w:val="87"/>
              </w:rPr>
              <w:t>Price</w:t>
            </w:r>
          </w:p>
        </w:tc>
        <w:tc>
          <w:tcPr>
            <w:tcW w:w="2400" w:type="dxa"/>
            <w:vAlign w:val="bottom"/>
            <w:gridSpan w:val="2"/>
          </w:tcPr>
          <w:p>
            <w:pPr>
              <w:jc w:val="center"/>
              <w:ind w:right="720"/>
              <w:spacing w:after="0" w:line="149" w:lineRule="exact"/>
              <w:rPr>
                <w:sz w:val="20"/>
                <w:szCs w:val="20"/>
                <w:color w:val="auto"/>
              </w:rPr>
            </w:pPr>
            <w:r>
              <w:rPr>
                <w:rFonts w:ascii="Arial" w:cs="Arial" w:eastAsia="Arial" w:hAnsi="Arial"/>
                <w:sz w:val="14"/>
                <w:szCs w:val="14"/>
                <w:b w:val="1"/>
                <w:bCs w:val="1"/>
                <w:color w:val="auto"/>
                <w:w w:val="86"/>
              </w:rPr>
              <w:t>Publicly Announced Plans or</w:t>
            </w:r>
          </w:p>
        </w:tc>
        <w:tc>
          <w:tcPr>
            <w:tcW w:w="174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85"/>
              </w:rPr>
              <w:t>Purchased Under the Plans</w:t>
            </w:r>
          </w:p>
        </w:tc>
      </w:tr>
      <w:tr>
        <w:trPr>
          <w:trHeight w:val="175"/>
        </w:trPr>
        <w:tc>
          <w:tcPr>
            <w:tcW w:w="960" w:type="dxa"/>
            <w:vAlign w:val="bottom"/>
          </w:tcPr>
          <w:p>
            <w:pPr>
              <w:spacing w:after="0"/>
              <w:rPr>
                <w:sz w:val="15"/>
                <w:szCs w:val="15"/>
                <w:color w:val="auto"/>
              </w:rPr>
            </w:pPr>
          </w:p>
        </w:tc>
        <w:tc>
          <w:tcPr>
            <w:tcW w:w="3780" w:type="dxa"/>
            <w:vAlign w:val="bottom"/>
          </w:tcPr>
          <w:p>
            <w:pPr>
              <w:spacing w:after="0"/>
              <w:rPr>
                <w:sz w:val="15"/>
                <w:szCs w:val="15"/>
                <w:color w:val="auto"/>
              </w:rPr>
            </w:pPr>
          </w:p>
        </w:tc>
        <w:tc>
          <w:tcPr>
            <w:tcW w:w="6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Purchased</w:t>
            </w:r>
          </w:p>
        </w:tc>
        <w:tc>
          <w:tcPr>
            <w:tcW w:w="3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5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Paid</w:t>
            </w:r>
          </w:p>
        </w:tc>
        <w:tc>
          <w:tcPr>
            <w:tcW w:w="720" w:type="dxa"/>
            <w:vAlign w:val="bottom"/>
          </w:tcPr>
          <w:p>
            <w:pPr>
              <w:spacing w:after="0"/>
              <w:rPr>
                <w:sz w:val="15"/>
                <w:szCs w:val="15"/>
                <w:color w:val="auto"/>
              </w:rPr>
            </w:pP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Programs (1)</w:t>
            </w:r>
          </w:p>
        </w:tc>
        <w:tc>
          <w:tcPr>
            <w:tcW w:w="72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58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88"/>
              </w:rPr>
              <w:t>or Programs (1)</w:t>
            </w:r>
          </w:p>
        </w:tc>
        <w:tc>
          <w:tcPr>
            <w:tcW w:w="20" w:type="dxa"/>
            <w:vAlign w:val="bottom"/>
          </w:tcPr>
          <w:p>
            <w:pPr>
              <w:spacing w:after="0"/>
              <w:rPr>
                <w:sz w:val="15"/>
                <w:szCs w:val="15"/>
                <w:color w:val="auto"/>
              </w:rPr>
            </w:pPr>
          </w:p>
        </w:tc>
      </w:tr>
      <w:tr>
        <w:trPr>
          <w:trHeight w:val="210"/>
        </w:trPr>
        <w:tc>
          <w:tcPr>
            <w:tcW w:w="4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August 27 - September 30, 2006</w:t>
            </w:r>
          </w:p>
        </w:tc>
        <w:tc>
          <w:tcPr>
            <w:tcW w:w="9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n/a</w:t>
            </w:r>
          </w:p>
        </w:tc>
        <w:tc>
          <w:tcPr>
            <w:tcW w:w="2400" w:type="dxa"/>
            <w:vAlign w:val="bottom"/>
            <w:gridSpan w:val="2"/>
            <w:shd w:val="clear" w:color="auto" w:fill="CCEEFF"/>
          </w:tcPr>
          <w:p>
            <w:pPr>
              <w:ind w:left="14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8,355</w:t>
            </w:r>
          </w:p>
        </w:tc>
        <w:tc>
          <w:tcPr>
            <w:tcW w:w="20" w:type="dxa"/>
            <w:vAlign w:val="bottom"/>
          </w:tcPr>
          <w:p>
            <w:pPr>
              <w:spacing w:after="0"/>
              <w:rPr>
                <w:sz w:val="18"/>
                <w:szCs w:val="18"/>
                <w:color w:val="auto"/>
              </w:rPr>
            </w:pPr>
          </w:p>
        </w:tc>
      </w:tr>
      <w:tr>
        <w:trPr>
          <w:trHeight w:val="216"/>
        </w:trPr>
        <w:tc>
          <w:tcPr>
            <w:tcW w:w="4740" w:type="dxa"/>
            <w:vAlign w:val="bottom"/>
            <w:gridSpan w:val="2"/>
          </w:tcPr>
          <w:p>
            <w:pPr>
              <w:spacing w:after="0"/>
              <w:rPr>
                <w:sz w:val="20"/>
                <w:szCs w:val="20"/>
                <w:color w:val="auto"/>
              </w:rPr>
            </w:pPr>
            <w:r>
              <w:rPr>
                <w:rFonts w:ascii="Arial" w:cs="Arial" w:eastAsia="Arial" w:hAnsi="Arial"/>
                <w:sz w:val="18"/>
                <w:szCs w:val="18"/>
                <w:color w:val="auto"/>
              </w:rPr>
              <w:t>October 1 - October 28, 2006</w:t>
            </w:r>
          </w:p>
        </w:tc>
        <w:tc>
          <w:tcPr>
            <w:tcW w:w="980" w:type="dxa"/>
            <w:vAlign w:val="bottom"/>
            <w:gridSpan w:val="2"/>
          </w:tcPr>
          <w:p>
            <w:pPr>
              <w:jc w:val="right"/>
              <w:ind w:right="360"/>
              <w:spacing w:after="0"/>
              <w:rPr>
                <w:sz w:val="20"/>
                <w:szCs w:val="20"/>
                <w:color w:val="auto"/>
              </w:rPr>
            </w:pPr>
            <w:r>
              <w:rPr>
                <w:rFonts w:ascii="Arial" w:cs="Arial" w:eastAsia="Arial" w:hAnsi="Arial"/>
                <w:sz w:val="18"/>
                <w:szCs w:val="18"/>
                <w:color w:val="auto"/>
              </w:rPr>
              <w:t>6,700</w:t>
            </w:r>
          </w:p>
        </w:tc>
        <w:tc>
          <w:tcPr>
            <w:tcW w:w="1580" w:type="dxa"/>
            <w:vAlign w:val="bottom"/>
            <w:gridSpan w:val="3"/>
          </w:tcPr>
          <w:p>
            <w:pPr>
              <w:jc w:val="center"/>
              <w:ind w:right="360"/>
              <w:spacing w:after="0"/>
              <w:rPr>
                <w:sz w:val="20"/>
                <w:szCs w:val="20"/>
                <w:color w:val="auto"/>
              </w:rPr>
            </w:pPr>
            <w:r>
              <w:rPr>
                <w:rFonts w:ascii="Arial" w:cs="Arial" w:eastAsia="Arial" w:hAnsi="Arial"/>
                <w:sz w:val="18"/>
                <w:szCs w:val="18"/>
                <w:color w:val="auto"/>
                <w:w w:val="90"/>
              </w:rPr>
              <w:t>$15.41</w:t>
            </w:r>
          </w:p>
        </w:tc>
        <w:tc>
          <w:tcPr>
            <w:tcW w:w="2400" w:type="dxa"/>
            <w:vAlign w:val="bottom"/>
            <w:gridSpan w:val="2"/>
          </w:tcPr>
          <w:p>
            <w:pPr>
              <w:jc w:val="right"/>
              <w:ind w:right="720"/>
              <w:spacing w:after="0"/>
              <w:rPr>
                <w:sz w:val="20"/>
                <w:szCs w:val="20"/>
                <w:color w:val="auto"/>
              </w:rPr>
            </w:pPr>
            <w:r>
              <w:rPr>
                <w:rFonts w:ascii="Arial" w:cs="Arial" w:eastAsia="Arial" w:hAnsi="Arial"/>
                <w:sz w:val="18"/>
                <w:szCs w:val="18"/>
                <w:color w:val="auto"/>
              </w:rPr>
              <w:t>6,700</w:t>
            </w:r>
          </w:p>
        </w:tc>
        <w:tc>
          <w:tcPr>
            <w:tcW w:w="14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8,252</w:t>
            </w:r>
          </w:p>
        </w:tc>
        <w:tc>
          <w:tcPr>
            <w:tcW w:w="20" w:type="dxa"/>
            <w:vAlign w:val="bottom"/>
          </w:tcPr>
          <w:p>
            <w:pPr>
              <w:spacing w:after="0"/>
              <w:rPr>
                <w:sz w:val="18"/>
                <w:szCs w:val="18"/>
                <w:color w:val="auto"/>
              </w:rPr>
            </w:pPr>
          </w:p>
        </w:tc>
      </w:tr>
      <w:tr>
        <w:trPr>
          <w:trHeight w:val="216"/>
        </w:trPr>
        <w:tc>
          <w:tcPr>
            <w:tcW w:w="4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October 29 - November 25, 2006</w:t>
            </w:r>
          </w:p>
        </w:tc>
        <w:tc>
          <w:tcPr>
            <w:tcW w:w="9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n/a</w:t>
            </w:r>
          </w:p>
        </w:tc>
        <w:tc>
          <w:tcPr>
            <w:tcW w:w="2400" w:type="dxa"/>
            <w:vAlign w:val="bottom"/>
            <w:gridSpan w:val="2"/>
            <w:shd w:val="clear" w:color="auto" w:fill="CCEEFF"/>
          </w:tcPr>
          <w:p>
            <w:pPr>
              <w:ind w:left="14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8,252</w:t>
            </w:r>
          </w:p>
        </w:tc>
        <w:tc>
          <w:tcPr>
            <w:tcW w:w="20" w:type="dxa"/>
            <w:vAlign w:val="bottom"/>
          </w:tcPr>
          <w:p>
            <w:pPr>
              <w:spacing w:after="0"/>
              <w:rPr>
                <w:sz w:val="18"/>
                <w:szCs w:val="18"/>
                <w:color w:val="auto"/>
              </w:rPr>
            </w:pPr>
          </w:p>
        </w:tc>
      </w:tr>
      <w:tr>
        <w:trPr>
          <w:trHeight w:val="108"/>
        </w:trPr>
        <w:tc>
          <w:tcPr>
            <w:tcW w:w="960" w:type="dxa"/>
            <w:vAlign w:val="bottom"/>
            <w:tcBorders>
              <w:bottom w:val="single" w:sz="8" w:color="auto"/>
            </w:tcBorders>
          </w:tcPr>
          <w:p>
            <w:pPr>
              <w:spacing w:after="0"/>
              <w:rPr>
                <w:sz w:val="9"/>
                <w:szCs w:val="9"/>
                <w:color w:val="auto"/>
              </w:rPr>
            </w:pPr>
          </w:p>
        </w:tc>
        <w:tc>
          <w:tcPr>
            <w:tcW w:w="3780" w:type="dxa"/>
            <w:vAlign w:val="bottom"/>
          </w:tcPr>
          <w:p>
            <w:pPr>
              <w:spacing w:after="0"/>
              <w:rPr>
                <w:sz w:val="9"/>
                <w:szCs w:val="9"/>
                <w:color w:val="auto"/>
              </w:rPr>
            </w:pPr>
          </w:p>
        </w:tc>
        <w:tc>
          <w:tcPr>
            <w:tcW w:w="620" w:type="dxa"/>
            <w:vAlign w:val="bottom"/>
          </w:tcPr>
          <w:p>
            <w:pPr>
              <w:spacing w:after="0"/>
              <w:rPr>
                <w:sz w:val="9"/>
                <w:szCs w:val="9"/>
                <w:color w:val="auto"/>
              </w:rPr>
            </w:pPr>
          </w:p>
        </w:tc>
        <w:tc>
          <w:tcPr>
            <w:tcW w:w="360" w:type="dxa"/>
            <w:vAlign w:val="bottom"/>
          </w:tcPr>
          <w:p>
            <w:pPr>
              <w:spacing w:after="0"/>
              <w:rPr>
                <w:sz w:val="9"/>
                <w:szCs w:val="9"/>
                <w:color w:val="auto"/>
              </w:rPr>
            </w:pPr>
          </w:p>
        </w:tc>
        <w:tc>
          <w:tcPr>
            <w:tcW w:w="360" w:type="dxa"/>
            <w:vAlign w:val="bottom"/>
          </w:tcPr>
          <w:p>
            <w:pPr>
              <w:spacing w:after="0"/>
              <w:rPr>
                <w:sz w:val="9"/>
                <w:szCs w:val="9"/>
                <w:color w:val="auto"/>
              </w:rPr>
            </w:pPr>
          </w:p>
        </w:tc>
        <w:tc>
          <w:tcPr>
            <w:tcW w:w="500" w:type="dxa"/>
            <w:vAlign w:val="bottom"/>
          </w:tcPr>
          <w:p>
            <w:pPr>
              <w:spacing w:after="0"/>
              <w:rPr>
                <w:sz w:val="9"/>
                <w:szCs w:val="9"/>
                <w:color w:val="auto"/>
              </w:rPr>
            </w:pPr>
          </w:p>
        </w:tc>
        <w:tc>
          <w:tcPr>
            <w:tcW w:w="720" w:type="dxa"/>
            <w:vAlign w:val="bottom"/>
          </w:tcPr>
          <w:p>
            <w:pPr>
              <w:spacing w:after="0"/>
              <w:rPr>
                <w:sz w:val="9"/>
                <w:szCs w:val="9"/>
                <w:color w:val="auto"/>
              </w:rPr>
            </w:pPr>
          </w:p>
        </w:tc>
        <w:tc>
          <w:tcPr>
            <w:tcW w:w="1680" w:type="dxa"/>
            <w:vAlign w:val="bottom"/>
          </w:tcPr>
          <w:p>
            <w:pPr>
              <w:spacing w:after="0"/>
              <w:rPr>
                <w:sz w:val="9"/>
                <w:szCs w:val="9"/>
                <w:color w:val="auto"/>
              </w:rPr>
            </w:pPr>
          </w:p>
        </w:tc>
        <w:tc>
          <w:tcPr>
            <w:tcW w:w="7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580" w:type="dxa"/>
            <w:vAlign w:val="bottom"/>
          </w:tcPr>
          <w:p>
            <w:pPr>
              <w:spacing w:after="0"/>
              <w:rPr>
                <w:sz w:val="9"/>
                <w:szCs w:val="9"/>
                <w:color w:val="auto"/>
              </w:rPr>
            </w:pPr>
          </w:p>
        </w:tc>
        <w:tc>
          <w:tcPr>
            <w:tcW w:w="20" w:type="dxa"/>
            <w:vAlign w:val="bottom"/>
          </w:tcPr>
          <w:p>
            <w:pPr>
              <w:spacing w:after="0"/>
              <w:rPr>
                <w:sz w:val="9"/>
                <w:szCs w:val="9"/>
                <w:color w:val="auto"/>
              </w:rPr>
            </w:pPr>
          </w:p>
        </w:tc>
      </w:tr>
    </w:tbl>
    <w:p>
      <w:pPr>
        <w:spacing w:after="0" w:line="100" w:lineRule="exact"/>
        <w:rPr>
          <w:sz w:val="20"/>
          <w:szCs w:val="20"/>
          <w:color w:val="auto"/>
        </w:rPr>
      </w:pPr>
    </w:p>
    <w:p>
      <w:pPr>
        <w:ind w:left="460" w:right="320" w:hanging="452"/>
        <w:spacing w:after="0" w:line="268" w:lineRule="auto"/>
        <w:tabs>
          <w:tab w:leader="none" w:pos="4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Company’s Board of Directors has authorized the repurchase of up to $40,000 in Company stock. This repurchase plan was announced on June 23, 1998.</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459" w:right="2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6. </w:t>
      </w:r>
      <w:r>
        <w:rPr>
          <w:rFonts w:ascii="Arial" w:cs="Arial" w:eastAsia="Arial" w:hAnsi="Arial"/>
          <w:sz w:val="18"/>
          <w:szCs w:val="18"/>
          <w:u w:val="single" w:color="auto"/>
          <w:color w:val="auto"/>
        </w:rPr>
        <w:t>SELECTED FINANCIAL DATA</w:t>
      </w:r>
    </w:p>
    <w:p>
      <w:pPr>
        <w:spacing w:after="0" w:line="90" w:lineRule="exact"/>
        <w:rPr>
          <w:sz w:val="20"/>
          <w:szCs w:val="20"/>
          <w:color w:val="auto"/>
        </w:rPr>
      </w:pPr>
    </w:p>
    <w:p>
      <w:pPr>
        <w:ind w:left="460" w:right="160"/>
        <w:spacing w:after="0" w:line="306" w:lineRule="auto"/>
        <w:rPr>
          <w:sz w:val="20"/>
          <w:szCs w:val="20"/>
          <w:color w:val="auto"/>
        </w:rPr>
      </w:pPr>
      <w:r>
        <w:rPr>
          <w:rFonts w:ascii="Arial" w:cs="Arial" w:eastAsia="Arial" w:hAnsi="Arial"/>
          <w:sz w:val="16"/>
          <w:szCs w:val="16"/>
          <w:color w:val="auto"/>
        </w:rPr>
        <w:t>The selected financial data set forth below for the fiscal years indicated were derived from our audited consolidated financial statements. The information should be read in conjunction with our consolidated financial statements (including the notes thereto) and “Management’s Discussion and Analysis of Financial Condition and Results of Operations” appearing elsewhere in, or incorporated by reference into, this report.</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60" w:type="dxa"/>
            <w:vAlign w:val="bottom"/>
          </w:tcPr>
          <w:p>
            <w:pPr>
              <w:spacing w:after="0"/>
              <w:rPr>
                <w:sz w:val="14"/>
                <w:szCs w:val="14"/>
                <w:color w:val="auto"/>
              </w:rPr>
            </w:pPr>
          </w:p>
        </w:tc>
        <w:tc>
          <w:tcPr>
            <w:tcW w:w="3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520" w:type="dxa"/>
            <w:vAlign w:val="bottom"/>
            <w:gridSpan w:val="2"/>
          </w:tcPr>
          <w:p>
            <w:pPr>
              <w:jc w:val="right"/>
              <w:ind w:right="660"/>
              <w:spacing w:after="0"/>
              <w:rPr>
                <w:sz w:val="20"/>
                <w:szCs w:val="20"/>
                <w:color w:val="auto"/>
              </w:rPr>
            </w:pPr>
            <w:r>
              <w:rPr>
                <w:rFonts w:ascii="Arial" w:cs="Arial" w:eastAsia="Arial" w:hAnsi="Arial"/>
                <w:sz w:val="14"/>
                <w:szCs w:val="14"/>
                <w:b w:val="1"/>
                <w:bCs w:val="1"/>
                <w:color w:val="auto"/>
                <w:w w:val="86"/>
              </w:rPr>
              <w:t>As restated (a)</w:t>
            </w:r>
          </w:p>
        </w:tc>
        <w:tc>
          <w:tcPr>
            <w:tcW w:w="1500" w:type="dxa"/>
            <w:vAlign w:val="bottom"/>
            <w:gridSpan w:val="2"/>
          </w:tcPr>
          <w:p>
            <w:pPr>
              <w:jc w:val="right"/>
              <w:ind w:right="640"/>
              <w:spacing w:after="0"/>
              <w:rPr>
                <w:sz w:val="20"/>
                <w:szCs w:val="20"/>
                <w:color w:val="auto"/>
              </w:rPr>
            </w:pPr>
            <w:r>
              <w:rPr>
                <w:rFonts w:ascii="Arial" w:cs="Arial" w:eastAsia="Arial" w:hAnsi="Arial"/>
                <w:sz w:val="14"/>
                <w:szCs w:val="14"/>
                <w:b w:val="1"/>
                <w:bCs w:val="1"/>
                <w:color w:val="auto"/>
                <w:w w:val="86"/>
              </w:rPr>
              <w:t>As restated (a)</w:t>
            </w:r>
          </w:p>
        </w:tc>
        <w:tc>
          <w:tcPr>
            <w:tcW w:w="1580" w:type="dxa"/>
            <w:vAlign w:val="bottom"/>
            <w:gridSpan w:val="2"/>
          </w:tcPr>
          <w:p>
            <w:pPr>
              <w:jc w:val="right"/>
              <w:ind w:right="700"/>
              <w:spacing w:after="0"/>
              <w:rPr>
                <w:sz w:val="20"/>
                <w:szCs w:val="20"/>
                <w:color w:val="auto"/>
              </w:rPr>
            </w:pPr>
            <w:r>
              <w:rPr>
                <w:rFonts w:ascii="Arial" w:cs="Arial" w:eastAsia="Arial" w:hAnsi="Arial"/>
                <w:sz w:val="14"/>
                <w:szCs w:val="14"/>
                <w:b w:val="1"/>
                <w:bCs w:val="1"/>
                <w:color w:val="auto"/>
                <w:w w:val="88"/>
              </w:rPr>
              <w:t>As restated (a)</w:t>
            </w:r>
          </w:p>
        </w:tc>
        <w:tc>
          <w:tcPr>
            <w:tcW w:w="110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86"/>
              </w:rPr>
              <w:t>As restated (a)</w:t>
            </w:r>
          </w:p>
        </w:tc>
      </w:tr>
      <w:tr>
        <w:trPr>
          <w:trHeight w:val="161"/>
        </w:trPr>
        <w:tc>
          <w:tcPr>
            <w:tcW w:w="960" w:type="dxa"/>
            <w:vAlign w:val="bottom"/>
          </w:tcPr>
          <w:p>
            <w:pPr>
              <w:spacing w:after="0"/>
              <w:rPr>
                <w:sz w:val="14"/>
                <w:szCs w:val="14"/>
                <w:color w:val="auto"/>
              </w:rPr>
            </w:pPr>
          </w:p>
        </w:tc>
        <w:tc>
          <w:tcPr>
            <w:tcW w:w="3200" w:type="dxa"/>
            <w:vAlign w:val="bottom"/>
          </w:tcPr>
          <w:p>
            <w:pPr>
              <w:spacing w:after="0"/>
              <w:rPr>
                <w:sz w:val="14"/>
                <w:szCs w:val="14"/>
                <w:color w:val="auto"/>
              </w:rPr>
            </w:pPr>
          </w:p>
        </w:tc>
        <w:tc>
          <w:tcPr>
            <w:tcW w:w="880" w:type="dxa"/>
            <w:vAlign w:val="bottom"/>
            <w:tcBorders>
              <w:bottom w:val="single" w:sz="8" w:color="auto"/>
            </w:tcBorders>
          </w:tcPr>
          <w:p>
            <w:pPr>
              <w:jc w:val="right"/>
              <w:ind w:right="213"/>
              <w:spacing w:after="0"/>
              <w:rPr>
                <w:sz w:val="20"/>
                <w:szCs w:val="20"/>
                <w:color w:val="auto"/>
              </w:rPr>
            </w:pPr>
            <w:r>
              <w:rPr>
                <w:rFonts w:ascii="Arial" w:cs="Arial" w:eastAsia="Arial" w:hAnsi="Arial"/>
                <w:sz w:val="14"/>
                <w:szCs w:val="14"/>
                <w:b w:val="1"/>
                <w:bCs w:val="1"/>
                <w:color w:val="auto"/>
              </w:rPr>
              <w:t>2006</w:t>
            </w:r>
          </w:p>
        </w:tc>
        <w:tc>
          <w:tcPr>
            <w:tcW w:w="680" w:type="dxa"/>
            <w:vAlign w:val="bottom"/>
          </w:tcPr>
          <w:p>
            <w:pPr>
              <w:spacing w:after="0"/>
              <w:rPr>
                <w:sz w:val="14"/>
                <w:szCs w:val="14"/>
                <w:color w:val="auto"/>
              </w:rPr>
            </w:pPr>
          </w:p>
        </w:tc>
        <w:tc>
          <w:tcPr>
            <w:tcW w:w="900" w:type="dxa"/>
            <w:vAlign w:val="bottom"/>
            <w:tcBorders>
              <w:bottom w:val="single" w:sz="8" w:color="auto"/>
            </w:tcBorders>
          </w:tcPr>
          <w:p>
            <w:pPr>
              <w:jc w:val="right"/>
              <w:ind w:right="235"/>
              <w:spacing w:after="0"/>
              <w:rPr>
                <w:sz w:val="20"/>
                <w:szCs w:val="20"/>
                <w:color w:val="auto"/>
              </w:rPr>
            </w:pPr>
            <w:r>
              <w:rPr>
                <w:rFonts w:ascii="Arial" w:cs="Arial" w:eastAsia="Arial" w:hAnsi="Arial"/>
                <w:sz w:val="14"/>
                <w:szCs w:val="14"/>
                <w:b w:val="1"/>
                <w:bCs w:val="1"/>
                <w:color w:val="auto"/>
              </w:rPr>
              <w:t>2005</w:t>
            </w:r>
          </w:p>
        </w:tc>
        <w:tc>
          <w:tcPr>
            <w:tcW w:w="620" w:type="dxa"/>
            <w:vAlign w:val="bottom"/>
          </w:tcPr>
          <w:p>
            <w:pPr>
              <w:spacing w:after="0"/>
              <w:rPr>
                <w:sz w:val="14"/>
                <w:szCs w:val="14"/>
                <w:color w:val="auto"/>
              </w:rPr>
            </w:pPr>
          </w:p>
        </w:tc>
        <w:tc>
          <w:tcPr>
            <w:tcW w:w="880" w:type="dxa"/>
            <w:vAlign w:val="bottom"/>
            <w:tcBorders>
              <w:bottom w:val="single" w:sz="8" w:color="auto"/>
            </w:tcBorders>
          </w:tcPr>
          <w:p>
            <w:pPr>
              <w:jc w:val="right"/>
              <w:ind w:right="215"/>
              <w:spacing w:after="0"/>
              <w:rPr>
                <w:sz w:val="20"/>
                <w:szCs w:val="20"/>
                <w:color w:val="auto"/>
              </w:rPr>
            </w:pPr>
            <w:r>
              <w:rPr>
                <w:rFonts w:ascii="Arial" w:cs="Arial" w:eastAsia="Arial" w:hAnsi="Arial"/>
                <w:sz w:val="14"/>
                <w:szCs w:val="14"/>
                <w:b w:val="1"/>
                <w:bCs w:val="1"/>
                <w:color w:val="auto"/>
              </w:rPr>
              <w:t>2004</w:t>
            </w:r>
          </w:p>
        </w:tc>
        <w:tc>
          <w:tcPr>
            <w:tcW w:w="620" w:type="dxa"/>
            <w:vAlign w:val="bottom"/>
          </w:tcPr>
          <w:p>
            <w:pPr>
              <w:spacing w:after="0"/>
              <w:rPr>
                <w:sz w:val="14"/>
                <w:szCs w:val="14"/>
                <w:color w:val="auto"/>
              </w:rPr>
            </w:pPr>
          </w:p>
        </w:tc>
        <w:tc>
          <w:tcPr>
            <w:tcW w:w="900" w:type="dxa"/>
            <w:vAlign w:val="bottom"/>
            <w:tcBorders>
              <w:bottom w:val="single" w:sz="8" w:color="auto"/>
            </w:tcBorders>
          </w:tcPr>
          <w:p>
            <w:pPr>
              <w:jc w:val="right"/>
              <w:ind w:right="235"/>
              <w:spacing w:after="0"/>
              <w:rPr>
                <w:sz w:val="20"/>
                <w:szCs w:val="20"/>
                <w:color w:val="auto"/>
              </w:rPr>
            </w:pPr>
            <w:r>
              <w:rPr>
                <w:rFonts w:ascii="Arial" w:cs="Arial" w:eastAsia="Arial" w:hAnsi="Arial"/>
                <w:sz w:val="14"/>
                <w:szCs w:val="14"/>
                <w:b w:val="1"/>
                <w:bCs w:val="1"/>
                <w:color w:val="auto"/>
              </w:rPr>
              <w:t>2003</w:t>
            </w:r>
          </w:p>
        </w:tc>
        <w:tc>
          <w:tcPr>
            <w:tcW w:w="680" w:type="dxa"/>
            <w:vAlign w:val="bottom"/>
          </w:tcPr>
          <w:p>
            <w:pPr>
              <w:spacing w:after="0"/>
              <w:rPr>
                <w:sz w:val="14"/>
                <w:szCs w:val="14"/>
                <w:color w:val="auto"/>
              </w:rPr>
            </w:pPr>
          </w:p>
        </w:tc>
        <w:tc>
          <w:tcPr>
            <w:tcW w:w="880" w:type="dxa"/>
            <w:vAlign w:val="bottom"/>
            <w:tcBorders>
              <w:bottom w:val="single" w:sz="8" w:color="auto"/>
            </w:tcBorders>
          </w:tcPr>
          <w:p>
            <w:pPr>
              <w:jc w:val="right"/>
              <w:ind w:right="215"/>
              <w:spacing w:after="0"/>
              <w:rPr>
                <w:sz w:val="20"/>
                <w:szCs w:val="20"/>
                <w:color w:val="auto"/>
              </w:rPr>
            </w:pPr>
            <w:r>
              <w:rPr>
                <w:rFonts w:ascii="Arial" w:cs="Arial" w:eastAsia="Arial" w:hAnsi="Arial"/>
                <w:sz w:val="14"/>
                <w:szCs w:val="14"/>
                <w:b w:val="1"/>
                <w:bCs w:val="1"/>
                <w:color w:val="auto"/>
              </w:rPr>
              <w:t>2002</w:t>
            </w:r>
          </w:p>
        </w:tc>
        <w:tc>
          <w:tcPr>
            <w:tcW w:w="220" w:type="dxa"/>
            <w:vAlign w:val="bottom"/>
          </w:tcPr>
          <w:p>
            <w:pPr>
              <w:spacing w:after="0"/>
              <w:rPr>
                <w:sz w:val="14"/>
                <w:szCs w:val="14"/>
                <w:color w:val="auto"/>
              </w:rPr>
            </w:pPr>
          </w:p>
        </w:tc>
      </w:tr>
      <w:tr>
        <w:trPr>
          <w:trHeight w:val="210"/>
        </w:trPr>
        <w:tc>
          <w:tcPr>
            <w:tcW w:w="4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sales</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   328,214</w:t>
            </w:r>
          </w:p>
        </w:tc>
        <w:tc>
          <w:tcPr>
            <w:tcW w:w="6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   335,207</w:t>
            </w:r>
          </w:p>
        </w:tc>
        <w:tc>
          <w:tcPr>
            <w:tcW w:w="6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   315,654</w:t>
            </w:r>
          </w:p>
        </w:tc>
        <w:tc>
          <w:tcPr>
            <w:tcW w:w="6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   316,857</w:t>
            </w:r>
          </w:p>
        </w:tc>
        <w:tc>
          <w:tcPr>
            <w:tcW w:w="6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   323,487</w:t>
            </w:r>
          </w:p>
        </w:tc>
        <w:tc>
          <w:tcPr>
            <w:tcW w:w="220" w:type="dxa"/>
            <w:vAlign w:val="bottom"/>
            <w:shd w:val="clear" w:color="auto" w:fill="CCEEFF"/>
          </w:tcPr>
          <w:p>
            <w:pPr>
              <w:spacing w:after="0"/>
              <w:rPr>
                <w:sz w:val="18"/>
                <w:szCs w:val="18"/>
                <w:color w:val="auto"/>
              </w:rPr>
            </w:pPr>
          </w:p>
        </w:tc>
      </w:tr>
      <w:tr>
        <w:trPr>
          <w:trHeight w:val="216"/>
        </w:trPr>
        <w:tc>
          <w:tcPr>
            <w:tcW w:w="4160" w:type="dxa"/>
            <w:vAlign w:val="bottom"/>
            <w:gridSpan w:val="2"/>
          </w:tcPr>
          <w:p>
            <w:pPr>
              <w:spacing w:after="0"/>
              <w:rPr>
                <w:sz w:val="20"/>
                <w:szCs w:val="20"/>
                <w:color w:val="auto"/>
              </w:rPr>
            </w:pPr>
            <w:r>
              <w:rPr>
                <w:rFonts w:ascii="Arial" w:cs="Arial" w:eastAsia="Arial" w:hAnsi="Arial"/>
                <w:sz w:val="18"/>
                <w:szCs w:val="18"/>
                <w:color w:val="auto"/>
              </w:rPr>
              <w:t>Cost of sales</w:t>
            </w:r>
          </w:p>
        </w:tc>
        <w:tc>
          <w:tcPr>
            <w:tcW w:w="880" w:type="dxa"/>
            <w:vAlign w:val="bottom"/>
          </w:tcPr>
          <w:p>
            <w:pPr>
              <w:jc w:val="right"/>
              <w:spacing w:after="0"/>
              <w:rPr>
                <w:sz w:val="20"/>
                <w:szCs w:val="20"/>
                <w:color w:val="auto"/>
              </w:rPr>
            </w:pPr>
            <w:r>
              <w:rPr>
                <w:rFonts w:ascii="Arial" w:cs="Arial" w:eastAsia="Arial" w:hAnsi="Arial"/>
                <w:sz w:val="18"/>
                <w:szCs w:val="18"/>
                <w:color w:val="auto"/>
              </w:rPr>
              <w:t>225,319</w:t>
            </w:r>
          </w:p>
        </w:tc>
        <w:tc>
          <w:tcPr>
            <w:tcW w:w="6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236,843</w:t>
            </w:r>
          </w:p>
        </w:tc>
        <w:tc>
          <w:tcPr>
            <w:tcW w:w="6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234,612</w:t>
            </w:r>
          </w:p>
        </w:tc>
        <w:tc>
          <w:tcPr>
            <w:tcW w:w="6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234,861</w:t>
            </w:r>
          </w:p>
        </w:tc>
        <w:tc>
          <w:tcPr>
            <w:tcW w:w="6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254,993</w:t>
            </w:r>
          </w:p>
        </w:tc>
        <w:tc>
          <w:tcPr>
            <w:tcW w:w="220" w:type="dxa"/>
            <w:vAlign w:val="bottom"/>
          </w:tcPr>
          <w:p>
            <w:pPr>
              <w:spacing w:after="0"/>
              <w:rPr>
                <w:sz w:val="18"/>
                <w:szCs w:val="18"/>
                <w:color w:val="auto"/>
              </w:rPr>
            </w:pPr>
          </w:p>
        </w:tc>
      </w:tr>
      <w:tr>
        <w:trPr>
          <w:trHeight w:val="216"/>
        </w:trPr>
        <w:tc>
          <w:tcPr>
            <w:tcW w:w="4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Operating profit (loss) (1)</w:t>
            </w:r>
          </w:p>
        </w:tc>
        <w:tc>
          <w:tcPr>
            <w:tcW w:w="15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(466)(1)</w:t>
            </w:r>
          </w:p>
        </w:tc>
        <w:tc>
          <w:tcPr>
            <w:tcW w:w="15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5,134(2)</w:t>
            </w:r>
          </w:p>
        </w:tc>
        <w:tc>
          <w:tcPr>
            <w:tcW w:w="150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3,727(3)</w:t>
            </w:r>
          </w:p>
        </w:tc>
        <w:tc>
          <w:tcPr>
            <w:tcW w:w="158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(1,230)(4)</w:t>
            </w: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6,256(5)</w:t>
            </w:r>
          </w:p>
        </w:tc>
      </w:tr>
      <w:tr>
        <w:trPr>
          <w:trHeight w:val="216"/>
        </w:trPr>
        <w:tc>
          <w:tcPr>
            <w:tcW w:w="4160" w:type="dxa"/>
            <w:vAlign w:val="bottom"/>
            <w:gridSpan w:val="2"/>
          </w:tcPr>
          <w:p>
            <w:pPr>
              <w:spacing w:after="0"/>
              <w:rPr>
                <w:sz w:val="20"/>
                <w:szCs w:val="20"/>
                <w:color w:val="auto"/>
              </w:rPr>
            </w:pPr>
            <w:r>
              <w:rPr>
                <w:rFonts w:ascii="Arial" w:cs="Arial" w:eastAsia="Arial" w:hAnsi="Arial"/>
                <w:sz w:val="18"/>
                <w:szCs w:val="18"/>
                <w:color w:val="auto"/>
              </w:rPr>
              <w:t>Other income, net</w:t>
            </w:r>
          </w:p>
        </w:tc>
        <w:tc>
          <w:tcPr>
            <w:tcW w:w="880" w:type="dxa"/>
            <w:vAlign w:val="bottom"/>
          </w:tcPr>
          <w:p>
            <w:pPr>
              <w:jc w:val="right"/>
              <w:spacing w:after="0"/>
              <w:rPr>
                <w:sz w:val="20"/>
                <w:szCs w:val="20"/>
                <w:color w:val="auto"/>
              </w:rPr>
            </w:pPr>
            <w:r>
              <w:rPr>
                <w:rFonts w:ascii="Arial" w:cs="Arial" w:eastAsia="Arial" w:hAnsi="Arial"/>
                <w:sz w:val="18"/>
                <w:szCs w:val="18"/>
                <w:color w:val="auto"/>
              </w:rPr>
              <w:t>6,921</w:t>
            </w:r>
          </w:p>
        </w:tc>
        <w:tc>
          <w:tcPr>
            <w:tcW w:w="6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8,061</w:t>
            </w:r>
          </w:p>
        </w:tc>
        <w:tc>
          <w:tcPr>
            <w:tcW w:w="6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7,123</w:t>
            </w:r>
          </w:p>
        </w:tc>
        <w:tc>
          <w:tcPr>
            <w:tcW w:w="6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6,097</w:t>
            </w:r>
          </w:p>
        </w:tc>
        <w:tc>
          <w:tcPr>
            <w:tcW w:w="6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2,854</w:t>
            </w:r>
          </w:p>
        </w:tc>
        <w:tc>
          <w:tcPr>
            <w:tcW w:w="220" w:type="dxa"/>
            <w:vAlign w:val="bottom"/>
          </w:tcPr>
          <w:p>
            <w:pPr>
              <w:spacing w:after="0"/>
              <w:rPr>
                <w:sz w:val="18"/>
                <w:szCs w:val="18"/>
                <w:color w:val="auto"/>
              </w:rPr>
            </w:pPr>
          </w:p>
        </w:tc>
      </w:tr>
      <w:tr>
        <w:trPr>
          <w:trHeight w:val="216"/>
        </w:trPr>
        <w:tc>
          <w:tcPr>
            <w:tcW w:w="4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before income taxes</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6,455</w:t>
            </w:r>
          </w:p>
        </w:tc>
        <w:tc>
          <w:tcPr>
            <w:tcW w:w="6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13,195</w:t>
            </w:r>
          </w:p>
        </w:tc>
        <w:tc>
          <w:tcPr>
            <w:tcW w:w="6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10,850</w:t>
            </w:r>
          </w:p>
        </w:tc>
        <w:tc>
          <w:tcPr>
            <w:tcW w:w="6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4,867</w:t>
            </w:r>
          </w:p>
        </w:tc>
        <w:tc>
          <w:tcPr>
            <w:tcW w:w="6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9,110</w:t>
            </w:r>
          </w:p>
        </w:tc>
        <w:tc>
          <w:tcPr>
            <w:tcW w:w="220" w:type="dxa"/>
            <w:vAlign w:val="bottom"/>
            <w:shd w:val="clear" w:color="auto" w:fill="CCEEFF"/>
          </w:tcPr>
          <w:p>
            <w:pPr>
              <w:spacing w:after="0"/>
              <w:rPr>
                <w:sz w:val="18"/>
                <w:szCs w:val="18"/>
                <w:color w:val="auto"/>
              </w:rPr>
            </w:pPr>
          </w:p>
        </w:tc>
      </w:tr>
      <w:tr>
        <w:trPr>
          <w:trHeight w:val="216"/>
        </w:trPr>
        <w:tc>
          <w:tcPr>
            <w:tcW w:w="4160" w:type="dxa"/>
            <w:vAlign w:val="bottom"/>
            <w:gridSpan w:val="2"/>
          </w:tcPr>
          <w:p>
            <w:pPr>
              <w:spacing w:after="0"/>
              <w:rPr>
                <w:sz w:val="20"/>
                <w:szCs w:val="20"/>
                <w:color w:val="auto"/>
              </w:rPr>
            </w:pPr>
            <w:r>
              <w:rPr>
                <w:rFonts w:ascii="Arial" w:cs="Arial" w:eastAsia="Arial" w:hAnsi="Arial"/>
                <w:sz w:val="18"/>
                <w:szCs w:val="18"/>
                <w:color w:val="auto"/>
              </w:rPr>
              <w:t>Income taxes</w:t>
            </w:r>
          </w:p>
        </w:tc>
        <w:tc>
          <w:tcPr>
            <w:tcW w:w="880" w:type="dxa"/>
            <w:vAlign w:val="bottom"/>
          </w:tcPr>
          <w:p>
            <w:pPr>
              <w:jc w:val="right"/>
              <w:spacing w:after="0"/>
              <w:rPr>
                <w:sz w:val="20"/>
                <w:szCs w:val="20"/>
                <w:color w:val="auto"/>
              </w:rPr>
            </w:pPr>
            <w:r>
              <w:rPr>
                <w:rFonts w:ascii="Arial" w:cs="Arial" w:eastAsia="Arial" w:hAnsi="Arial"/>
                <w:sz w:val="18"/>
                <w:szCs w:val="18"/>
                <w:color w:val="auto"/>
              </w:rPr>
              <w:t>1,026</w:t>
            </w:r>
          </w:p>
        </w:tc>
        <w:tc>
          <w:tcPr>
            <w:tcW w:w="6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3,381</w:t>
            </w:r>
          </w:p>
        </w:tc>
        <w:tc>
          <w:tcPr>
            <w:tcW w:w="6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2,641</w:t>
            </w:r>
          </w:p>
        </w:tc>
        <w:tc>
          <w:tcPr>
            <w:tcW w:w="6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462</w:t>
            </w:r>
          </w:p>
        </w:tc>
        <w:tc>
          <w:tcPr>
            <w:tcW w:w="6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2,369</w:t>
            </w:r>
          </w:p>
        </w:tc>
        <w:tc>
          <w:tcPr>
            <w:tcW w:w="220" w:type="dxa"/>
            <w:vAlign w:val="bottom"/>
          </w:tcPr>
          <w:p>
            <w:pPr>
              <w:spacing w:after="0"/>
              <w:rPr>
                <w:sz w:val="18"/>
                <w:szCs w:val="18"/>
                <w:color w:val="auto"/>
              </w:rPr>
            </w:pPr>
          </w:p>
        </w:tc>
      </w:tr>
      <w:tr>
        <w:trPr>
          <w:trHeight w:val="216"/>
        </w:trPr>
        <w:tc>
          <w:tcPr>
            <w:tcW w:w="4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5,429</w:t>
            </w:r>
          </w:p>
        </w:tc>
        <w:tc>
          <w:tcPr>
            <w:tcW w:w="6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9,814</w:t>
            </w:r>
          </w:p>
        </w:tc>
        <w:tc>
          <w:tcPr>
            <w:tcW w:w="6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8,209</w:t>
            </w:r>
          </w:p>
        </w:tc>
        <w:tc>
          <w:tcPr>
            <w:tcW w:w="62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(470)(6)</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6,741</w:t>
            </w:r>
          </w:p>
        </w:tc>
        <w:tc>
          <w:tcPr>
            <w:tcW w:w="220" w:type="dxa"/>
            <w:vAlign w:val="bottom"/>
            <w:shd w:val="clear" w:color="auto" w:fill="CCEEFF"/>
          </w:tcPr>
          <w:p>
            <w:pPr>
              <w:spacing w:after="0"/>
              <w:rPr>
                <w:sz w:val="18"/>
                <w:szCs w:val="18"/>
                <w:color w:val="auto"/>
              </w:rPr>
            </w:pPr>
          </w:p>
        </w:tc>
      </w:tr>
      <w:tr>
        <w:trPr>
          <w:trHeight w:val="216"/>
        </w:trPr>
        <w:tc>
          <w:tcPr>
            <w:tcW w:w="4160" w:type="dxa"/>
            <w:vAlign w:val="bottom"/>
            <w:gridSpan w:val="2"/>
          </w:tcPr>
          <w:p>
            <w:pPr>
              <w:spacing w:after="0"/>
              <w:rPr>
                <w:sz w:val="20"/>
                <w:szCs w:val="20"/>
                <w:color w:val="auto"/>
              </w:rPr>
            </w:pPr>
            <w:r>
              <w:rPr>
                <w:rFonts w:ascii="Arial" w:cs="Arial" w:eastAsia="Arial" w:hAnsi="Arial"/>
                <w:sz w:val="18"/>
                <w:szCs w:val="18"/>
                <w:color w:val="auto"/>
              </w:rPr>
              <w:t>Diluted earnings (loss) per share</w:t>
            </w:r>
          </w:p>
        </w:tc>
        <w:tc>
          <w:tcPr>
            <w:tcW w:w="880" w:type="dxa"/>
            <w:vAlign w:val="bottom"/>
          </w:tcPr>
          <w:p>
            <w:pPr>
              <w:jc w:val="right"/>
              <w:spacing w:after="0"/>
              <w:rPr>
                <w:sz w:val="20"/>
                <w:szCs w:val="20"/>
                <w:color w:val="auto"/>
              </w:rPr>
            </w:pPr>
            <w:r>
              <w:rPr>
                <w:rFonts w:ascii="Arial" w:cs="Arial" w:eastAsia="Arial" w:hAnsi="Arial"/>
                <w:sz w:val="18"/>
                <w:szCs w:val="18"/>
                <w:color w:val="auto"/>
              </w:rPr>
              <w:t>0.46</w:t>
            </w:r>
          </w:p>
        </w:tc>
        <w:tc>
          <w:tcPr>
            <w:tcW w:w="6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0.82</w:t>
            </w:r>
          </w:p>
        </w:tc>
        <w:tc>
          <w:tcPr>
            <w:tcW w:w="6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0.69</w:t>
            </w:r>
          </w:p>
        </w:tc>
        <w:tc>
          <w:tcPr>
            <w:tcW w:w="620" w:type="dxa"/>
            <w:vAlign w:val="bottom"/>
          </w:tcPr>
          <w:p>
            <w:pPr>
              <w:spacing w:after="0"/>
              <w:rPr>
                <w:sz w:val="18"/>
                <w:szCs w:val="18"/>
                <w:color w:val="auto"/>
              </w:rPr>
            </w:pPr>
          </w:p>
        </w:tc>
        <w:tc>
          <w:tcPr>
            <w:tcW w:w="1580" w:type="dxa"/>
            <w:vAlign w:val="bottom"/>
            <w:gridSpan w:val="2"/>
          </w:tcPr>
          <w:p>
            <w:pPr>
              <w:jc w:val="right"/>
              <w:ind w:right="620"/>
              <w:spacing w:after="0"/>
              <w:rPr>
                <w:sz w:val="20"/>
                <w:szCs w:val="20"/>
                <w:color w:val="auto"/>
              </w:rPr>
            </w:pPr>
            <w:r>
              <w:rPr>
                <w:rFonts w:ascii="Arial" w:cs="Arial" w:eastAsia="Arial" w:hAnsi="Arial"/>
                <w:sz w:val="18"/>
                <w:szCs w:val="18"/>
                <w:color w:val="auto"/>
              </w:rPr>
              <w:t>(0.04)</w:t>
            </w:r>
          </w:p>
        </w:tc>
        <w:tc>
          <w:tcPr>
            <w:tcW w:w="880" w:type="dxa"/>
            <w:vAlign w:val="bottom"/>
          </w:tcPr>
          <w:p>
            <w:pPr>
              <w:jc w:val="right"/>
              <w:spacing w:after="0"/>
              <w:rPr>
                <w:sz w:val="20"/>
                <w:szCs w:val="20"/>
                <w:color w:val="auto"/>
              </w:rPr>
            </w:pPr>
            <w:r>
              <w:rPr>
                <w:rFonts w:ascii="Arial" w:cs="Arial" w:eastAsia="Arial" w:hAnsi="Arial"/>
                <w:sz w:val="18"/>
                <w:szCs w:val="18"/>
                <w:color w:val="auto"/>
              </w:rPr>
              <w:t>0.57</w:t>
            </w:r>
          </w:p>
        </w:tc>
        <w:tc>
          <w:tcPr>
            <w:tcW w:w="220" w:type="dxa"/>
            <w:vAlign w:val="bottom"/>
          </w:tcPr>
          <w:p>
            <w:pPr>
              <w:spacing w:after="0"/>
              <w:rPr>
                <w:sz w:val="18"/>
                <w:szCs w:val="18"/>
                <w:color w:val="auto"/>
              </w:rPr>
            </w:pPr>
          </w:p>
        </w:tc>
      </w:tr>
      <w:tr>
        <w:trPr>
          <w:trHeight w:val="216"/>
        </w:trPr>
        <w:tc>
          <w:tcPr>
            <w:tcW w:w="4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Cash dividends declared</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9,449</w:t>
            </w:r>
          </w:p>
        </w:tc>
        <w:tc>
          <w:tcPr>
            <w:tcW w:w="6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9,433</w:t>
            </w:r>
          </w:p>
        </w:tc>
        <w:tc>
          <w:tcPr>
            <w:tcW w:w="6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9,355</w:t>
            </w:r>
          </w:p>
        </w:tc>
        <w:tc>
          <w:tcPr>
            <w:tcW w:w="6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9,261</w:t>
            </w:r>
          </w:p>
        </w:tc>
        <w:tc>
          <w:tcPr>
            <w:tcW w:w="6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9,358</w:t>
            </w:r>
          </w:p>
        </w:tc>
        <w:tc>
          <w:tcPr>
            <w:tcW w:w="220" w:type="dxa"/>
            <w:vAlign w:val="bottom"/>
            <w:shd w:val="clear" w:color="auto" w:fill="CCEEFF"/>
          </w:tcPr>
          <w:p>
            <w:pPr>
              <w:spacing w:after="0"/>
              <w:rPr>
                <w:sz w:val="18"/>
                <w:szCs w:val="18"/>
                <w:color w:val="auto"/>
              </w:rPr>
            </w:pPr>
          </w:p>
        </w:tc>
      </w:tr>
      <w:tr>
        <w:trPr>
          <w:trHeight w:val="216"/>
        </w:trPr>
        <w:tc>
          <w:tcPr>
            <w:tcW w:w="4160" w:type="dxa"/>
            <w:vAlign w:val="bottom"/>
            <w:gridSpan w:val="2"/>
          </w:tcPr>
          <w:p>
            <w:pPr>
              <w:spacing w:after="0"/>
              <w:rPr>
                <w:sz w:val="20"/>
                <w:szCs w:val="20"/>
                <w:color w:val="auto"/>
              </w:rPr>
            </w:pPr>
            <w:r>
              <w:rPr>
                <w:rFonts w:ascii="Arial" w:cs="Arial" w:eastAsia="Arial" w:hAnsi="Arial"/>
                <w:sz w:val="18"/>
                <w:szCs w:val="18"/>
                <w:color w:val="auto"/>
              </w:rPr>
              <w:t>Cash dividends per share</w:t>
            </w:r>
          </w:p>
        </w:tc>
        <w:tc>
          <w:tcPr>
            <w:tcW w:w="880" w:type="dxa"/>
            <w:vAlign w:val="bottom"/>
          </w:tcPr>
          <w:p>
            <w:pPr>
              <w:jc w:val="right"/>
              <w:spacing w:after="0"/>
              <w:rPr>
                <w:sz w:val="20"/>
                <w:szCs w:val="20"/>
                <w:color w:val="auto"/>
              </w:rPr>
            </w:pPr>
            <w:r>
              <w:rPr>
                <w:rFonts w:ascii="Arial" w:cs="Arial" w:eastAsia="Arial" w:hAnsi="Arial"/>
                <w:sz w:val="18"/>
                <w:szCs w:val="18"/>
                <w:color w:val="auto"/>
              </w:rPr>
              <w:t>0.80</w:t>
            </w:r>
          </w:p>
        </w:tc>
        <w:tc>
          <w:tcPr>
            <w:tcW w:w="6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0.80</w:t>
            </w:r>
          </w:p>
        </w:tc>
        <w:tc>
          <w:tcPr>
            <w:tcW w:w="6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0.80</w:t>
            </w:r>
          </w:p>
        </w:tc>
        <w:tc>
          <w:tcPr>
            <w:tcW w:w="6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0.80</w:t>
            </w:r>
          </w:p>
        </w:tc>
        <w:tc>
          <w:tcPr>
            <w:tcW w:w="6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0.80</w:t>
            </w:r>
          </w:p>
        </w:tc>
        <w:tc>
          <w:tcPr>
            <w:tcW w:w="220" w:type="dxa"/>
            <w:vAlign w:val="bottom"/>
          </w:tcPr>
          <w:p>
            <w:pPr>
              <w:spacing w:after="0"/>
              <w:rPr>
                <w:sz w:val="18"/>
                <w:szCs w:val="18"/>
                <w:color w:val="auto"/>
              </w:rPr>
            </w:pPr>
          </w:p>
        </w:tc>
      </w:tr>
      <w:tr>
        <w:trPr>
          <w:trHeight w:val="216"/>
        </w:trPr>
        <w:tc>
          <w:tcPr>
            <w:tcW w:w="4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assets</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309,937</w:t>
            </w:r>
          </w:p>
        </w:tc>
        <w:tc>
          <w:tcPr>
            <w:tcW w:w="6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313,158</w:t>
            </w:r>
          </w:p>
        </w:tc>
        <w:tc>
          <w:tcPr>
            <w:tcW w:w="6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299,477</w:t>
            </w:r>
          </w:p>
        </w:tc>
        <w:tc>
          <w:tcPr>
            <w:tcW w:w="6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281,891</w:t>
            </w:r>
          </w:p>
        </w:tc>
        <w:tc>
          <w:tcPr>
            <w:tcW w:w="6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292,991</w:t>
            </w:r>
          </w:p>
        </w:tc>
        <w:tc>
          <w:tcPr>
            <w:tcW w:w="220" w:type="dxa"/>
            <w:vAlign w:val="bottom"/>
            <w:shd w:val="clear" w:color="auto" w:fill="CCEEFF"/>
          </w:tcPr>
          <w:p>
            <w:pPr>
              <w:spacing w:after="0"/>
              <w:rPr>
                <w:sz w:val="18"/>
                <w:szCs w:val="18"/>
                <w:color w:val="auto"/>
              </w:rPr>
            </w:pPr>
          </w:p>
        </w:tc>
      </w:tr>
      <w:tr>
        <w:trPr>
          <w:trHeight w:val="216"/>
        </w:trPr>
        <w:tc>
          <w:tcPr>
            <w:tcW w:w="4160" w:type="dxa"/>
            <w:vAlign w:val="bottom"/>
            <w:gridSpan w:val="2"/>
          </w:tcPr>
          <w:p>
            <w:pPr>
              <w:spacing w:after="0"/>
              <w:rPr>
                <w:sz w:val="20"/>
                <w:szCs w:val="20"/>
                <w:color w:val="auto"/>
              </w:rPr>
            </w:pPr>
            <w:r>
              <w:rPr>
                <w:rFonts w:ascii="Arial" w:cs="Arial" w:eastAsia="Arial" w:hAnsi="Arial"/>
                <w:sz w:val="18"/>
                <w:szCs w:val="18"/>
                <w:color w:val="auto"/>
              </w:rPr>
              <w:t>Long-term debt</w:t>
            </w:r>
          </w:p>
        </w:tc>
        <w:tc>
          <w:tcPr>
            <w:tcW w:w="880" w:type="dxa"/>
            <w:vAlign w:val="bottom"/>
          </w:tcPr>
          <w:p>
            <w:pPr>
              <w:jc w:val="right"/>
              <w:spacing w:after="0"/>
              <w:rPr>
                <w:sz w:val="20"/>
                <w:szCs w:val="20"/>
                <w:color w:val="auto"/>
              </w:rPr>
            </w:pPr>
            <w:r>
              <w:rPr>
                <w:rFonts w:ascii="Arial" w:cs="Arial" w:eastAsia="Arial" w:hAnsi="Arial"/>
                <w:sz w:val="18"/>
                <w:szCs w:val="18"/>
                <w:color w:val="auto"/>
              </w:rPr>
              <w:t>23,522</w:t>
            </w:r>
          </w:p>
        </w:tc>
        <w:tc>
          <w:tcPr>
            <w:tcW w:w="6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19,054</w:t>
            </w:r>
          </w:p>
        </w:tc>
        <w:tc>
          <w:tcPr>
            <w:tcW w:w="6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15,604</w:t>
            </w:r>
          </w:p>
        </w:tc>
        <w:tc>
          <w:tcPr>
            <w:tcW w:w="620" w:type="dxa"/>
            <w:vAlign w:val="bottom"/>
          </w:tcPr>
          <w:p>
            <w:pPr>
              <w:spacing w:after="0"/>
              <w:rPr>
                <w:sz w:val="18"/>
                <w:szCs w:val="18"/>
                <w:color w:val="auto"/>
              </w:rPr>
            </w:pPr>
          </w:p>
        </w:tc>
        <w:tc>
          <w:tcPr>
            <w:tcW w:w="1580" w:type="dxa"/>
            <w:vAlign w:val="bottom"/>
            <w:gridSpan w:val="2"/>
          </w:tcPr>
          <w:p>
            <w:pPr>
              <w:jc w:val="right"/>
              <w:ind w:right="780"/>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3,000</w:t>
            </w:r>
          </w:p>
        </w:tc>
        <w:tc>
          <w:tcPr>
            <w:tcW w:w="220" w:type="dxa"/>
            <w:vAlign w:val="bottom"/>
          </w:tcPr>
          <w:p>
            <w:pPr>
              <w:spacing w:after="0"/>
              <w:rPr>
                <w:sz w:val="18"/>
                <w:szCs w:val="18"/>
                <w:color w:val="auto"/>
              </w:rPr>
            </w:pPr>
          </w:p>
        </w:tc>
      </w:tr>
      <w:tr>
        <w:trPr>
          <w:trHeight w:val="216"/>
        </w:trPr>
        <w:tc>
          <w:tcPr>
            <w:tcW w:w="4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Current ratio</w:t>
            </w:r>
          </w:p>
        </w:tc>
        <w:tc>
          <w:tcPr>
            <w:tcW w:w="156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2.43 to 1</w:t>
            </w:r>
          </w:p>
        </w:tc>
        <w:tc>
          <w:tcPr>
            <w:tcW w:w="152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2.19 to 1</w:t>
            </w:r>
          </w:p>
        </w:tc>
        <w:tc>
          <w:tcPr>
            <w:tcW w:w="150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2.66 to 1</w:t>
            </w:r>
          </w:p>
        </w:tc>
        <w:tc>
          <w:tcPr>
            <w:tcW w:w="158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2.78 to 1</w:t>
            </w: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3.02 to 1</w:t>
            </w:r>
          </w:p>
        </w:tc>
      </w:tr>
      <w:tr>
        <w:trPr>
          <w:trHeight w:val="216"/>
        </w:trPr>
        <w:tc>
          <w:tcPr>
            <w:tcW w:w="4160" w:type="dxa"/>
            <w:vAlign w:val="bottom"/>
            <w:gridSpan w:val="2"/>
          </w:tcPr>
          <w:p>
            <w:pPr>
              <w:spacing w:after="0"/>
              <w:rPr>
                <w:sz w:val="20"/>
                <w:szCs w:val="20"/>
                <w:color w:val="auto"/>
              </w:rPr>
            </w:pPr>
            <w:r>
              <w:rPr>
                <w:rFonts w:ascii="Arial" w:cs="Arial" w:eastAsia="Arial" w:hAnsi="Arial"/>
                <w:sz w:val="18"/>
                <w:szCs w:val="18"/>
                <w:color w:val="auto"/>
              </w:rPr>
              <w:t>Book value per share</w:t>
            </w:r>
          </w:p>
        </w:tc>
        <w:tc>
          <w:tcPr>
            <w:tcW w:w="880" w:type="dxa"/>
            <w:vAlign w:val="bottom"/>
          </w:tcPr>
          <w:p>
            <w:pPr>
              <w:jc w:val="right"/>
              <w:spacing w:after="0"/>
              <w:rPr>
                <w:sz w:val="20"/>
                <w:szCs w:val="20"/>
                <w:color w:val="auto"/>
              </w:rPr>
            </w:pPr>
            <w:r>
              <w:rPr>
                <w:rFonts w:ascii="Arial" w:cs="Arial" w:eastAsia="Arial" w:hAnsi="Arial"/>
                <w:sz w:val="18"/>
                <w:szCs w:val="18"/>
                <w:color w:val="auto"/>
              </w:rPr>
              <w:t>18.28</w:t>
            </w:r>
          </w:p>
        </w:tc>
        <w:tc>
          <w:tcPr>
            <w:tcW w:w="6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18.61</w:t>
            </w:r>
          </w:p>
        </w:tc>
        <w:tc>
          <w:tcPr>
            <w:tcW w:w="6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18.58</w:t>
            </w:r>
          </w:p>
        </w:tc>
        <w:tc>
          <w:tcPr>
            <w:tcW w:w="6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18.69</w:t>
            </w:r>
          </w:p>
        </w:tc>
        <w:tc>
          <w:tcPr>
            <w:tcW w:w="6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19.42</w:t>
            </w:r>
          </w:p>
        </w:tc>
        <w:tc>
          <w:tcPr>
            <w:tcW w:w="220" w:type="dxa"/>
            <w:vAlign w:val="bottom"/>
          </w:tcPr>
          <w:p>
            <w:pPr>
              <w:spacing w:after="0"/>
              <w:rPr>
                <w:sz w:val="18"/>
                <w:szCs w:val="18"/>
                <w:color w:val="auto"/>
              </w:rPr>
            </w:pPr>
          </w:p>
        </w:tc>
      </w:tr>
      <w:tr>
        <w:trPr>
          <w:trHeight w:val="216"/>
        </w:trPr>
        <w:tc>
          <w:tcPr>
            <w:tcW w:w="4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Weighted average number of shares</w:t>
            </w:r>
          </w:p>
        </w:tc>
        <w:tc>
          <w:tcPr>
            <w:tcW w:w="156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w w:val="95"/>
              </w:rPr>
              <w:t>11,808,053</w:t>
            </w:r>
          </w:p>
        </w:tc>
        <w:tc>
          <w:tcPr>
            <w:tcW w:w="152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w w:val="97"/>
              </w:rPr>
              <w:t>11,785,613</w:t>
            </w:r>
          </w:p>
        </w:tc>
        <w:tc>
          <w:tcPr>
            <w:tcW w:w="150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w w:val="95"/>
              </w:rPr>
              <w:t>11,686,649</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11,608,853</w:t>
            </w:r>
          </w:p>
        </w:tc>
        <w:tc>
          <w:tcPr>
            <w:tcW w:w="6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11,697,519</w:t>
            </w:r>
          </w:p>
        </w:tc>
        <w:tc>
          <w:tcPr>
            <w:tcW w:w="220" w:type="dxa"/>
            <w:vAlign w:val="bottom"/>
            <w:shd w:val="clear" w:color="auto" w:fill="CCEEFF"/>
          </w:tcPr>
          <w:p>
            <w:pPr>
              <w:spacing w:after="0"/>
              <w:rPr>
                <w:sz w:val="18"/>
                <w:szCs w:val="18"/>
                <w:color w:val="auto"/>
              </w:rPr>
            </w:pPr>
          </w:p>
        </w:tc>
      </w:tr>
      <w:tr>
        <w:trPr>
          <w:trHeight w:val="108"/>
        </w:trPr>
        <w:tc>
          <w:tcPr>
            <w:tcW w:w="960" w:type="dxa"/>
            <w:vAlign w:val="bottom"/>
            <w:tcBorders>
              <w:bottom w:val="single" w:sz="8" w:color="auto"/>
            </w:tcBorders>
          </w:tcPr>
          <w:p>
            <w:pPr>
              <w:spacing w:after="0"/>
              <w:rPr>
                <w:sz w:val="9"/>
                <w:szCs w:val="9"/>
                <w:color w:val="auto"/>
              </w:rPr>
            </w:pPr>
          </w:p>
        </w:tc>
        <w:tc>
          <w:tcPr>
            <w:tcW w:w="3200" w:type="dxa"/>
            <w:vAlign w:val="bottom"/>
          </w:tcPr>
          <w:p>
            <w:pPr>
              <w:spacing w:after="0"/>
              <w:rPr>
                <w:sz w:val="9"/>
                <w:szCs w:val="9"/>
                <w:color w:val="auto"/>
              </w:rPr>
            </w:pPr>
          </w:p>
        </w:tc>
        <w:tc>
          <w:tcPr>
            <w:tcW w:w="880" w:type="dxa"/>
            <w:vAlign w:val="bottom"/>
          </w:tcPr>
          <w:p>
            <w:pPr>
              <w:spacing w:after="0"/>
              <w:rPr>
                <w:sz w:val="9"/>
                <w:szCs w:val="9"/>
                <w:color w:val="auto"/>
              </w:rPr>
            </w:pPr>
          </w:p>
        </w:tc>
        <w:tc>
          <w:tcPr>
            <w:tcW w:w="680" w:type="dxa"/>
            <w:vAlign w:val="bottom"/>
          </w:tcPr>
          <w:p>
            <w:pPr>
              <w:spacing w:after="0"/>
              <w:rPr>
                <w:sz w:val="9"/>
                <w:szCs w:val="9"/>
                <w:color w:val="auto"/>
              </w:rPr>
            </w:pPr>
          </w:p>
        </w:tc>
        <w:tc>
          <w:tcPr>
            <w:tcW w:w="9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80" w:type="dxa"/>
            <w:vAlign w:val="bottom"/>
          </w:tcPr>
          <w:p>
            <w:pPr>
              <w:spacing w:after="0"/>
              <w:rPr>
                <w:sz w:val="9"/>
                <w:szCs w:val="9"/>
                <w:color w:val="auto"/>
              </w:rPr>
            </w:pPr>
          </w:p>
        </w:tc>
        <w:tc>
          <w:tcPr>
            <w:tcW w:w="620" w:type="dxa"/>
            <w:vAlign w:val="bottom"/>
          </w:tcPr>
          <w:p>
            <w:pPr>
              <w:spacing w:after="0"/>
              <w:rPr>
                <w:sz w:val="9"/>
                <w:szCs w:val="9"/>
                <w:color w:val="auto"/>
              </w:rPr>
            </w:pPr>
          </w:p>
        </w:tc>
        <w:tc>
          <w:tcPr>
            <w:tcW w:w="900" w:type="dxa"/>
            <w:vAlign w:val="bottom"/>
          </w:tcPr>
          <w:p>
            <w:pPr>
              <w:spacing w:after="0"/>
              <w:rPr>
                <w:sz w:val="9"/>
                <w:szCs w:val="9"/>
                <w:color w:val="auto"/>
              </w:rPr>
            </w:pPr>
          </w:p>
        </w:tc>
        <w:tc>
          <w:tcPr>
            <w:tcW w:w="680" w:type="dxa"/>
            <w:vAlign w:val="bottom"/>
          </w:tcPr>
          <w:p>
            <w:pPr>
              <w:spacing w:after="0"/>
              <w:rPr>
                <w:sz w:val="9"/>
                <w:szCs w:val="9"/>
                <w:color w:val="auto"/>
              </w:rPr>
            </w:pPr>
          </w:p>
        </w:tc>
        <w:tc>
          <w:tcPr>
            <w:tcW w:w="880" w:type="dxa"/>
            <w:vAlign w:val="bottom"/>
          </w:tcPr>
          <w:p>
            <w:pPr>
              <w:spacing w:after="0"/>
              <w:rPr>
                <w:sz w:val="9"/>
                <w:szCs w:val="9"/>
                <w:color w:val="auto"/>
              </w:rPr>
            </w:pPr>
          </w:p>
        </w:tc>
        <w:tc>
          <w:tcPr>
            <w:tcW w:w="220" w:type="dxa"/>
            <w:vAlign w:val="bottom"/>
          </w:tcPr>
          <w:p>
            <w:pPr>
              <w:spacing w:after="0"/>
              <w:rPr>
                <w:sz w:val="9"/>
                <w:szCs w:val="9"/>
                <w:color w:val="auto"/>
              </w:rPr>
            </w:pPr>
          </w:p>
        </w:tc>
      </w:tr>
    </w:tbl>
    <w:p>
      <w:pPr>
        <w:spacing w:after="0" w:line="100" w:lineRule="exact"/>
        <w:rPr>
          <w:sz w:val="20"/>
          <w:szCs w:val="20"/>
          <w:color w:val="auto"/>
        </w:rPr>
      </w:pPr>
    </w:p>
    <w:p>
      <w:pPr>
        <w:ind w:left="460" w:hanging="452"/>
        <w:spacing w:after="0"/>
        <w:tabs>
          <w:tab w:leader="none" w:pos="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See Note 2 to the Consolidated Financial Statements related to restatements of previously issued financial statements.</w:t>
      </w:r>
    </w:p>
    <w:p>
      <w:pPr>
        <w:spacing w:after="0" w:line="15" w:lineRule="exact"/>
        <w:rPr>
          <w:sz w:val="20"/>
          <w:szCs w:val="20"/>
          <w:color w:val="auto"/>
        </w:rPr>
      </w:pPr>
    </w:p>
    <w:p>
      <w:pPr>
        <w:ind w:left="460" w:hanging="452"/>
        <w:spacing w:after="0"/>
        <w:tabs>
          <w:tab w:leader="none" w:pos="460" w:val="left"/>
        </w:tabs>
        <w:numPr>
          <w:ilvl w:val="0"/>
          <w:numId w:val="7"/>
        </w:numPr>
        <w:rPr>
          <w:rFonts w:ascii="Arial" w:cs="Arial" w:eastAsia="Arial" w:hAnsi="Arial"/>
          <w:sz w:val="18"/>
          <w:szCs w:val="18"/>
          <w:color w:val="auto"/>
        </w:rPr>
      </w:pPr>
      <w:r>
        <w:rPr>
          <w:rFonts w:ascii="Arial" w:cs="Arial" w:eastAsia="Arial" w:hAnsi="Arial"/>
          <w:sz w:val="18"/>
          <w:szCs w:val="18"/>
          <w:color w:val="auto"/>
        </w:rPr>
        <w:t>See Note 8 to the Consolidated Financial Statements related to a $1,359 impairment charge recorded in 2006.</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7"/>
        </w:numPr>
        <w:rPr>
          <w:rFonts w:ascii="Arial" w:cs="Arial" w:eastAsia="Arial" w:hAnsi="Arial"/>
          <w:sz w:val="18"/>
          <w:szCs w:val="18"/>
          <w:color w:val="auto"/>
        </w:rPr>
      </w:pPr>
      <w:r>
        <w:rPr>
          <w:rFonts w:ascii="Arial" w:cs="Arial" w:eastAsia="Arial" w:hAnsi="Arial"/>
          <w:sz w:val="18"/>
          <w:szCs w:val="18"/>
          <w:color w:val="auto"/>
        </w:rPr>
        <w:t>See Note 14 to the Consolidated Financial Statements related to $1,960 restructuring and asset impairment charges recorded in 2005.</w:t>
      </w:r>
    </w:p>
    <w:p>
      <w:pPr>
        <w:spacing w:after="0" w:line="9" w:lineRule="exact"/>
        <w:rPr>
          <w:rFonts w:ascii="Arial" w:cs="Arial" w:eastAsia="Arial" w:hAnsi="Arial"/>
          <w:sz w:val="18"/>
          <w:szCs w:val="18"/>
          <w:color w:val="auto"/>
        </w:rPr>
      </w:pPr>
    </w:p>
    <w:p>
      <w:pPr>
        <w:ind w:left="460" w:right="40" w:hanging="452"/>
        <w:spacing w:after="0" w:line="250" w:lineRule="auto"/>
        <w:tabs>
          <w:tab w:leader="none" w:pos="460" w:val="left"/>
        </w:tabs>
        <w:numPr>
          <w:ilvl w:val="0"/>
          <w:numId w:val="7"/>
        </w:numPr>
        <w:rPr>
          <w:rFonts w:ascii="Arial" w:cs="Arial" w:eastAsia="Arial" w:hAnsi="Arial"/>
          <w:sz w:val="18"/>
          <w:szCs w:val="18"/>
          <w:color w:val="auto"/>
        </w:rPr>
      </w:pPr>
      <w:r>
        <w:rPr>
          <w:rFonts w:ascii="Arial" w:cs="Arial" w:eastAsia="Arial" w:hAnsi="Arial"/>
          <w:sz w:val="18"/>
          <w:szCs w:val="18"/>
          <w:color w:val="auto"/>
        </w:rPr>
        <w:t>See Note 14 to the Consolidated Financial Statements related to $4,060 restructuring and asset impairment charges recorded in 2004 and Note 5 related to a $3,890 gain recognized on the sale of our California upholstery operation in 2004.</w:t>
      </w:r>
    </w:p>
    <w:p>
      <w:pPr>
        <w:ind w:left="460" w:hanging="452"/>
        <w:spacing w:after="0"/>
        <w:tabs>
          <w:tab w:leader="none" w:pos="46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Includes $3,200 of restructuring and asset impairment charges recorded in 2003.</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Includes $1,251 of restructuring charges recorded in 2002.</w:t>
      </w:r>
    </w:p>
    <w:p>
      <w:pPr>
        <w:spacing w:after="0" w:line="9" w:lineRule="exact"/>
        <w:rPr>
          <w:rFonts w:ascii="Arial" w:cs="Arial" w:eastAsia="Arial" w:hAnsi="Arial"/>
          <w:sz w:val="18"/>
          <w:szCs w:val="18"/>
          <w:color w:val="auto"/>
        </w:rPr>
      </w:pPr>
    </w:p>
    <w:p>
      <w:pPr>
        <w:ind w:left="460" w:right="280" w:hanging="452"/>
        <w:spacing w:after="0" w:line="261" w:lineRule="auto"/>
        <w:tabs>
          <w:tab w:leader="none" w:pos="46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Includes $4,875 cumulative effect adjustment related to the adoption of FASB Interpretation No. 46(R), “Consolidation of Variable Interest Entities—an Interpretation of ARB No. 51”.</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7. </w:t>
      </w:r>
      <w:r>
        <w:rPr>
          <w:rFonts w:ascii="Arial" w:cs="Arial" w:eastAsia="Arial" w:hAnsi="Arial"/>
          <w:sz w:val="18"/>
          <w:szCs w:val="18"/>
          <w:u w:val="single" w:color="auto"/>
          <w:color w:val="auto"/>
        </w:rPr>
        <w:t>MANAGEMENT’S DISCUSSION AND ANALYSIS OF FINANCIAL CONDITION AND RESULTS OF OPERATIONS</w:t>
      </w:r>
    </w:p>
    <w:p>
      <w:pPr>
        <w:spacing w:after="0" w:line="90" w:lineRule="exact"/>
        <w:rPr>
          <w:sz w:val="20"/>
          <w:szCs w:val="20"/>
          <w:color w:val="auto"/>
        </w:rPr>
      </w:pPr>
    </w:p>
    <w:p>
      <w:pPr>
        <w:ind w:left="460" w:right="200"/>
        <w:spacing w:after="0" w:line="268" w:lineRule="auto"/>
        <w:rPr>
          <w:sz w:val="20"/>
          <w:szCs w:val="20"/>
          <w:color w:val="auto"/>
        </w:rPr>
      </w:pPr>
      <w:r>
        <w:rPr>
          <w:rFonts w:ascii="Arial" w:cs="Arial" w:eastAsia="Arial" w:hAnsi="Arial"/>
          <w:sz w:val="18"/>
          <w:szCs w:val="18"/>
          <w:color w:val="auto"/>
        </w:rPr>
        <w:t>The information contained in “Management’s Discussion and Analysis of Financial Condition and Results of Operations” is filed as part of this report on pages F-3 to F-15 and is incorporated herein by reference thereto.</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7A. </w:t>
      </w:r>
      <w:r>
        <w:rPr>
          <w:rFonts w:ascii="Arial" w:cs="Arial" w:eastAsia="Arial" w:hAnsi="Arial"/>
          <w:sz w:val="18"/>
          <w:szCs w:val="18"/>
          <w:u w:val="single" w:color="auto"/>
          <w:color w:val="auto"/>
        </w:rPr>
        <w:t>QUANTITATIVE AND QUALITATIVE DISCLOSURES ABOUT MARKET RISK</w:t>
      </w:r>
    </w:p>
    <w:p>
      <w:pPr>
        <w:spacing w:after="0" w:line="90" w:lineRule="exact"/>
        <w:rPr>
          <w:sz w:val="20"/>
          <w:szCs w:val="20"/>
          <w:color w:val="auto"/>
        </w:rPr>
      </w:pPr>
    </w:p>
    <w:p>
      <w:pPr>
        <w:ind w:left="460" w:right="140"/>
        <w:spacing w:after="0" w:line="268" w:lineRule="auto"/>
        <w:rPr>
          <w:sz w:val="20"/>
          <w:szCs w:val="20"/>
          <w:color w:val="auto"/>
        </w:rPr>
      </w:pPr>
      <w:r>
        <w:rPr>
          <w:rFonts w:ascii="Arial" w:cs="Arial" w:eastAsia="Arial" w:hAnsi="Arial"/>
          <w:sz w:val="18"/>
          <w:szCs w:val="18"/>
          <w:color w:val="auto"/>
        </w:rPr>
        <w:t>The information contained in “Management’s Discussion and Analysis of Financial Condition and Results of Operations—Market Risk” is filed as part of this report on page F-14 and is incorporated herein by reference thereto.</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8. </w:t>
      </w:r>
      <w:r>
        <w:rPr>
          <w:rFonts w:ascii="Arial" w:cs="Arial" w:eastAsia="Arial" w:hAnsi="Arial"/>
          <w:sz w:val="18"/>
          <w:szCs w:val="18"/>
          <w:u w:val="single" w:color="auto"/>
          <w:color w:val="auto"/>
        </w:rPr>
        <w:t>FINANCIAL STATEMENTS AND SUPPLEMENTARY DATA</w:t>
      </w:r>
    </w:p>
    <w:p>
      <w:pPr>
        <w:spacing w:after="0" w:line="90" w:lineRule="exact"/>
        <w:rPr>
          <w:sz w:val="20"/>
          <w:szCs w:val="20"/>
          <w:color w:val="auto"/>
        </w:rPr>
      </w:pPr>
    </w:p>
    <w:p>
      <w:pPr>
        <w:ind w:left="460"/>
        <w:spacing w:after="0" w:line="306" w:lineRule="auto"/>
        <w:rPr>
          <w:sz w:val="20"/>
          <w:szCs w:val="20"/>
          <w:color w:val="auto"/>
        </w:rPr>
      </w:pPr>
      <w:r>
        <w:rPr>
          <w:rFonts w:ascii="Arial" w:cs="Arial" w:eastAsia="Arial" w:hAnsi="Arial"/>
          <w:sz w:val="16"/>
          <w:szCs w:val="16"/>
          <w:color w:val="auto"/>
        </w:rPr>
        <w:t>The consolidated financial statements and notes to consolidated financial statements of the Registrant and its subsidiaries and the reports of the independent registered public accounting firm are filed as part of this report on pages F-16 to F-51 and are incorporated herein by reference thereto. In addition, financial statements of the registrant’s significant non-consolidated subsidiaries are included in this Form 10-K on pages F-53 to F-72.</w:t>
      </w:r>
    </w:p>
    <w:p>
      <w:pPr>
        <w:spacing w:after="0" w:line="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459" w:right="23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ITEM 9. </w:t>
      </w:r>
      <w:r>
        <w:rPr>
          <w:rFonts w:ascii="Arial" w:cs="Arial" w:eastAsia="Arial" w:hAnsi="Arial"/>
          <w:sz w:val="16"/>
          <w:szCs w:val="16"/>
          <w:u w:val="single" w:color="auto"/>
          <w:color w:val="auto"/>
        </w:rPr>
        <w:t>CHANGES IN AND DISAGREEMENTS WITH ACCOUNTANTS ON ACCOUNTING AND FINANCIAL DISCLOSURE</w:t>
      </w:r>
    </w:p>
    <w:p>
      <w:pPr>
        <w:spacing w:after="0" w:line="11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0219"/>
          </w:cols>
          <w:pgMar w:left="240" w:top="459" w:right="1440"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9A. </w:t>
      </w:r>
      <w:r>
        <w:rPr>
          <w:rFonts w:ascii="Arial" w:cs="Arial" w:eastAsia="Arial" w:hAnsi="Arial"/>
          <w:sz w:val="18"/>
          <w:szCs w:val="18"/>
          <w:u w:val="single" w:color="auto"/>
          <w:color w:val="auto"/>
        </w:rPr>
        <w:t>CONTROLS AND PROCEDURES</w:t>
      </w:r>
    </w:p>
    <w:p>
      <w:pPr>
        <w:spacing w:after="0" w:line="84" w:lineRule="exact"/>
        <w:rPr>
          <w:sz w:val="20"/>
          <w:szCs w:val="20"/>
          <w:color w:val="auto"/>
        </w:rPr>
      </w:pPr>
    </w:p>
    <w:p>
      <w:pPr>
        <w:ind w:left="900" w:hanging="446"/>
        <w:spacing w:after="0"/>
        <w:tabs>
          <w:tab w:leader="none" w:pos="900" w:val="left"/>
        </w:tabs>
        <w:numPr>
          <w:ilvl w:val="0"/>
          <w:numId w:val="8"/>
        </w:numPr>
        <w:rPr>
          <w:rFonts w:ascii="Arial" w:cs="Arial" w:eastAsia="Arial" w:hAnsi="Arial"/>
          <w:sz w:val="18"/>
          <w:szCs w:val="18"/>
          <w:color w:val="auto"/>
        </w:rPr>
      </w:pPr>
      <w:r>
        <w:rPr>
          <w:rFonts w:ascii="Arial" w:cs="Arial" w:eastAsia="Arial" w:hAnsi="Arial"/>
          <w:sz w:val="18"/>
          <w:szCs w:val="18"/>
          <w:b w:val="1"/>
          <w:bCs w:val="1"/>
          <w:color w:val="auto"/>
        </w:rPr>
        <w:t>Evaluation of our Disclosure Controls</w:t>
      </w:r>
      <w:r>
        <w:rPr>
          <w:rFonts w:ascii="Arial" w:cs="Arial" w:eastAsia="Arial" w:hAnsi="Arial"/>
          <w:sz w:val="18"/>
          <w:szCs w:val="18"/>
          <w:color w:val="auto"/>
        </w:rPr>
        <w:t>.</w:t>
      </w:r>
    </w:p>
    <w:p>
      <w:pPr>
        <w:spacing w:after="0" w:line="96" w:lineRule="exact"/>
        <w:rPr>
          <w:sz w:val="20"/>
          <w:szCs w:val="20"/>
          <w:color w:val="auto"/>
        </w:rPr>
      </w:pPr>
    </w:p>
    <w:p>
      <w:pPr>
        <w:ind w:left="920" w:right="160"/>
        <w:spacing w:after="0" w:line="298" w:lineRule="auto"/>
        <w:rPr>
          <w:sz w:val="20"/>
          <w:szCs w:val="20"/>
          <w:color w:val="auto"/>
        </w:rPr>
      </w:pPr>
      <w:r>
        <w:rPr>
          <w:rFonts w:ascii="Arial" w:cs="Arial" w:eastAsia="Arial" w:hAnsi="Arial"/>
          <w:sz w:val="16"/>
          <w:szCs w:val="16"/>
          <w:i w:val="1"/>
          <w:iCs w:val="1"/>
          <w:color w:val="auto"/>
        </w:rPr>
        <w:t>Purchase Accounting Restatement</w:t>
      </w:r>
      <w:r>
        <w:rPr>
          <w:rFonts w:ascii="Arial" w:cs="Arial" w:eastAsia="Arial" w:hAnsi="Arial"/>
          <w:sz w:val="16"/>
          <w:szCs w:val="16"/>
          <w:color w:val="auto"/>
        </w:rPr>
        <w:t>. During 2006, the Staff of the Securities and Exchange Commission commenced a review of our 2005 Annual</w:t>
      </w:r>
      <w:r>
        <w:rPr>
          <w:rFonts w:ascii="Arial" w:cs="Arial" w:eastAsia="Arial" w:hAnsi="Arial"/>
          <w:sz w:val="16"/>
          <w:szCs w:val="16"/>
          <w:i w:val="1"/>
          <w:iCs w:val="1"/>
          <w:color w:val="auto"/>
        </w:rPr>
        <w:t xml:space="preserve"> </w:t>
      </w:r>
      <w:r>
        <w:rPr>
          <w:rFonts w:ascii="Arial" w:cs="Arial" w:eastAsia="Arial" w:hAnsi="Arial"/>
          <w:sz w:val="16"/>
          <w:szCs w:val="16"/>
          <w:color w:val="auto"/>
        </w:rPr>
        <w:t>Report on Form 10-K. The Staff challenged our application of generally accepted accounting principles as it related to the purchase accounting associated with our acquisitions of three retail licensee operations in fiscal 2005. Upon further review, we concurred with the Staff’s recommended changes and have restated our 2005 financial statements and 2006 quarterly information as contained in this Annual Report on Form 10-K.</w:t>
      </w:r>
    </w:p>
    <w:p>
      <w:pPr>
        <w:spacing w:after="0" w:line="32" w:lineRule="exact"/>
        <w:rPr>
          <w:sz w:val="20"/>
          <w:szCs w:val="20"/>
          <w:color w:val="auto"/>
        </w:rPr>
      </w:pPr>
    </w:p>
    <w:p>
      <w:pPr>
        <w:ind w:left="920"/>
        <w:spacing w:after="0" w:line="290" w:lineRule="auto"/>
        <w:rPr>
          <w:sz w:val="20"/>
          <w:szCs w:val="20"/>
          <w:color w:val="auto"/>
        </w:rPr>
      </w:pPr>
      <w:r>
        <w:rPr>
          <w:rFonts w:ascii="Arial" w:cs="Arial" w:eastAsia="Arial" w:hAnsi="Arial"/>
          <w:sz w:val="16"/>
          <w:szCs w:val="16"/>
          <w:color w:val="auto"/>
        </w:rPr>
        <w:t>In connection with our acquisitions of the three retail licensee operations in 2005, we initially recognized pre-tax charges of $4,204 to (1) eliminate the gross profit on inventories previously sold to the licensees by Bassett and subsequently acquired in the acquisitions and (2) reduce goodwill associated with the acquisitions to a value we believed was appropriate. Upon further review, we have determined that these charges should not have been recognized in 2005. Accordingly, the inventories should have been stated at their estimated selling prices less cost of disposal as provided in the Financial Accounting Standards Board (FASB) Statement of Financial Accounting Standards No. 141, “Business Combinations” and the full amount of the goodwill should have been recorded on the balance sheet and allocated among the Company’s respective reporting units. See also Notes 2 and 15 to our Consolidated Financial Statements.</w:t>
      </w:r>
    </w:p>
    <w:p>
      <w:pPr>
        <w:spacing w:after="0" w:line="37" w:lineRule="exact"/>
        <w:rPr>
          <w:sz w:val="20"/>
          <w:szCs w:val="20"/>
          <w:color w:val="auto"/>
        </w:rPr>
      </w:pPr>
    </w:p>
    <w:p>
      <w:pPr>
        <w:ind w:left="920" w:right="20"/>
        <w:spacing w:after="0" w:line="290" w:lineRule="auto"/>
        <w:rPr>
          <w:sz w:val="20"/>
          <w:szCs w:val="20"/>
          <w:color w:val="auto"/>
        </w:rPr>
      </w:pPr>
      <w:r>
        <w:rPr>
          <w:rFonts w:ascii="Arial" w:cs="Arial" w:eastAsia="Arial" w:hAnsi="Arial"/>
          <w:sz w:val="16"/>
          <w:szCs w:val="16"/>
          <w:i w:val="1"/>
          <w:iCs w:val="1"/>
          <w:color w:val="auto"/>
        </w:rPr>
        <w:t>Post Employment Benefit Obligation Restatement</w:t>
      </w:r>
      <w:r>
        <w:rPr>
          <w:rFonts w:ascii="Arial" w:cs="Arial" w:eastAsia="Arial" w:hAnsi="Arial"/>
          <w:sz w:val="16"/>
          <w:szCs w:val="16"/>
          <w:color w:val="auto"/>
        </w:rPr>
        <w:t>. During our 2006 year end closing process, we determined that previous actuarial assumptions and</w:t>
      </w:r>
      <w:r>
        <w:rPr>
          <w:rFonts w:ascii="Arial" w:cs="Arial" w:eastAsia="Arial" w:hAnsi="Arial"/>
          <w:sz w:val="16"/>
          <w:szCs w:val="16"/>
          <w:i w:val="1"/>
          <w:iCs w:val="1"/>
          <w:color w:val="auto"/>
        </w:rPr>
        <w:t xml:space="preserve"> </w:t>
      </w:r>
      <w:r>
        <w:rPr>
          <w:rFonts w:ascii="Arial" w:cs="Arial" w:eastAsia="Arial" w:hAnsi="Arial"/>
          <w:sz w:val="16"/>
          <w:szCs w:val="16"/>
          <w:color w:val="auto"/>
        </w:rPr>
        <w:t>calculations associated with the death benefit, mortality and discount rates used in our actuarial valuation for our unfunded Supplemental Retirement Income Plan (“the Supplemental Plan”) were not correct. As specified by Statement of Financial Accounting Standards No. 154, “Accounting Changes and Error Corrections, a replacement of APB Opinion No. 20 and FASB Statement No. 3”, we have treated the effects of correcting the errors as a prior period adjustment as of November 30, 2003, the first day of the fiscal year ended November 27, 2004. The restatement adjustments increased post employment benefit obligations by $5,278, increased deferred tax assets by $2,111 and decreased retained earnings by $3,167 as of the end of fiscal 2003. See also Notes 2 and 12 to our Consolidated Financial Statements.</w:t>
      </w:r>
    </w:p>
    <w:p>
      <w:pPr>
        <w:spacing w:after="0" w:line="37" w:lineRule="exact"/>
        <w:rPr>
          <w:sz w:val="20"/>
          <w:szCs w:val="20"/>
          <w:color w:val="auto"/>
        </w:rPr>
      </w:pPr>
    </w:p>
    <w:p>
      <w:pPr>
        <w:ind w:left="920" w:right="20"/>
        <w:spacing w:after="0" w:line="290" w:lineRule="auto"/>
        <w:rPr>
          <w:sz w:val="20"/>
          <w:szCs w:val="20"/>
          <w:color w:val="auto"/>
        </w:rPr>
      </w:pPr>
      <w:r>
        <w:rPr>
          <w:rFonts w:ascii="Arial" w:cs="Arial" w:eastAsia="Arial" w:hAnsi="Arial"/>
          <w:sz w:val="16"/>
          <w:szCs w:val="16"/>
          <w:i w:val="1"/>
          <w:iCs w:val="1"/>
          <w:color w:val="auto"/>
        </w:rPr>
        <w:t>Control Evaluation</w:t>
      </w:r>
      <w:r>
        <w:rPr>
          <w:rFonts w:ascii="Arial" w:cs="Arial" w:eastAsia="Arial" w:hAnsi="Arial"/>
          <w:sz w:val="16"/>
          <w:szCs w:val="16"/>
          <w:color w:val="auto"/>
        </w:rPr>
        <w:t>. As of the end of the period covered by this Annual Report on Form 10-K, our principal executive officer and principal financial</w:t>
      </w:r>
      <w:r>
        <w:rPr>
          <w:rFonts w:ascii="Arial" w:cs="Arial" w:eastAsia="Arial" w:hAnsi="Arial"/>
          <w:sz w:val="16"/>
          <w:szCs w:val="16"/>
          <w:i w:val="1"/>
          <w:iCs w:val="1"/>
          <w:color w:val="auto"/>
        </w:rPr>
        <w:t xml:space="preserve"> </w:t>
      </w:r>
      <w:r>
        <w:rPr>
          <w:rFonts w:ascii="Arial" w:cs="Arial" w:eastAsia="Arial" w:hAnsi="Arial"/>
          <w:sz w:val="16"/>
          <w:szCs w:val="16"/>
          <w:color w:val="auto"/>
        </w:rPr>
        <w:t>officer have evaluated the effectiveness of our “disclosure controls and procedures” (“Disclosure Controls”). Disclosure Controls, as defined in Rule 13a-15(e) of the Securities Exchange Act of 1934, as amended (the “Exchange Act”), are procedures that are designed with the objective of ensuring that information required to be disclosed in our reports filed under the Exchange Act, such as this Annual Report, is recorded, processed, summarized and reported within the time periods specified in the Securities and Exchange Commission’s rules and forms. Disclosure Controls are also designed with the objective of ensuring that such information is accumulated and communicated to our management, including the CEO and CFO, as appropriate to allow timely decisions regarding required disclosure.</w:t>
      </w:r>
    </w:p>
    <w:p>
      <w:pPr>
        <w:spacing w:after="0" w:line="37" w:lineRule="exact"/>
        <w:rPr>
          <w:sz w:val="20"/>
          <w:szCs w:val="20"/>
          <w:color w:val="auto"/>
        </w:rPr>
      </w:pPr>
    </w:p>
    <w:p>
      <w:pPr>
        <w:ind w:left="920"/>
        <w:spacing w:after="0" w:line="289" w:lineRule="auto"/>
        <w:rPr>
          <w:sz w:val="20"/>
          <w:szCs w:val="20"/>
          <w:color w:val="auto"/>
        </w:rPr>
      </w:pPr>
      <w:r>
        <w:rPr>
          <w:rFonts w:ascii="Arial" w:cs="Arial" w:eastAsia="Arial" w:hAnsi="Arial"/>
          <w:sz w:val="16"/>
          <w:szCs w:val="16"/>
          <w:color w:val="auto"/>
        </w:rPr>
        <w:t>Our management, including the CEO and CFO, does not expect that our Disclosure Controls will prevent or detect all errors and all fraud. A control system, no matter how well conceived and operated, can provide only reasonable, not absolute, assurance that the objectives of the control system are met. Further, the design of a control system must reflect the fact that there are resource constraints, and the benefits of controls must be considered relative to their costs. Because of the inherent limitations in all control systems, no evaluation of controls can provide absolute assurance that all control issues and instances of fraud, if any, within the company have been detected. These inherent limitations include the realities that judgments in decision-making can be faulty, and that breakdowns can occur because of simple error or mistake. The design of any system of controls also is based in part upon certain assumptions about the likelihood of future events, and there can be no assurance that any design will succeed in achieving its stated goals under all potential future conditions.</w:t>
      </w:r>
    </w:p>
    <w:p>
      <w:pPr>
        <w:spacing w:after="0" w:line="37" w:lineRule="exact"/>
        <w:rPr>
          <w:sz w:val="20"/>
          <w:szCs w:val="20"/>
          <w:color w:val="auto"/>
        </w:rPr>
      </w:pPr>
    </w:p>
    <w:p>
      <w:pPr>
        <w:ind w:left="920" w:right="100"/>
        <w:spacing w:after="0" w:line="306" w:lineRule="auto"/>
        <w:rPr>
          <w:sz w:val="20"/>
          <w:szCs w:val="20"/>
          <w:color w:val="auto"/>
        </w:rPr>
      </w:pPr>
      <w:r>
        <w:rPr>
          <w:rFonts w:ascii="Arial" w:cs="Arial" w:eastAsia="Arial" w:hAnsi="Arial"/>
          <w:sz w:val="16"/>
          <w:szCs w:val="16"/>
          <w:color w:val="auto"/>
        </w:rPr>
        <w:t>Based upon their disclosure controls evaluation, our CEO and CFO have concluded that our Disclosure Controls were not effective as of November 25, 2006, due to the lack of sufficient management control processes and accounting personnel to ensure that certain non-routine transactions are properly accounted for and disclosed. This control deficiency resulted in the restatements described above.</w:t>
      </w:r>
    </w:p>
    <w:p>
      <w:pPr>
        <w:spacing w:after="0" w:line="222" w:lineRule="exact"/>
        <w:rPr>
          <w:sz w:val="20"/>
          <w:szCs w:val="20"/>
          <w:color w:val="auto"/>
        </w:rPr>
      </w:pPr>
    </w:p>
    <w:p>
      <w:pPr>
        <w:ind w:left="900" w:hanging="446"/>
        <w:spacing w:after="0"/>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b w:val="1"/>
          <w:bCs w:val="1"/>
          <w:color w:val="auto"/>
        </w:rPr>
        <w:t>Management’s Report of Internal Control over Financial Reporting</w:t>
      </w:r>
      <w:r>
        <w:rPr>
          <w:rFonts w:ascii="Arial" w:cs="Arial" w:eastAsia="Arial" w:hAnsi="Arial"/>
          <w:sz w:val="18"/>
          <w:szCs w:val="18"/>
          <w:color w:val="auto"/>
        </w:rPr>
        <w:t>.</w:t>
      </w:r>
    </w:p>
    <w:p>
      <w:pPr>
        <w:spacing w:after="0" w:line="96" w:lineRule="exact"/>
        <w:rPr>
          <w:sz w:val="20"/>
          <w:szCs w:val="20"/>
          <w:color w:val="auto"/>
        </w:rPr>
      </w:pPr>
    </w:p>
    <w:p>
      <w:pPr>
        <w:ind w:left="920" w:right="360"/>
        <w:spacing w:after="0" w:line="298" w:lineRule="auto"/>
        <w:rPr>
          <w:sz w:val="20"/>
          <w:szCs w:val="20"/>
          <w:color w:val="auto"/>
        </w:rPr>
      </w:pPr>
      <w:r>
        <w:rPr>
          <w:rFonts w:ascii="Arial" w:cs="Arial" w:eastAsia="Arial" w:hAnsi="Arial"/>
          <w:sz w:val="16"/>
          <w:szCs w:val="16"/>
          <w:color w:val="auto"/>
        </w:rPr>
        <w:t>Management is responsible for establishing and maintaining adequate internal control over financial reporting in accordance with Exchange Act Rule 13a-15. With the participation of our Chief Executive Officer and Chief Financial Officer, our management conducted an evaluation of the effectiveness of our internal control over financial reporting as of November 25, 2006, based on the criteria established in Internal Control - Integrated Framework issued by the Committee of Sponsoring Organizations of the Treadway Commission.</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00"/>
          </w:cols>
          <w:pgMar w:left="240" w:top="459" w:right="25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20"/>
        <w:spacing w:after="0" w:line="259" w:lineRule="auto"/>
        <w:rPr>
          <w:sz w:val="20"/>
          <w:szCs w:val="20"/>
          <w:color w:val="auto"/>
        </w:rPr>
      </w:pPr>
      <w:r>
        <w:rPr>
          <w:rFonts w:ascii="Arial" w:cs="Arial" w:eastAsia="Arial" w:hAnsi="Arial"/>
          <w:sz w:val="18"/>
          <w:szCs w:val="18"/>
          <w:color w:val="auto"/>
        </w:rPr>
        <w:t>A control system, no matter how well conceived and operated, can provide only reasonable, not absolute, assurance that the objectives of the control system are met. Because of the inherent limitations in all control systems, no evaluation of controls can provide absolute assurance that all control issues and instances of fraud, if any, within the Company have been detected.</w:t>
      </w:r>
    </w:p>
    <w:p>
      <w:pPr>
        <w:spacing w:after="0" w:line="59" w:lineRule="exact"/>
        <w:rPr>
          <w:sz w:val="20"/>
          <w:szCs w:val="20"/>
          <w:color w:val="auto"/>
        </w:rPr>
      </w:pPr>
    </w:p>
    <w:p>
      <w:pPr>
        <w:ind w:left="920" w:right="20"/>
        <w:spacing w:after="0" w:line="290" w:lineRule="auto"/>
        <w:rPr>
          <w:sz w:val="20"/>
          <w:szCs w:val="20"/>
          <w:color w:val="auto"/>
        </w:rPr>
      </w:pPr>
      <w:r>
        <w:rPr>
          <w:rFonts w:ascii="Arial" w:cs="Arial" w:eastAsia="Arial" w:hAnsi="Arial"/>
          <w:sz w:val="16"/>
          <w:szCs w:val="16"/>
          <w:color w:val="auto"/>
        </w:rPr>
        <w:t>A material weakness is a control deficiency, or combination of control deficiencies, that results in more than a remote likelihood that a material misstatement of the annual or interim financial statements will not be prevented or detected. Our assessment as of November 25, 2006, identified a material weakness in that we lack sufficient management control processes and accounting personnel to ensure that certain non-routine transactions are properly accounted for and disclosed. This control deficiency resulted in the restatements described in paragraph a. of this Item 9A relating to certain purchase accounting transactions and the unfunded liability associated with our Supplemental Retirement Income Plan. Additionally, this control deficiency, if not remediated, could result in a material misstatement to annual or interim consolidated financial statements that would not be prevented or detected.</w:t>
      </w:r>
    </w:p>
    <w:p>
      <w:pPr>
        <w:spacing w:after="0" w:line="37" w:lineRule="exact"/>
        <w:rPr>
          <w:sz w:val="20"/>
          <w:szCs w:val="20"/>
          <w:color w:val="auto"/>
        </w:rPr>
      </w:pPr>
    </w:p>
    <w:p>
      <w:pPr>
        <w:ind w:left="920" w:right="180"/>
        <w:spacing w:after="0" w:line="268" w:lineRule="auto"/>
        <w:rPr>
          <w:sz w:val="20"/>
          <w:szCs w:val="20"/>
          <w:color w:val="auto"/>
        </w:rPr>
      </w:pPr>
      <w:r>
        <w:rPr>
          <w:rFonts w:ascii="Arial" w:cs="Arial" w:eastAsia="Arial" w:hAnsi="Arial"/>
          <w:sz w:val="18"/>
          <w:szCs w:val="18"/>
          <w:color w:val="auto"/>
        </w:rPr>
        <w:t>Based on this evaluation and the material weakness noted above, management concluded that our internal control over financial reporting was not effective as of November 25, 2006.</w:t>
      </w:r>
    </w:p>
    <w:p>
      <w:pPr>
        <w:spacing w:after="0" w:line="51" w:lineRule="exact"/>
        <w:rPr>
          <w:sz w:val="20"/>
          <w:szCs w:val="20"/>
          <w:color w:val="auto"/>
        </w:rPr>
      </w:pPr>
    </w:p>
    <w:p>
      <w:pPr>
        <w:ind w:left="920" w:right="240"/>
        <w:spacing w:after="0" w:line="332" w:lineRule="auto"/>
        <w:rPr>
          <w:sz w:val="20"/>
          <w:szCs w:val="20"/>
          <w:color w:val="auto"/>
        </w:rPr>
      </w:pPr>
      <w:r>
        <w:rPr>
          <w:rFonts w:ascii="Arial" w:cs="Arial" w:eastAsia="Arial" w:hAnsi="Arial"/>
          <w:sz w:val="16"/>
          <w:szCs w:val="16"/>
          <w:color w:val="auto"/>
        </w:rPr>
        <w:t>Our assessment of the effectiveness of our internal control over financial reporting as of November 25, 2006, has been audited by Ernst &amp; Young LLP, an independent registered public accounting firm, as stated in their report incorporated by reference under Item 8.</w:t>
      </w:r>
    </w:p>
    <w:p>
      <w:pPr>
        <w:spacing w:after="0" w:line="201" w:lineRule="exact"/>
        <w:rPr>
          <w:sz w:val="20"/>
          <w:szCs w:val="20"/>
          <w:color w:val="auto"/>
        </w:rPr>
      </w:pPr>
    </w:p>
    <w:p>
      <w:pPr>
        <w:ind w:left="900" w:hanging="446"/>
        <w:spacing w:after="0"/>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b w:val="1"/>
          <w:bCs w:val="1"/>
          <w:color w:val="auto"/>
        </w:rPr>
        <w:t>Changes in internal control over financial reporting</w:t>
      </w:r>
      <w:r>
        <w:rPr>
          <w:rFonts w:ascii="Arial" w:cs="Arial" w:eastAsia="Arial" w:hAnsi="Arial"/>
          <w:sz w:val="18"/>
          <w:szCs w:val="18"/>
          <w:color w:val="auto"/>
        </w:rPr>
        <w:t>.</w:t>
      </w:r>
    </w:p>
    <w:p>
      <w:pPr>
        <w:spacing w:after="0" w:line="96" w:lineRule="exact"/>
        <w:rPr>
          <w:sz w:val="20"/>
          <w:szCs w:val="20"/>
          <w:color w:val="auto"/>
        </w:rPr>
      </w:pPr>
    </w:p>
    <w:p>
      <w:pPr>
        <w:ind w:left="920" w:right="340"/>
        <w:spacing w:after="0" w:line="256" w:lineRule="auto"/>
        <w:rPr>
          <w:sz w:val="20"/>
          <w:szCs w:val="20"/>
          <w:color w:val="auto"/>
        </w:rPr>
      </w:pPr>
      <w:r>
        <w:rPr>
          <w:rFonts w:ascii="Arial" w:cs="Arial" w:eastAsia="Arial" w:hAnsi="Arial"/>
          <w:sz w:val="18"/>
          <w:szCs w:val="18"/>
          <w:color w:val="auto"/>
        </w:rPr>
        <w:t>There have been no changes in our internal controls over financial reporting during our fourth fiscal quarter that have materially affected, or are reasonably likely to materially affect, our internal control over financial reporting. In the first quarter of 2007, we changed the actuary for our Supplemental Retirement Income Plan and used the actuarial valuation by the new actuary to correct the obligations recorded in our financial statements for this plan.</w:t>
      </w:r>
    </w:p>
    <w:p>
      <w:pPr>
        <w:spacing w:after="0" w:line="259" w:lineRule="exact"/>
        <w:rPr>
          <w:sz w:val="20"/>
          <w:szCs w:val="20"/>
          <w:color w:val="auto"/>
        </w:rPr>
      </w:pPr>
    </w:p>
    <w:p>
      <w:pPr>
        <w:ind w:left="900" w:hanging="446"/>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b w:val="1"/>
          <w:bCs w:val="1"/>
          <w:color w:val="auto"/>
        </w:rPr>
        <w:t>Remediation of deficiency in Disclosure Controls and internal control over financial reporting</w:t>
      </w:r>
      <w:r>
        <w:rPr>
          <w:rFonts w:ascii="Arial" w:cs="Arial" w:eastAsia="Arial" w:hAnsi="Arial"/>
          <w:sz w:val="18"/>
          <w:szCs w:val="18"/>
          <w:color w:val="auto"/>
        </w:rPr>
        <w:t>.</w:t>
      </w:r>
    </w:p>
    <w:p>
      <w:pPr>
        <w:spacing w:after="0" w:line="96" w:lineRule="exact"/>
        <w:rPr>
          <w:sz w:val="20"/>
          <w:szCs w:val="20"/>
          <w:color w:val="auto"/>
        </w:rPr>
      </w:pPr>
    </w:p>
    <w:p>
      <w:pPr>
        <w:ind w:left="920" w:right="200"/>
        <w:spacing w:after="0" w:line="259" w:lineRule="auto"/>
        <w:rPr>
          <w:sz w:val="20"/>
          <w:szCs w:val="20"/>
          <w:color w:val="auto"/>
        </w:rPr>
      </w:pPr>
      <w:r>
        <w:rPr>
          <w:rFonts w:ascii="Arial" w:cs="Arial" w:eastAsia="Arial" w:hAnsi="Arial"/>
          <w:sz w:val="18"/>
          <w:szCs w:val="18"/>
          <w:color w:val="auto"/>
        </w:rPr>
        <w:t>We believe that we did not have sufficient management control processes and accounting personnel to ensure that we properly account for and disclose certain material non-routine transactions and to effectively review significant assumptions associated with those transactions. Our plan to remediate this deficiency includes the following:</w:t>
      </w:r>
    </w:p>
    <w:p>
      <w:pPr>
        <w:spacing w:after="0" w:line="59" w:lineRule="exact"/>
        <w:rPr>
          <w:sz w:val="20"/>
          <w:szCs w:val="20"/>
          <w:color w:val="auto"/>
        </w:rPr>
      </w:pPr>
    </w:p>
    <w:p>
      <w:pPr>
        <w:ind w:left="1580" w:right="120" w:hanging="329"/>
        <w:spacing w:after="0" w:line="332" w:lineRule="auto"/>
        <w:tabs>
          <w:tab w:leader="none" w:pos="1580" w:val="left"/>
        </w:tabs>
        <w:numPr>
          <w:ilvl w:val="0"/>
          <w:numId w:val="12"/>
        </w:numPr>
        <w:rPr>
          <w:rFonts w:ascii="Arial" w:cs="Arial" w:eastAsia="Arial" w:hAnsi="Arial"/>
          <w:sz w:val="16"/>
          <w:szCs w:val="16"/>
          <w:color w:val="auto"/>
        </w:rPr>
      </w:pPr>
      <w:r>
        <w:rPr>
          <w:rFonts w:ascii="Arial" w:cs="Arial" w:eastAsia="Arial" w:hAnsi="Arial"/>
          <w:sz w:val="16"/>
          <w:szCs w:val="16"/>
          <w:u w:val="single" w:color="auto"/>
          <w:color w:val="auto"/>
        </w:rPr>
        <w:t>Strengthening the personnel in the corporate accounting department</w:t>
      </w:r>
      <w:r>
        <w:rPr>
          <w:rFonts w:ascii="Arial" w:cs="Arial" w:eastAsia="Arial" w:hAnsi="Arial"/>
          <w:sz w:val="16"/>
          <w:szCs w:val="16"/>
          <w:color w:val="auto"/>
        </w:rPr>
        <w:t>. We are currently reviewing the structure of our corporate accounting department and plan to add at least one senior level controller with significant accounting and financial reporting experience.</w:t>
      </w:r>
    </w:p>
    <w:p>
      <w:pPr>
        <w:spacing w:after="0" w:line="4" w:lineRule="exact"/>
        <w:rPr>
          <w:rFonts w:ascii="Arial" w:cs="Arial" w:eastAsia="Arial" w:hAnsi="Arial"/>
          <w:sz w:val="16"/>
          <w:szCs w:val="16"/>
          <w:color w:val="auto"/>
        </w:rPr>
      </w:pPr>
    </w:p>
    <w:p>
      <w:pPr>
        <w:ind w:left="1580" w:right="220" w:hanging="329"/>
        <w:spacing w:after="0" w:line="259" w:lineRule="auto"/>
        <w:tabs>
          <w:tab w:leader="none" w:pos="1580" w:val="left"/>
        </w:tabs>
        <w:numPr>
          <w:ilvl w:val="0"/>
          <w:numId w:val="12"/>
        </w:numPr>
        <w:rPr>
          <w:rFonts w:ascii="Arial" w:cs="Arial" w:eastAsia="Arial" w:hAnsi="Arial"/>
          <w:sz w:val="18"/>
          <w:szCs w:val="18"/>
          <w:color w:val="auto"/>
        </w:rPr>
      </w:pPr>
      <w:r>
        <w:rPr>
          <w:rFonts w:ascii="Arial" w:cs="Arial" w:eastAsia="Arial" w:hAnsi="Arial"/>
          <w:sz w:val="18"/>
          <w:szCs w:val="18"/>
          <w:u w:val="single" w:color="auto"/>
          <w:color w:val="auto"/>
        </w:rPr>
        <w:t>Improving the internal review process</w:t>
      </w:r>
      <w:r>
        <w:rPr>
          <w:rFonts w:ascii="Arial" w:cs="Arial" w:eastAsia="Arial" w:hAnsi="Arial"/>
          <w:sz w:val="18"/>
          <w:szCs w:val="18"/>
          <w:color w:val="auto"/>
        </w:rPr>
        <w:t>. We plan to develop a more stringent multi-level management research and review process over significant non-routine transactions and estimates to ensure that the accounting and disclosure are in conformity with generally accepted accounting principles.</w:t>
      </w:r>
    </w:p>
    <w:p>
      <w:pPr>
        <w:spacing w:after="0" w:line="59" w:lineRule="exact"/>
        <w:rPr>
          <w:rFonts w:ascii="Arial" w:cs="Arial" w:eastAsia="Arial" w:hAnsi="Arial"/>
          <w:sz w:val="18"/>
          <w:szCs w:val="18"/>
          <w:color w:val="auto"/>
        </w:rPr>
      </w:pPr>
    </w:p>
    <w:p>
      <w:pPr>
        <w:ind w:left="1580" w:right="200" w:hanging="329"/>
        <w:spacing w:after="0" w:line="259" w:lineRule="auto"/>
        <w:tabs>
          <w:tab w:leader="none" w:pos="1580" w:val="left"/>
        </w:tabs>
        <w:numPr>
          <w:ilvl w:val="0"/>
          <w:numId w:val="12"/>
        </w:numPr>
        <w:rPr>
          <w:rFonts w:ascii="Arial" w:cs="Arial" w:eastAsia="Arial" w:hAnsi="Arial"/>
          <w:sz w:val="18"/>
          <w:szCs w:val="18"/>
          <w:color w:val="auto"/>
        </w:rPr>
      </w:pPr>
      <w:r>
        <w:rPr>
          <w:rFonts w:ascii="Arial" w:cs="Arial" w:eastAsia="Arial" w:hAnsi="Arial"/>
          <w:sz w:val="18"/>
          <w:szCs w:val="18"/>
          <w:u w:val="single" w:color="auto"/>
          <w:color w:val="auto"/>
        </w:rPr>
        <w:t>Improving the research and review of transactions with alternative accounting treatments</w:t>
      </w:r>
      <w:r>
        <w:rPr>
          <w:rFonts w:ascii="Arial" w:cs="Arial" w:eastAsia="Arial" w:hAnsi="Arial"/>
          <w:sz w:val="18"/>
          <w:szCs w:val="18"/>
          <w:color w:val="auto"/>
        </w:rPr>
        <w:t>. We plan to develop a process for new material non-routine transactions whereby alternative accounting treatments are researched and evaluated. Any alternative treatments will be reviewed with the Audit Committee prior to final implementation of the accounting policy.</w:t>
      </w:r>
    </w:p>
    <w:p>
      <w:pPr>
        <w:spacing w:after="0" w:line="59" w:lineRule="exact"/>
        <w:rPr>
          <w:sz w:val="20"/>
          <w:szCs w:val="20"/>
          <w:color w:val="auto"/>
        </w:rPr>
      </w:pPr>
    </w:p>
    <w:p>
      <w:pPr>
        <w:ind w:left="920" w:right="20"/>
        <w:spacing w:after="0" w:line="259" w:lineRule="auto"/>
        <w:rPr>
          <w:sz w:val="20"/>
          <w:szCs w:val="20"/>
          <w:color w:val="auto"/>
        </w:rPr>
      </w:pPr>
      <w:r>
        <w:rPr>
          <w:rFonts w:ascii="Arial" w:cs="Arial" w:eastAsia="Arial" w:hAnsi="Arial"/>
          <w:sz w:val="18"/>
          <w:szCs w:val="18"/>
          <w:color w:val="auto"/>
        </w:rPr>
        <w:t>Although we believe the execution of this plan will improve our systems of disclosure controls and internal controls over financial reporting, the effectiveness of this plan, once executed, will be subject to testing by us and our independent auditors and there can be no assurance at this time that the plan will effectively remediate the material weakness described above.</w:t>
      </w:r>
    </w:p>
    <w:p>
      <w:pPr>
        <w:spacing w:after="0" w:line="256" w:lineRule="exact"/>
        <w:rPr>
          <w:sz w:val="20"/>
          <w:szCs w:val="20"/>
          <w:color w:val="auto"/>
        </w:rPr>
      </w:pPr>
    </w:p>
    <w:p>
      <w:pPr>
        <w:ind w:left="900" w:hanging="446"/>
        <w:spacing w:after="0"/>
        <w:tabs>
          <w:tab w:leader="none" w:pos="90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Management Certifications</w:t>
      </w:r>
    </w:p>
    <w:p>
      <w:pPr>
        <w:spacing w:after="0" w:line="96" w:lineRule="exact"/>
        <w:rPr>
          <w:sz w:val="20"/>
          <w:szCs w:val="20"/>
          <w:color w:val="auto"/>
        </w:rPr>
      </w:pPr>
    </w:p>
    <w:p>
      <w:pPr>
        <w:ind w:left="920" w:right="60"/>
        <w:spacing w:after="0" w:line="294" w:lineRule="auto"/>
        <w:rPr>
          <w:sz w:val="20"/>
          <w:szCs w:val="20"/>
          <w:color w:val="auto"/>
        </w:rPr>
      </w:pPr>
      <w:r>
        <w:rPr>
          <w:rFonts w:ascii="Arial" w:cs="Arial" w:eastAsia="Arial" w:hAnsi="Arial"/>
          <w:sz w:val="16"/>
          <w:szCs w:val="16"/>
          <w:color w:val="auto"/>
        </w:rPr>
        <w:t>The certifications of our Chief Executive Officer and Chief Financial Officer required in accordance with Section 302 of the Sarbanes-Oxley Act of 2002 are attached as exhibits to this Annual Report on Form 10-K. The disclosures set forth in this Item 9A contain information concerning (i) the design and evaluation of our Disclosure Controls referred to in paragraph 4 of the certifications and (ii) the design and evaluation of our internal controls over financial reporting referred to in paragraphs 4 and 5 of the certifications. Those certifications should be read in conjunction with this Item 9A for a more complete understanding of the matters covered by the certifications.</w:t>
      </w:r>
    </w:p>
    <w:p>
      <w:pPr>
        <w:spacing w:after="0" w:line="10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360"/>
          </w:cols>
          <w:pgMar w:left="240" w:top="459" w:right="29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9B. </w:t>
      </w:r>
      <w:r>
        <w:rPr>
          <w:rFonts w:ascii="Arial" w:cs="Arial" w:eastAsia="Arial" w:hAnsi="Arial"/>
          <w:sz w:val="18"/>
          <w:szCs w:val="18"/>
          <w:u w:val="single" w:color="auto"/>
          <w:color w:val="auto"/>
        </w:rPr>
        <w:t>OTHER INFORMATION</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333" w:lineRule="exact"/>
        <w:rPr>
          <w:sz w:val="20"/>
          <w:szCs w:val="20"/>
          <w:color w:val="auto"/>
        </w:rPr>
      </w:pPr>
    </w:p>
    <w:p>
      <w:pPr>
        <w:ind w:left="5400"/>
        <w:spacing w:after="0"/>
        <w:rPr>
          <w:sz w:val="20"/>
          <w:szCs w:val="20"/>
          <w:color w:val="auto"/>
        </w:rPr>
      </w:pPr>
      <w:r>
        <w:rPr>
          <w:rFonts w:ascii="Arial" w:cs="Arial" w:eastAsia="Arial" w:hAnsi="Arial"/>
          <w:sz w:val="18"/>
          <w:szCs w:val="18"/>
          <w:u w:val="single" w:color="auto"/>
          <w:color w:val="auto"/>
        </w:rPr>
        <w:t>PART III</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10. </w:t>
      </w:r>
      <w:r>
        <w:rPr>
          <w:rFonts w:ascii="Arial" w:cs="Arial" w:eastAsia="Arial" w:hAnsi="Arial"/>
          <w:sz w:val="18"/>
          <w:szCs w:val="18"/>
          <w:u w:val="single" w:color="auto"/>
          <w:color w:val="auto"/>
        </w:rPr>
        <w:t>DIRECTORS AND EXECUTIVE OFFICERS OF THE REGISTRANT</w:t>
      </w:r>
    </w:p>
    <w:p>
      <w:pPr>
        <w:spacing w:after="0" w:line="90" w:lineRule="exact"/>
        <w:rPr>
          <w:sz w:val="20"/>
          <w:szCs w:val="20"/>
          <w:color w:val="auto"/>
        </w:rPr>
      </w:pPr>
    </w:p>
    <w:p>
      <w:pPr>
        <w:ind w:left="460" w:right="200"/>
        <w:spacing w:after="0" w:line="259" w:lineRule="auto"/>
        <w:rPr>
          <w:sz w:val="20"/>
          <w:szCs w:val="20"/>
          <w:color w:val="auto"/>
        </w:rPr>
      </w:pPr>
      <w:r>
        <w:rPr>
          <w:rFonts w:ascii="Arial" w:cs="Arial" w:eastAsia="Arial" w:hAnsi="Arial"/>
          <w:sz w:val="18"/>
          <w:szCs w:val="18"/>
          <w:color w:val="auto"/>
        </w:rPr>
        <w:t>The information contained in the Proxy Statement under the captions “Election of Directors”, “The Board of Directors and its Committees” and “Section 16(a) Beneficial Ownership Reporting Compliance” is incorporated herein by reference thereto. Please see section entitled “Executive Officers of the Registrant” in Item 4b of Part I of this report for information concerning executive officers.</w:t>
      </w:r>
    </w:p>
    <w:p>
      <w:pPr>
        <w:spacing w:after="0" w:line="59" w:lineRule="exact"/>
        <w:rPr>
          <w:sz w:val="20"/>
          <w:szCs w:val="20"/>
          <w:color w:val="auto"/>
        </w:rPr>
      </w:pPr>
    </w:p>
    <w:p>
      <w:pPr>
        <w:ind w:left="460" w:right="140"/>
        <w:spacing w:after="0" w:line="332" w:lineRule="auto"/>
        <w:rPr>
          <w:sz w:val="20"/>
          <w:szCs w:val="20"/>
          <w:color w:val="auto"/>
        </w:rPr>
      </w:pPr>
      <w:r>
        <w:rPr>
          <w:rFonts w:ascii="Arial" w:cs="Arial" w:eastAsia="Arial" w:hAnsi="Arial"/>
          <w:sz w:val="16"/>
          <w:szCs w:val="16"/>
          <w:color w:val="auto"/>
        </w:rPr>
        <w:t>The Registrant has a code of ethics that applies to all of its employees, officers and directors. The code of ethics is available on the Registrant’s website at www.bassettfurniture.com and the Registrant will post any amendments to, or waivers, from, the code of ethics on that website.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11. </w:t>
      </w:r>
      <w:r>
        <w:rPr>
          <w:rFonts w:ascii="Arial" w:cs="Arial" w:eastAsia="Arial" w:hAnsi="Arial"/>
          <w:sz w:val="18"/>
          <w:szCs w:val="18"/>
          <w:u w:val="single" w:color="auto"/>
          <w:color w:val="auto"/>
        </w:rPr>
        <w:t>EXECUTIVE COMPENSATION</w:t>
      </w:r>
    </w:p>
    <w:p>
      <w:pPr>
        <w:spacing w:after="0" w:line="90" w:lineRule="exact"/>
        <w:rPr>
          <w:sz w:val="20"/>
          <w:szCs w:val="20"/>
          <w:color w:val="auto"/>
        </w:rPr>
      </w:pPr>
    </w:p>
    <w:p>
      <w:pPr>
        <w:ind w:left="460" w:right="220"/>
        <w:spacing w:after="0" w:line="259" w:lineRule="auto"/>
        <w:rPr>
          <w:sz w:val="20"/>
          <w:szCs w:val="20"/>
          <w:color w:val="auto"/>
        </w:rPr>
      </w:pPr>
      <w:r>
        <w:rPr>
          <w:rFonts w:ascii="Arial" w:cs="Arial" w:eastAsia="Arial" w:hAnsi="Arial"/>
          <w:sz w:val="18"/>
          <w:szCs w:val="18"/>
          <w:color w:val="auto"/>
        </w:rPr>
        <w:t>The information contained in the Proxy Statement under the captions “Organization, Compensation and Nominating Committee Report,” “Stockholder Return Performance Graph,” “Executive Compensation,” “Supplemental Retirement Income Plan,” “Deferred Compensation Agreement,” and “Director Compensation” is incorporated herein by reference thereto.</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12. </w:t>
      </w:r>
      <w:r>
        <w:rPr>
          <w:rFonts w:ascii="Arial" w:cs="Arial" w:eastAsia="Arial" w:hAnsi="Arial"/>
          <w:sz w:val="18"/>
          <w:szCs w:val="18"/>
          <w:u w:val="single" w:color="auto"/>
          <w:color w:val="auto"/>
        </w:rPr>
        <w:t>SECURITY OWNERSHIP OF CERTAIN BENEFICIAL OWNERS AND MANAGEMENT AND RELATED STOCKHOLDER MATTERS</w:t>
      </w:r>
    </w:p>
    <w:p>
      <w:pPr>
        <w:spacing w:after="0" w:line="90" w:lineRule="exact"/>
        <w:rPr>
          <w:sz w:val="20"/>
          <w:szCs w:val="20"/>
          <w:color w:val="auto"/>
        </w:rPr>
      </w:pPr>
    </w:p>
    <w:p>
      <w:pPr>
        <w:ind w:left="460"/>
        <w:spacing w:after="0" w:line="268" w:lineRule="auto"/>
        <w:rPr>
          <w:sz w:val="20"/>
          <w:szCs w:val="20"/>
          <w:color w:val="auto"/>
        </w:rPr>
      </w:pPr>
      <w:r>
        <w:rPr>
          <w:rFonts w:ascii="Arial" w:cs="Arial" w:eastAsia="Arial" w:hAnsi="Arial"/>
          <w:sz w:val="18"/>
          <w:szCs w:val="18"/>
          <w:color w:val="auto"/>
        </w:rPr>
        <w:t>The information contained in the Proxy Statement under the headings “Principal Stockholders and Holdings of Management” and “Election of Directors” is incorporated herein by reference thereto.</w:t>
      </w:r>
    </w:p>
    <w:p>
      <w:pPr>
        <w:spacing w:after="0" w:line="5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information included in the Proxy Statement under the caption “Equity Compensation Plan Information” is incorporated herein by reference thereto.</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13. </w:t>
      </w:r>
      <w:r>
        <w:rPr>
          <w:rFonts w:ascii="Arial" w:cs="Arial" w:eastAsia="Arial" w:hAnsi="Arial"/>
          <w:sz w:val="18"/>
          <w:szCs w:val="18"/>
          <w:u w:val="single" w:color="auto"/>
          <w:color w:val="auto"/>
        </w:rPr>
        <w:t>CERTAIN RELATIONSHIPS AND RELATED TRANSACTIONS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information included in the Proxy Statement under the caption “Other Transactions” is incorporated herein by reference thereto.</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14. </w:t>
      </w:r>
      <w:r>
        <w:rPr>
          <w:rFonts w:ascii="Arial" w:cs="Arial" w:eastAsia="Arial" w:hAnsi="Arial"/>
          <w:sz w:val="18"/>
          <w:szCs w:val="18"/>
          <w:u w:val="single" w:color="auto"/>
          <w:color w:val="auto"/>
        </w:rPr>
        <w:t>PRINCIPAL ACCOUNTING FEES AND SERVICES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information contained in the Proxy Statement under the caption “Audit and Other Fees” is incorporated herein by reference thereto.</w:t>
      </w:r>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PART IV</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ITEM 15. </w:t>
      </w:r>
      <w:r>
        <w:rPr>
          <w:rFonts w:ascii="Arial" w:cs="Arial" w:eastAsia="Arial" w:hAnsi="Arial"/>
          <w:sz w:val="18"/>
          <w:szCs w:val="18"/>
          <w:u w:val="single" w:color="auto"/>
          <w:color w:val="auto"/>
        </w:rPr>
        <w:t>EXHIBITS, FINANCIAL STATEMENT SCHEDULES</w:t>
      </w:r>
    </w:p>
    <w:p>
      <w:pPr>
        <w:spacing w:after="0" w:line="212" w:lineRule="exact"/>
        <w:rPr>
          <w:sz w:val="20"/>
          <w:szCs w:val="20"/>
          <w:color w:val="auto"/>
        </w:rPr>
      </w:pPr>
    </w:p>
    <w:p>
      <w:pPr>
        <w:ind w:left="1060" w:right="740" w:hanging="593"/>
        <w:spacing w:after="0" w:line="422" w:lineRule="auto"/>
        <w:tabs>
          <w:tab w:leader="none" w:pos="705" w:val="left"/>
        </w:tabs>
        <w:numPr>
          <w:ilvl w:val="0"/>
          <w:numId w:val="14"/>
        </w:numPr>
        <w:rPr>
          <w:rFonts w:ascii="Arial" w:cs="Arial" w:eastAsia="Arial" w:hAnsi="Arial"/>
          <w:sz w:val="16"/>
          <w:szCs w:val="16"/>
          <w:color w:val="auto"/>
        </w:rPr>
      </w:pPr>
      <w:r>
        <w:rPr>
          <w:rFonts w:ascii="Arial" w:cs="Arial" w:eastAsia="Arial" w:hAnsi="Arial"/>
          <w:sz w:val="16"/>
          <w:szCs w:val="16"/>
          <w:color w:val="auto"/>
        </w:rPr>
        <w:t>(1) The consolidated financial statements of the registrant and its subsidiaries are listed and filed as part of this report on pages F-16 to F-51. International Home Furnishings Center, Inc. Financial Statements are listed and filed as part of this report on pages F-53 to F-72.</w:t>
      </w:r>
    </w:p>
    <w:p>
      <w:pPr>
        <w:spacing w:after="0" w:line="1" w:lineRule="exact"/>
        <w:rPr>
          <w:sz w:val="20"/>
          <w:szCs w:val="20"/>
          <w:color w:val="auto"/>
        </w:rPr>
      </w:pPr>
    </w:p>
    <w:p>
      <w:pPr>
        <w:ind w:left="1060" w:right="520"/>
        <w:spacing w:after="0" w:line="268" w:lineRule="auto"/>
        <w:rPr>
          <w:sz w:val="20"/>
          <w:szCs w:val="20"/>
          <w:color w:val="auto"/>
        </w:rPr>
      </w:pPr>
      <w:r>
        <w:rPr>
          <w:rFonts w:ascii="Arial" w:cs="Arial" w:eastAsia="Arial" w:hAnsi="Arial"/>
          <w:sz w:val="18"/>
          <w:szCs w:val="18"/>
          <w:color w:val="auto"/>
        </w:rPr>
        <w:t>Financial statements of BFD Northeast, LLC are required to be filed pursuant to Rule 3-09 of Regulation S-X. Such financial statements are not currently available and will be filed as an amendment to this Form 10-K when available.</w:t>
      </w:r>
    </w:p>
    <w:p>
      <w:pPr>
        <w:spacing w:after="0" w:line="78" w:lineRule="exact"/>
        <w:rPr>
          <w:sz w:val="20"/>
          <w:szCs w:val="20"/>
          <w:color w:val="auto"/>
        </w:rPr>
      </w:pPr>
    </w:p>
    <w:p>
      <w:pPr>
        <w:ind w:left="1060" w:hanging="329"/>
        <w:spacing w:after="0"/>
        <w:tabs>
          <w:tab w:leader="none" w:pos="10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Financial Statement Schedule:</w:t>
      </w:r>
    </w:p>
    <w:p>
      <w:pPr>
        <w:spacing w:after="0" w:line="117" w:lineRule="exact"/>
        <w:rPr>
          <w:rFonts w:ascii="Arial" w:cs="Arial" w:eastAsia="Arial" w:hAnsi="Arial"/>
          <w:sz w:val="18"/>
          <w:szCs w:val="18"/>
          <w:color w:val="auto"/>
        </w:rPr>
      </w:pPr>
    </w:p>
    <w:p>
      <w:pPr>
        <w:ind w:left="1060" w:right="3180"/>
        <w:spacing w:after="0" w:line="332" w:lineRule="auto"/>
        <w:rPr>
          <w:rFonts w:ascii="Arial" w:cs="Arial" w:eastAsia="Arial" w:hAnsi="Arial"/>
          <w:sz w:val="18"/>
          <w:szCs w:val="18"/>
          <w:color w:val="auto"/>
        </w:rPr>
      </w:pPr>
      <w:r>
        <w:rPr>
          <w:rFonts w:ascii="Arial" w:cs="Arial" w:eastAsia="Arial" w:hAnsi="Arial"/>
          <w:sz w:val="16"/>
          <w:szCs w:val="16"/>
          <w:color w:val="auto"/>
        </w:rPr>
        <w:t>Schedule II—Analysis of Valuation and Qualifying Accounts for the years ended November 25, 2006, November 26, 2005 and November 27, 2004 is filed as part of this report on page F-52.</w:t>
      </w:r>
    </w:p>
    <w:p>
      <w:pPr>
        <w:spacing w:after="0" w:line="44" w:lineRule="exact"/>
        <w:rPr>
          <w:rFonts w:ascii="Arial" w:cs="Arial" w:eastAsia="Arial" w:hAnsi="Arial"/>
          <w:sz w:val="18"/>
          <w:szCs w:val="18"/>
          <w:color w:val="auto"/>
        </w:rPr>
      </w:pPr>
    </w:p>
    <w:p>
      <w:pPr>
        <w:ind w:left="1060" w:hanging="329"/>
        <w:spacing w:after="0"/>
        <w:tabs>
          <w:tab w:leader="none" w:pos="10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Listing of Exhibits</w:t>
      </w:r>
    </w:p>
    <w:p>
      <w:pPr>
        <w:spacing w:after="0" w:line="117" w:lineRule="exact"/>
        <w:rPr>
          <w:sz w:val="20"/>
          <w:szCs w:val="20"/>
          <w:color w:val="auto"/>
        </w:rPr>
      </w:pPr>
    </w:p>
    <w:p>
      <w:pPr>
        <w:ind w:left="1160"/>
        <w:spacing w:after="0"/>
        <w:rPr>
          <w:sz w:val="20"/>
          <w:szCs w:val="20"/>
          <w:color w:val="auto"/>
        </w:rPr>
      </w:pPr>
      <w:r>
        <w:rPr>
          <w:rFonts w:ascii="Arial" w:cs="Arial" w:eastAsia="Arial" w:hAnsi="Arial"/>
          <w:sz w:val="16"/>
          <w:szCs w:val="16"/>
          <w:color w:val="auto"/>
        </w:rPr>
        <w:t>3A. Articles of Incorporation as amended are incorporated herein by reference to Form 10-Q for the fiscal quarter ended February 28,</w:t>
      </w:r>
    </w:p>
    <w:p>
      <w:pPr>
        <w:spacing w:after="0" w:line="38" w:lineRule="exact"/>
        <w:rPr>
          <w:sz w:val="20"/>
          <w:szCs w:val="20"/>
          <w:color w:val="auto"/>
        </w:rPr>
      </w:pPr>
    </w:p>
    <w:p>
      <w:pPr>
        <w:ind w:left="1540"/>
        <w:spacing w:after="0"/>
        <w:rPr>
          <w:sz w:val="20"/>
          <w:szCs w:val="20"/>
          <w:color w:val="auto"/>
        </w:rPr>
      </w:pPr>
      <w:r>
        <w:rPr>
          <w:rFonts w:ascii="Arial" w:cs="Arial" w:eastAsia="Arial" w:hAnsi="Arial"/>
          <w:sz w:val="18"/>
          <w:szCs w:val="18"/>
          <w:color w:val="auto"/>
        </w:rPr>
        <w:t>1994.</w:t>
      </w: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459" w:right="23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24" w:lineRule="exact"/>
        <w:rPr>
          <w:sz w:val="20"/>
          <w:szCs w:val="20"/>
          <w:color w:val="auto"/>
        </w:rPr>
      </w:pPr>
    </w:p>
    <w:p>
      <w:pPr>
        <w:ind w:left="1840" w:right="720" w:hanging="619"/>
        <w:spacing w:after="0" w:line="268" w:lineRule="auto"/>
        <w:tabs>
          <w:tab w:leader="none" w:pos="1820" w:val="left"/>
        </w:tabs>
        <w:rPr>
          <w:sz w:val="20"/>
          <w:szCs w:val="20"/>
          <w:color w:val="auto"/>
        </w:rPr>
      </w:pPr>
      <w:r>
        <w:rPr>
          <w:rFonts w:ascii="Arial" w:cs="Arial" w:eastAsia="Arial" w:hAnsi="Arial"/>
          <w:sz w:val="18"/>
          <w:szCs w:val="18"/>
          <w:color w:val="auto"/>
        </w:rPr>
        <w:t>3B.</w:t>
      </w:r>
      <w:r>
        <w:rPr>
          <w:sz w:val="20"/>
          <w:szCs w:val="20"/>
          <w:color w:val="auto"/>
        </w:rPr>
        <w:tab/>
      </w:r>
      <w:r>
        <w:rPr>
          <w:rFonts w:ascii="Arial" w:cs="Arial" w:eastAsia="Arial" w:hAnsi="Arial"/>
          <w:sz w:val="18"/>
          <w:szCs w:val="18"/>
          <w:color w:val="auto"/>
        </w:rPr>
        <w:t>Amendment to By-laws including By-laws as amended to date is incorporated herein by reference to Form 8-K filed on December 21, 2004.</w:t>
      </w:r>
    </w:p>
    <w:p>
      <w:pPr>
        <w:spacing w:after="0" w:line="78" w:lineRule="exact"/>
        <w:rPr>
          <w:sz w:val="20"/>
          <w:szCs w:val="20"/>
          <w:color w:val="auto"/>
        </w:rPr>
      </w:pPr>
    </w:p>
    <w:p>
      <w:pPr>
        <w:ind w:left="1840" w:right="380" w:hanging="619"/>
        <w:spacing w:after="0" w:line="268" w:lineRule="auto"/>
        <w:tabs>
          <w:tab w:leader="none" w:pos="1820" w:val="left"/>
        </w:tabs>
        <w:rPr>
          <w:sz w:val="20"/>
          <w:szCs w:val="20"/>
          <w:color w:val="auto"/>
        </w:rPr>
      </w:pPr>
      <w:r>
        <w:rPr>
          <w:rFonts w:ascii="Arial" w:cs="Arial" w:eastAsia="Arial" w:hAnsi="Arial"/>
          <w:sz w:val="18"/>
          <w:szCs w:val="18"/>
          <w:color w:val="auto"/>
        </w:rPr>
        <w:t>4A.</w:t>
      </w:r>
      <w:r>
        <w:rPr>
          <w:sz w:val="20"/>
          <w:szCs w:val="20"/>
          <w:color w:val="auto"/>
        </w:rPr>
        <w:tab/>
      </w:r>
      <w:r>
        <w:rPr>
          <w:rFonts w:ascii="Arial" w:cs="Arial" w:eastAsia="Arial" w:hAnsi="Arial"/>
          <w:sz w:val="18"/>
          <w:szCs w:val="18"/>
          <w:color w:val="auto"/>
        </w:rPr>
        <w:t>Amended and Restated Credit Agreement with a Bank Group dated October 29, 2004, is incorporated herein by reference to Form 8-K filed on November 11, 2004.</w:t>
      </w:r>
    </w:p>
    <w:p>
      <w:pPr>
        <w:spacing w:after="0" w:line="78" w:lineRule="exact"/>
        <w:rPr>
          <w:sz w:val="20"/>
          <w:szCs w:val="20"/>
          <w:color w:val="auto"/>
        </w:rPr>
      </w:pPr>
    </w:p>
    <w:p>
      <w:pPr>
        <w:ind w:left="1840" w:right="660" w:hanging="619"/>
        <w:spacing w:after="0" w:line="268" w:lineRule="auto"/>
        <w:tabs>
          <w:tab w:leader="none" w:pos="1820" w:val="left"/>
        </w:tabs>
        <w:rPr>
          <w:sz w:val="20"/>
          <w:szCs w:val="20"/>
          <w:color w:val="auto"/>
        </w:rPr>
      </w:pPr>
      <w:r>
        <w:rPr>
          <w:rFonts w:ascii="Arial" w:cs="Arial" w:eastAsia="Arial" w:hAnsi="Arial"/>
          <w:sz w:val="18"/>
          <w:szCs w:val="18"/>
          <w:color w:val="auto"/>
        </w:rPr>
        <w:t>4B.</w:t>
      </w:r>
      <w:r>
        <w:rPr>
          <w:sz w:val="20"/>
          <w:szCs w:val="20"/>
          <w:color w:val="auto"/>
        </w:rPr>
        <w:tab/>
      </w:r>
      <w:r>
        <w:rPr>
          <w:rFonts w:ascii="Arial" w:cs="Arial" w:eastAsia="Arial" w:hAnsi="Arial"/>
          <w:sz w:val="18"/>
          <w:szCs w:val="18"/>
          <w:color w:val="auto"/>
        </w:rPr>
        <w:t>First Amendment to Second Amended and Restated Credit Agreement, with a Bank Group dated November 21, 2005, is incorporated herein by reference to Form 8-K filed on November 23, 2005.</w:t>
      </w:r>
    </w:p>
    <w:p>
      <w:pPr>
        <w:spacing w:after="0" w:line="78" w:lineRule="exact"/>
        <w:rPr>
          <w:sz w:val="20"/>
          <w:szCs w:val="20"/>
          <w:color w:val="auto"/>
        </w:rPr>
      </w:pPr>
    </w:p>
    <w:p>
      <w:pPr>
        <w:ind w:left="1840" w:right="180"/>
        <w:spacing w:after="0" w:line="268" w:lineRule="auto"/>
        <w:rPr>
          <w:sz w:val="20"/>
          <w:szCs w:val="20"/>
          <w:color w:val="auto"/>
        </w:rPr>
      </w:pPr>
      <w:r>
        <w:rPr>
          <w:rFonts w:ascii="Arial" w:cs="Arial" w:eastAsia="Arial" w:hAnsi="Arial"/>
          <w:sz w:val="18"/>
          <w:szCs w:val="18"/>
          <w:color w:val="auto"/>
        </w:rPr>
        <w:t>Registrant hereby agrees to furnish the SEC, upon request, other instruments defining the rights of holders of long-term debt of the Registrant.</w:t>
      </w:r>
    </w:p>
    <w:p>
      <w:pPr>
        <w:spacing w:after="0" w:line="78" w:lineRule="exact"/>
        <w:rPr>
          <w:sz w:val="20"/>
          <w:szCs w:val="20"/>
          <w:color w:val="auto"/>
        </w:rPr>
      </w:pPr>
    </w:p>
    <w:p>
      <w:pPr>
        <w:ind w:left="1840" w:right="640" w:hanging="619"/>
        <w:spacing w:after="0" w:line="268" w:lineRule="auto"/>
        <w:tabs>
          <w:tab w:leader="none" w:pos="1820" w:val="left"/>
        </w:tabs>
        <w:rPr>
          <w:sz w:val="20"/>
          <w:szCs w:val="20"/>
          <w:color w:val="auto"/>
        </w:rPr>
      </w:pPr>
      <w:r>
        <w:rPr>
          <w:rFonts w:ascii="Arial" w:cs="Arial" w:eastAsia="Arial" w:hAnsi="Arial"/>
          <w:sz w:val="18"/>
          <w:szCs w:val="18"/>
          <w:color w:val="auto"/>
        </w:rPr>
        <w:t>**10A.</w:t>
        <w:tab/>
        <w:t>Bassett 1993 Long Term Incentive Stock Option Plan is incorporated herein by reference to the Registrant’s Registration Statement on Form S-8 (no.33-52405) filed on February 25, 1994.</w:t>
      </w:r>
    </w:p>
    <w:p>
      <w:pPr>
        <w:spacing w:after="0" w:line="78" w:lineRule="exact"/>
        <w:rPr>
          <w:sz w:val="20"/>
          <w:szCs w:val="20"/>
          <w:color w:val="auto"/>
        </w:rPr>
      </w:pPr>
    </w:p>
    <w:p>
      <w:pPr>
        <w:ind w:left="1840" w:right="540" w:hanging="619"/>
        <w:spacing w:after="0" w:line="268" w:lineRule="auto"/>
        <w:tabs>
          <w:tab w:leader="none" w:pos="1820" w:val="left"/>
        </w:tabs>
        <w:rPr>
          <w:sz w:val="20"/>
          <w:szCs w:val="20"/>
          <w:color w:val="auto"/>
        </w:rPr>
      </w:pPr>
      <w:r>
        <w:rPr>
          <w:rFonts w:ascii="Arial" w:cs="Arial" w:eastAsia="Arial" w:hAnsi="Arial"/>
          <w:sz w:val="18"/>
          <w:szCs w:val="18"/>
          <w:color w:val="auto"/>
        </w:rPr>
        <w:t>**10B.</w:t>
        <w:tab/>
        <w:t>Bassett Executive Deferred Compensation Plan is incorporated herein by reference to Form 10-K for the fiscal year ended November 30, 1997.</w:t>
      </w:r>
    </w:p>
    <w:p>
      <w:pPr>
        <w:spacing w:after="0" w:line="78" w:lineRule="exact"/>
        <w:rPr>
          <w:sz w:val="20"/>
          <w:szCs w:val="20"/>
          <w:color w:val="auto"/>
        </w:rPr>
      </w:pPr>
    </w:p>
    <w:p>
      <w:pPr>
        <w:ind w:left="1840" w:right="600" w:hanging="619"/>
        <w:spacing w:after="0" w:line="268" w:lineRule="auto"/>
        <w:tabs>
          <w:tab w:leader="none" w:pos="1820" w:val="left"/>
        </w:tabs>
        <w:rPr>
          <w:sz w:val="20"/>
          <w:szCs w:val="20"/>
          <w:color w:val="auto"/>
        </w:rPr>
      </w:pPr>
      <w:r>
        <w:rPr>
          <w:rFonts w:ascii="Arial" w:cs="Arial" w:eastAsia="Arial" w:hAnsi="Arial"/>
          <w:sz w:val="18"/>
          <w:szCs w:val="18"/>
          <w:color w:val="auto"/>
        </w:rPr>
        <w:t>**10C.</w:t>
        <w:tab/>
        <w:t>Bassett Supplemental Retirement Income Plan is incorporated herein by reference to Form 10-K for the fiscal year ended November 30, 1997.</w:t>
      </w:r>
    </w:p>
    <w:p>
      <w:pPr>
        <w:spacing w:after="0" w:line="78" w:lineRule="exact"/>
        <w:rPr>
          <w:sz w:val="20"/>
          <w:szCs w:val="20"/>
          <w:color w:val="auto"/>
        </w:rPr>
      </w:pPr>
    </w:p>
    <w:p>
      <w:pPr>
        <w:ind w:left="1840" w:right="60" w:hanging="619"/>
        <w:spacing w:after="0" w:line="268" w:lineRule="auto"/>
        <w:tabs>
          <w:tab w:leader="none" w:pos="1820" w:val="left"/>
        </w:tabs>
        <w:rPr>
          <w:sz w:val="20"/>
          <w:szCs w:val="20"/>
          <w:color w:val="auto"/>
        </w:rPr>
      </w:pPr>
      <w:r>
        <w:rPr>
          <w:rFonts w:ascii="Arial" w:cs="Arial" w:eastAsia="Arial" w:hAnsi="Arial"/>
          <w:sz w:val="18"/>
          <w:szCs w:val="18"/>
          <w:color w:val="auto"/>
        </w:rPr>
        <w:t>**10D.</w:t>
        <w:tab/>
        <w:t>Bassett 1993 Stock Plan for Non-Employee Directors as amended is incorporated herein by reference to Form 10-K for the fiscal year ended November 25, 2000.</w:t>
      </w:r>
    </w:p>
    <w:p>
      <w:pPr>
        <w:spacing w:after="0" w:line="78" w:lineRule="exact"/>
        <w:rPr>
          <w:sz w:val="20"/>
          <w:szCs w:val="20"/>
          <w:color w:val="auto"/>
        </w:rPr>
      </w:pPr>
    </w:p>
    <w:p>
      <w:pPr>
        <w:ind w:left="1840" w:right="260" w:hanging="619"/>
        <w:spacing w:after="0" w:line="268" w:lineRule="auto"/>
        <w:tabs>
          <w:tab w:leader="none" w:pos="1820" w:val="left"/>
        </w:tabs>
        <w:rPr>
          <w:sz w:val="20"/>
          <w:szCs w:val="20"/>
          <w:color w:val="auto"/>
        </w:rPr>
      </w:pPr>
      <w:r>
        <w:rPr>
          <w:rFonts w:ascii="Arial" w:cs="Arial" w:eastAsia="Arial" w:hAnsi="Arial"/>
          <w:sz w:val="18"/>
          <w:szCs w:val="18"/>
          <w:color w:val="auto"/>
        </w:rPr>
        <w:t>**10E.</w:t>
        <w:tab/>
        <w:t>Bassett 1997 Employee Stock Plan is incorporated herein by reference to the Registrant’s Registration Statement on Form S-8 (no. 333-60327) filed on July 31, 1998.</w:t>
      </w:r>
    </w:p>
    <w:p>
      <w:pPr>
        <w:spacing w:after="0" w:line="78" w:lineRule="exact"/>
        <w:rPr>
          <w:sz w:val="20"/>
          <w:szCs w:val="20"/>
          <w:color w:val="auto"/>
        </w:rPr>
      </w:pPr>
    </w:p>
    <w:p>
      <w:pPr>
        <w:ind w:left="1840" w:right="400" w:hanging="619"/>
        <w:spacing w:after="0" w:line="268" w:lineRule="auto"/>
        <w:tabs>
          <w:tab w:leader="none" w:pos="1820" w:val="left"/>
        </w:tabs>
        <w:rPr>
          <w:sz w:val="20"/>
          <w:szCs w:val="20"/>
          <w:color w:val="auto"/>
        </w:rPr>
      </w:pPr>
      <w:r>
        <w:rPr>
          <w:rFonts w:ascii="Arial" w:cs="Arial" w:eastAsia="Arial" w:hAnsi="Arial"/>
          <w:sz w:val="18"/>
          <w:szCs w:val="18"/>
          <w:color w:val="auto"/>
        </w:rPr>
        <w:t>**10F.</w:t>
        <w:tab/>
        <w:t>Bassett Furniture 2005 Non-Employee Directors Stock Incentive Plan is incorporated herein by reference to the Registrant’s definitive proxy statement on Schedule 14A filed on January 28, 2005.</w:t>
      </w:r>
    </w:p>
    <w:p>
      <w:pPr>
        <w:spacing w:after="0" w:line="78" w:lineRule="exact"/>
        <w:rPr>
          <w:sz w:val="20"/>
          <w:szCs w:val="20"/>
          <w:color w:val="auto"/>
        </w:rPr>
      </w:pPr>
    </w:p>
    <w:p>
      <w:pPr>
        <w:ind w:left="1840" w:right="180" w:hanging="619"/>
        <w:spacing w:after="0" w:line="268" w:lineRule="auto"/>
        <w:tabs>
          <w:tab w:leader="none" w:pos="1820" w:val="left"/>
        </w:tabs>
        <w:rPr>
          <w:sz w:val="20"/>
          <w:szCs w:val="20"/>
          <w:color w:val="auto"/>
        </w:rPr>
      </w:pPr>
      <w:r>
        <w:rPr>
          <w:rFonts w:ascii="Arial" w:cs="Arial" w:eastAsia="Arial" w:hAnsi="Arial"/>
          <w:sz w:val="18"/>
          <w:szCs w:val="18"/>
          <w:color w:val="auto"/>
        </w:rPr>
        <w:t>**10G.</w:t>
        <w:tab/>
        <w:t>Bassett Furniture 2005 Non-Employee Directors Stock Incentive Form Grant Letter for Restricted Stock Award is incorporated herein by reference to Form 10-K for the fiscal year ended November 26, 2005.</w:t>
      </w:r>
    </w:p>
    <w:p>
      <w:pPr>
        <w:spacing w:after="0" w:line="78" w:lineRule="exact"/>
        <w:rPr>
          <w:sz w:val="20"/>
          <w:szCs w:val="20"/>
          <w:color w:val="auto"/>
        </w:rPr>
      </w:pPr>
    </w:p>
    <w:p>
      <w:pPr>
        <w:ind w:left="1840" w:right="120" w:hanging="619"/>
        <w:spacing w:after="0" w:line="268" w:lineRule="auto"/>
        <w:tabs>
          <w:tab w:leader="none" w:pos="1820" w:val="left"/>
        </w:tabs>
        <w:rPr>
          <w:sz w:val="20"/>
          <w:szCs w:val="20"/>
          <w:color w:val="auto"/>
        </w:rPr>
      </w:pPr>
      <w:r>
        <w:rPr>
          <w:rFonts w:ascii="Arial" w:cs="Arial" w:eastAsia="Arial" w:hAnsi="Arial"/>
          <w:sz w:val="18"/>
          <w:szCs w:val="18"/>
          <w:color w:val="auto"/>
        </w:rPr>
        <w:t>**10H.</w:t>
        <w:tab/>
        <w:t>Bassett Furniture Directors Compensation is incorporated herein by reference to Form 10-K for the fiscal year ended November 26, 2005.</w:t>
      </w:r>
    </w:p>
    <w:p>
      <w:pPr>
        <w:spacing w:after="0" w:line="78" w:lineRule="exact"/>
        <w:rPr>
          <w:sz w:val="20"/>
          <w:szCs w:val="20"/>
          <w:color w:val="auto"/>
        </w:rPr>
      </w:pPr>
    </w:p>
    <w:p>
      <w:pPr>
        <w:ind w:left="1840" w:right="340" w:hanging="619"/>
        <w:spacing w:after="0" w:line="268" w:lineRule="auto"/>
        <w:tabs>
          <w:tab w:leader="none" w:pos="1820" w:val="left"/>
        </w:tabs>
        <w:rPr>
          <w:sz w:val="20"/>
          <w:szCs w:val="20"/>
          <w:color w:val="auto"/>
        </w:rPr>
      </w:pPr>
      <w:r>
        <w:rPr>
          <w:rFonts w:ascii="Arial" w:cs="Arial" w:eastAsia="Arial" w:hAnsi="Arial"/>
          <w:sz w:val="18"/>
          <w:szCs w:val="18"/>
          <w:color w:val="auto"/>
        </w:rPr>
        <w:t>**10I.</w:t>
        <w:tab/>
        <w:t>Bassett Furniture Industries, Inc. 1997 Employee Stock Plan Form Stock Option Award Agreement is incorporated herein by reference to Form 10-K for the fiscal year ended November 26, 2005.</w:t>
      </w:r>
    </w:p>
    <w:p>
      <w:pPr>
        <w:spacing w:after="0" w:line="78" w:lineRule="exact"/>
        <w:rPr>
          <w:sz w:val="20"/>
          <w:szCs w:val="20"/>
          <w:color w:val="auto"/>
        </w:rPr>
      </w:pPr>
    </w:p>
    <w:p>
      <w:pPr>
        <w:ind w:left="1840" w:hanging="619"/>
        <w:spacing w:after="0" w:line="268" w:lineRule="auto"/>
        <w:tabs>
          <w:tab w:leader="none" w:pos="1820" w:val="left"/>
        </w:tabs>
        <w:rPr>
          <w:sz w:val="20"/>
          <w:szCs w:val="20"/>
          <w:color w:val="auto"/>
        </w:rPr>
      </w:pPr>
      <w:r>
        <w:rPr>
          <w:rFonts w:ascii="Arial" w:cs="Arial" w:eastAsia="Arial" w:hAnsi="Arial"/>
          <w:sz w:val="18"/>
          <w:szCs w:val="18"/>
          <w:color w:val="auto"/>
        </w:rPr>
        <w:t>**10J.</w:t>
        <w:tab/>
        <w:t>Bassett Furniture Industries, Inc. 1997 Employee Stock Plan Form Grant Letter for Restricted Stock Award is incorporated herein by reference to Form 10-K for the fiscal year ended November 26, 2005.</w:t>
      </w:r>
    </w:p>
    <w:p>
      <w:pPr>
        <w:spacing w:after="0" w:line="78" w:lineRule="exact"/>
        <w:rPr>
          <w:sz w:val="20"/>
          <w:szCs w:val="20"/>
          <w:color w:val="auto"/>
        </w:rPr>
      </w:pPr>
    </w:p>
    <w:p>
      <w:pPr>
        <w:ind w:left="1840" w:hanging="616"/>
        <w:spacing w:after="0"/>
        <w:tabs>
          <w:tab w:leader="none" w:pos="18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List of subsidiaries of the Registrant</w:t>
      </w:r>
    </w:p>
    <w:p>
      <w:pPr>
        <w:spacing w:after="0" w:line="117" w:lineRule="exact"/>
        <w:rPr>
          <w:sz w:val="20"/>
          <w:szCs w:val="20"/>
          <w:color w:val="auto"/>
        </w:rPr>
      </w:pPr>
    </w:p>
    <w:p>
      <w:pPr>
        <w:ind w:left="1220"/>
        <w:spacing w:after="0"/>
        <w:tabs>
          <w:tab w:leader="none" w:pos="1820" w:val="left"/>
        </w:tabs>
        <w:rPr>
          <w:sz w:val="20"/>
          <w:szCs w:val="20"/>
          <w:color w:val="auto"/>
        </w:rPr>
      </w:pPr>
      <w:r>
        <w:rPr>
          <w:rFonts w:ascii="Arial" w:cs="Arial" w:eastAsia="Arial" w:hAnsi="Arial"/>
          <w:sz w:val="18"/>
          <w:szCs w:val="18"/>
          <w:color w:val="auto"/>
        </w:rPr>
        <w:t>23A.</w:t>
      </w:r>
      <w:r>
        <w:rPr>
          <w:sz w:val="20"/>
          <w:szCs w:val="20"/>
          <w:color w:val="auto"/>
        </w:rPr>
        <w:tab/>
      </w:r>
      <w:r>
        <w:rPr>
          <w:rFonts w:ascii="Arial" w:cs="Arial" w:eastAsia="Arial" w:hAnsi="Arial"/>
          <w:sz w:val="18"/>
          <w:szCs w:val="18"/>
          <w:color w:val="auto"/>
        </w:rPr>
        <w:t>Consent of Independent Registered Public Accounting Firm</w:t>
      </w:r>
    </w:p>
    <w:p>
      <w:pPr>
        <w:spacing w:after="0" w:line="117" w:lineRule="exact"/>
        <w:rPr>
          <w:sz w:val="20"/>
          <w:szCs w:val="20"/>
          <w:color w:val="auto"/>
        </w:rPr>
      </w:pPr>
    </w:p>
    <w:p>
      <w:pPr>
        <w:ind w:left="1220"/>
        <w:spacing w:after="0"/>
        <w:tabs>
          <w:tab w:leader="none" w:pos="1820" w:val="left"/>
        </w:tabs>
        <w:rPr>
          <w:sz w:val="20"/>
          <w:szCs w:val="20"/>
          <w:color w:val="auto"/>
        </w:rPr>
      </w:pPr>
      <w:r>
        <w:rPr>
          <w:rFonts w:ascii="Arial" w:cs="Arial" w:eastAsia="Arial" w:hAnsi="Arial"/>
          <w:sz w:val="18"/>
          <w:szCs w:val="18"/>
          <w:color w:val="auto"/>
        </w:rPr>
        <w:t>23B.</w:t>
      </w:r>
      <w:r>
        <w:rPr>
          <w:sz w:val="20"/>
          <w:szCs w:val="20"/>
          <w:color w:val="auto"/>
        </w:rPr>
        <w:tab/>
      </w:r>
      <w:r>
        <w:rPr>
          <w:rFonts w:ascii="Arial" w:cs="Arial" w:eastAsia="Arial" w:hAnsi="Arial"/>
          <w:sz w:val="18"/>
          <w:szCs w:val="18"/>
          <w:color w:val="auto"/>
        </w:rPr>
        <w:t>Consent of Independent Registered Public Accounting Firm</w:t>
      </w:r>
    </w:p>
    <w:p>
      <w:pPr>
        <w:spacing w:after="0" w:line="117" w:lineRule="exact"/>
        <w:rPr>
          <w:sz w:val="20"/>
          <w:szCs w:val="20"/>
          <w:color w:val="auto"/>
        </w:rPr>
      </w:pPr>
    </w:p>
    <w:p>
      <w:pPr>
        <w:ind w:left="1840" w:hanging="619"/>
        <w:spacing w:after="0" w:line="268" w:lineRule="auto"/>
        <w:tabs>
          <w:tab w:leader="none" w:pos="1820" w:val="left"/>
        </w:tabs>
        <w:rPr>
          <w:sz w:val="20"/>
          <w:szCs w:val="20"/>
          <w:color w:val="auto"/>
        </w:rPr>
      </w:pPr>
      <w:r>
        <w:rPr>
          <w:rFonts w:ascii="Arial" w:cs="Arial" w:eastAsia="Arial" w:hAnsi="Arial"/>
          <w:sz w:val="18"/>
          <w:szCs w:val="18"/>
          <w:color w:val="auto"/>
        </w:rPr>
        <w:t>31A.</w:t>
      </w:r>
      <w:r>
        <w:rPr>
          <w:sz w:val="20"/>
          <w:szCs w:val="20"/>
          <w:color w:val="auto"/>
        </w:rPr>
        <w:tab/>
      </w:r>
      <w:r>
        <w:rPr>
          <w:rFonts w:ascii="Arial" w:cs="Arial" w:eastAsia="Arial" w:hAnsi="Arial"/>
          <w:sz w:val="18"/>
          <w:szCs w:val="18"/>
          <w:color w:val="auto"/>
        </w:rPr>
        <w:t>Certification of Robert H. Spilman, Jr., President and Chief Executive Officer, pursuant to Section 302 of the Sarbanes-Oxley Act of 2002.</w:t>
      </w:r>
    </w:p>
    <w:p>
      <w:pPr>
        <w:spacing w:after="0" w:line="78" w:lineRule="exact"/>
        <w:rPr>
          <w:sz w:val="20"/>
          <w:szCs w:val="20"/>
          <w:color w:val="auto"/>
        </w:rPr>
      </w:pPr>
    </w:p>
    <w:p>
      <w:pPr>
        <w:ind w:left="1840" w:right="20" w:hanging="619"/>
        <w:spacing w:after="0" w:line="268" w:lineRule="auto"/>
        <w:tabs>
          <w:tab w:leader="none" w:pos="1820" w:val="left"/>
        </w:tabs>
        <w:rPr>
          <w:sz w:val="20"/>
          <w:szCs w:val="20"/>
          <w:color w:val="auto"/>
        </w:rPr>
      </w:pPr>
      <w:r>
        <w:rPr>
          <w:rFonts w:ascii="Arial" w:cs="Arial" w:eastAsia="Arial" w:hAnsi="Arial"/>
          <w:sz w:val="18"/>
          <w:szCs w:val="18"/>
          <w:color w:val="auto"/>
        </w:rPr>
        <w:t>31B.</w:t>
      </w:r>
      <w:r>
        <w:rPr>
          <w:sz w:val="20"/>
          <w:szCs w:val="20"/>
          <w:color w:val="auto"/>
        </w:rPr>
        <w:tab/>
      </w:r>
      <w:r>
        <w:rPr>
          <w:rFonts w:ascii="Arial" w:cs="Arial" w:eastAsia="Arial" w:hAnsi="Arial"/>
          <w:sz w:val="18"/>
          <w:szCs w:val="18"/>
          <w:color w:val="auto"/>
        </w:rPr>
        <w:t>Certification of Barry C. Safrit, Senior Vice President and Chief Financial Officer, pursuant to Section 302 of the Sarbanes-Oxley Act of 2002.</w:t>
      </w:r>
    </w:p>
    <w:p>
      <w:pPr>
        <w:spacing w:after="0" w:line="78" w:lineRule="exact"/>
        <w:rPr>
          <w:sz w:val="20"/>
          <w:szCs w:val="20"/>
          <w:color w:val="auto"/>
        </w:rPr>
      </w:pPr>
    </w:p>
    <w:p>
      <w:pPr>
        <w:ind w:left="1840" w:right="40" w:hanging="619"/>
        <w:spacing w:after="0" w:line="268" w:lineRule="auto"/>
        <w:tabs>
          <w:tab w:leader="none" w:pos="1820" w:val="left"/>
        </w:tabs>
        <w:rPr>
          <w:sz w:val="20"/>
          <w:szCs w:val="20"/>
          <w:color w:val="auto"/>
        </w:rPr>
      </w:pPr>
      <w:r>
        <w:rPr>
          <w:rFonts w:ascii="Arial" w:cs="Arial" w:eastAsia="Arial" w:hAnsi="Arial"/>
          <w:sz w:val="18"/>
          <w:szCs w:val="18"/>
          <w:color w:val="auto"/>
        </w:rPr>
        <w:t>32A.</w:t>
      </w:r>
      <w:r>
        <w:rPr>
          <w:sz w:val="20"/>
          <w:szCs w:val="20"/>
          <w:color w:val="auto"/>
        </w:rPr>
        <w:tab/>
      </w:r>
      <w:r>
        <w:rPr>
          <w:rFonts w:ascii="Arial" w:cs="Arial" w:eastAsia="Arial" w:hAnsi="Arial"/>
          <w:sz w:val="18"/>
          <w:szCs w:val="18"/>
          <w:color w:val="auto"/>
        </w:rPr>
        <w:t>Certification of Robert H. Spilman, Jr., President and Chief Executive Officer pursuant to 18 U.S.C. 1350, as adopted pursuant to Section 906 of the Sarbanes-Oxley Act of 2002.</w:t>
      </w:r>
    </w:p>
    <w:p>
      <w:pPr>
        <w:spacing w:after="0" w:line="78" w:lineRule="exact"/>
        <w:rPr>
          <w:sz w:val="20"/>
          <w:szCs w:val="20"/>
          <w:color w:val="auto"/>
        </w:rPr>
      </w:pPr>
    </w:p>
    <w:p>
      <w:pPr>
        <w:ind w:left="1840" w:right="540" w:hanging="619"/>
        <w:spacing w:after="0" w:line="268" w:lineRule="auto"/>
        <w:tabs>
          <w:tab w:leader="none" w:pos="1820" w:val="left"/>
        </w:tabs>
        <w:rPr>
          <w:sz w:val="20"/>
          <w:szCs w:val="20"/>
          <w:color w:val="auto"/>
        </w:rPr>
      </w:pPr>
      <w:r>
        <w:rPr>
          <w:rFonts w:ascii="Arial" w:cs="Arial" w:eastAsia="Arial" w:hAnsi="Arial"/>
          <w:sz w:val="18"/>
          <w:szCs w:val="18"/>
          <w:color w:val="auto"/>
        </w:rPr>
        <w:t>32B.</w:t>
      </w:r>
      <w:r>
        <w:rPr>
          <w:sz w:val="20"/>
          <w:szCs w:val="20"/>
          <w:color w:val="auto"/>
        </w:rPr>
        <w:tab/>
      </w:r>
      <w:r>
        <w:rPr>
          <w:rFonts w:ascii="Arial" w:cs="Arial" w:eastAsia="Arial" w:hAnsi="Arial"/>
          <w:sz w:val="18"/>
          <w:szCs w:val="18"/>
          <w:color w:val="auto"/>
        </w:rPr>
        <w:t>Certification of Barry C. Safrit, Senior Vice President and Chief Financial Officer, pursuant to 18 U.S.C. 1350, as adopted pursuant to Section 906 of the Sarbanes-Oxley Act of 2002.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54610</wp:posOffset>
            </wp:positionV>
            <wp:extent cx="60007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00075" cy="8890"/>
                    </a:xfrm>
                    <a:prstGeom prst="rect">
                      <a:avLst/>
                    </a:prstGeom>
                    <a:noFill/>
                  </pic:spPr>
                </pic:pic>
              </a:graphicData>
            </a:graphic>
          </wp:anchor>
        </w:drawing>
      </w:r>
    </w:p>
    <w:p>
      <w:pPr>
        <w:spacing w:after="0" w:line="179" w:lineRule="exact"/>
        <w:rPr>
          <w:sz w:val="20"/>
          <w:szCs w:val="20"/>
          <w:color w:val="auto"/>
        </w:rPr>
      </w:pPr>
    </w:p>
    <w:p>
      <w:pPr>
        <w:ind w:left="5620" w:right="5100" w:hanging="5612"/>
        <w:spacing w:after="0" w:line="408" w:lineRule="auto"/>
        <w:tabs>
          <w:tab w:leader="none" w:pos="448" w:val="left"/>
        </w:tabs>
        <w:numPr>
          <w:ilvl w:val="0"/>
          <w:numId w:val="17"/>
        </w:numPr>
        <w:rPr>
          <w:rFonts w:ascii="Arial" w:cs="Arial" w:eastAsia="Arial" w:hAnsi="Arial"/>
          <w:sz w:val="15"/>
          <w:szCs w:val="15"/>
          <w:color w:val="auto"/>
        </w:rPr>
      </w:pPr>
      <w:r>
        <w:rPr>
          <w:rFonts w:ascii="Arial" w:cs="Arial" w:eastAsia="Arial" w:hAnsi="Arial"/>
          <w:sz w:val="15"/>
          <w:szCs w:val="15"/>
          <w:color w:val="auto"/>
        </w:rPr>
        <w:t>Management contract or compensatory plan or arrangement of the Company. 17</w:t>
      </w:r>
    </w:p>
    <w:p>
      <w:pPr>
        <w:sectPr>
          <w:pgSz w:w="11900" w:h="16838" w:orient="portrait"/>
          <w:cols w:equalWidth="0" w:num="1">
            <w:col w:w="10960"/>
          </w:cols>
          <w:pgMar w:left="240" w:top="459" w:right="69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center"/>
        <w:ind w:right="-39"/>
        <w:spacing w:after="0"/>
        <w:rPr>
          <w:sz w:val="20"/>
          <w:szCs w:val="20"/>
          <w:color w:val="auto"/>
        </w:rPr>
      </w:pPr>
      <w:r>
        <w:rPr>
          <w:rFonts w:ascii="Arial" w:cs="Arial" w:eastAsia="Arial" w:hAnsi="Arial"/>
          <w:sz w:val="18"/>
          <w:szCs w:val="18"/>
          <w:u w:val="single" w:color="auto"/>
          <w:color w:val="auto"/>
        </w:rPr>
        <w:t>SIGNATURES</w:t>
      </w:r>
    </w:p>
    <w:p>
      <w:pPr>
        <w:spacing w:after="0" w:line="171" w:lineRule="exact"/>
        <w:rPr>
          <w:sz w:val="20"/>
          <w:szCs w:val="20"/>
          <w:color w:val="auto"/>
        </w:rPr>
      </w:pPr>
    </w:p>
    <w:p>
      <w:pPr>
        <w:ind w:right="20"/>
        <w:spacing w:after="0" w:line="268"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color w:val="auto"/>
        </w:rPr>
        <w:t>BASSETT FURNITURE INDUSTRIES, INCORPORATED (Registrant)</w:t>
      </w:r>
    </w:p>
    <w:p>
      <w:pPr>
        <w:spacing w:after="0" w:line="212" w:lineRule="exact"/>
        <w:rPr>
          <w:sz w:val="20"/>
          <w:szCs w:val="20"/>
          <w:color w:val="auto"/>
        </w:rPr>
      </w:pPr>
    </w:p>
    <w:p>
      <w:pPr>
        <w:spacing w:after="0"/>
        <w:tabs>
          <w:tab w:leader="none" w:pos="7060" w:val="left"/>
        </w:tabs>
        <w:rPr>
          <w:sz w:val="20"/>
          <w:szCs w:val="20"/>
          <w:color w:val="auto"/>
        </w:rPr>
      </w:pPr>
      <w:r>
        <w:rPr>
          <w:rFonts w:ascii="Arial" w:cs="Arial" w:eastAsia="Arial" w:hAnsi="Arial"/>
          <w:sz w:val="18"/>
          <w:szCs w:val="18"/>
          <w:color w:val="auto"/>
        </w:rPr>
        <w:t>By: /s/ Robert H. Spilman, Jr.</w:t>
      </w:r>
      <w:r>
        <w:rPr>
          <w:sz w:val="20"/>
          <w:szCs w:val="20"/>
          <w:color w:val="auto"/>
        </w:rPr>
        <w:tab/>
      </w:r>
      <w:r>
        <w:rPr>
          <w:rFonts w:ascii="Arial" w:cs="Arial" w:eastAsia="Arial" w:hAnsi="Arial"/>
          <w:sz w:val="15"/>
          <w:szCs w:val="15"/>
          <w:color w:val="auto"/>
        </w:rPr>
        <w:t>Date: February 8, 2007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236855</wp:posOffset>
            </wp:positionH>
            <wp:positionV relativeFrom="paragraph">
              <wp:posOffset>10795</wp:posOffset>
            </wp:positionV>
            <wp:extent cx="282130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2821305" cy="8890"/>
                    </a:xfrm>
                    <a:prstGeom prst="rect">
                      <a:avLst/>
                    </a:prstGeom>
                    <a:noFill/>
                  </pic:spPr>
                </pic:pic>
              </a:graphicData>
            </a:graphic>
          </wp:anchor>
        </w:drawing>
      </w:r>
    </w:p>
    <w:p>
      <w:pPr>
        <w:spacing w:after="0" w:line="16" w:lineRule="exact"/>
        <w:rPr>
          <w:sz w:val="20"/>
          <w:szCs w:val="20"/>
          <w:color w:val="auto"/>
        </w:rPr>
      </w:pPr>
    </w:p>
    <w:p>
      <w:pPr>
        <w:ind w:left="380"/>
        <w:spacing w:after="0"/>
        <w:rPr>
          <w:sz w:val="20"/>
          <w:szCs w:val="20"/>
          <w:color w:val="auto"/>
        </w:rPr>
      </w:pPr>
      <w:r>
        <w:rPr>
          <w:rFonts w:ascii="Arial" w:cs="Arial" w:eastAsia="Arial" w:hAnsi="Arial"/>
          <w:sz w:val="18"/>
          <w:szCs w:val="18"/>
          <w:color w:val="auto"/>
        </w:rPr>
        <w:t>Robert H. Spilman, Jr.</w:t>
      </w:r>
    </w:p>
    <w:p>
      <w:pPr>
        <w:spacing w:after="0" w:line="15" w:lineRule="exact"/>
        <w:rPr>
          <w:sz w:val="20"/>
          <w:szCs w:val="20"/>
          <w:color w:val="auto"/>
        </w:rPr>
      </w:pPr>
    </w:p>
    <w:p>
      <w:pPr>
        <w:ind w:left="380"/>
        <w:spacing w:after="0"/>
        <w:rPr>
          <w:sz w:val="20"/>
          <w:szCs w:val="20"/>
          <w:color w:val="auto"/>
        </w:rPr>
      </w:pPr>
      <w:r>
        <w:rPr>
          <w:rFonts w:ascii="Arial" w:cs="Arial" w:eastAsia="Arial" w:hAnsi="Arial"/>
          <w:sz w:val="18"/>
          <w:szCs w:val="18"/>
          <w:color w:val="auto"/>
        </w:rPr>
        <w:t>President and Chief Executive Officer</w:t>
      </w:r>
    </w:p>
    <w:p>
      <w:pPr>
        <w:spacing w:after="0" w:line="9" w:lineRule="exact"/>
        <w:rPr>
          <w:sz w:val="20"/>
          <w:szCs w:val="20"/>
          <w:color w:val="auto"/>
        </w:rPr>
      </w:pPr>
    </w:p>
    <w:p>
      <w:pPr>
        <w:ind w:left="380"/>
        <w:spacing w:after="0"/>
        <w:rPr>
          <w:sz w:val="20"/>
          <w:szCs w:val="20"/>
          <w:color w:val="auto"/>
        </w:rPr>
      </w:pPr>
      <w:r>
        <w:rPr>
          <w:rFonts w:ascii="Arial" w:cs="Arial" w:eastAsia="Arial" w:hAnsi="Arial"/>
          <w:sz w:val="18"/>
          <w:szCs w:val="18"/>
          <w:color w:val="auto"/>
        </w:rPr>
        <w:t>Director</w:t>
      </w:r>
    </w:p>
    <w:p>
      <w:pPr>
        <w:spacing w:after="0" w:line="178"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and on the dates indicated.</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4940" w:type="dxa"/>
            <w:vAlign w:val="bottom"/>
            <w:gridSpan w:val="3"/>
          </w:tcPr>
          <w:p>
            <w:pPr>
              <w:spacing w:after="0"/>
              <w:rPr>
                <w:sz w:val="20"/>
                <w:szCs w:val="20"/>
                <w:color w:val="auto"/>
              </w:rPr>
            </w:pPr>
            <w:r>
              <w:rPr>
                <w:rFonts w:ascii="Arial" w:cs="Arial" w:eastAsia="Arial" w:hAnsi="Arial"/>
                <w:sz w:val="18"/>
                <w:szCs w:val="18"/>
                <w:color w:val="auto"/>
              </w:rPr>
              <w:t>By: /s/ Paul Fulton</w:t>
            </w:r>
          </w:p>
        </w:tc>
        <w:tc>
          <w:tcPr>
            <w:tcW w:w="3760" w:type="dxa"/>
            <w:vAlign w:val="bottom"/>
          </w:tcPr>
          <w:p>
            <w:pPr>
              <w:ind w:left="2040"/>
              <w:spacing w:after="0"/>
              <w:rPr>
                <w:sz w:val="20"/>
                <w:szCs w:val="20"/>
                <w:color w:val="auto"/>
              </w:rPr>
            </w:pPr>
            <w:r>
              <w:rPr>
                <w:rFonts w:ascii="Arial" w:cs="Arial" w:eastAsia="Arial" w:hAnsi="Arial"/>
                <w:sz w:val="18"/>
                <w:szCs w:val="18"/>
                <w:color w:val="auto"/>
                <w:w w:val="91"/>
              </w:rPr>
              <w:t>Date: February 8, 2007</w:t>
            </w:r>
          </w:p>
        </w:tc>
      </w:tr>
      <w:tr>
        <w:trPr>
          <w:trHeight w:val="216"/>
        </w:trPr>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5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Paul Fulton</w:t>
            </w:r>
          </w:p>
        </w:tc>
        <w:tc>
          <w:tcPr>
            <w:tcW w:w="3760" w:type="dxa"/>
            <w:vAlign w:val="bottom"/>
          </w:tcPr>
          <w:p>
            <w:pPr>
              <w:spacing w:after="0"/>
              <w:rPr>
                <w:sz w:val="18"/>
                <w:szCs w:val="18"/>
                <w:color w:val="auto"/>
              </w:rPr>
            </w:pPr>
          </w:p>
        </w:tc>
      </w:tr>
      <w:tr>
        <w:trPr>
          <w:trHeight w:val="222"/>
        </w:trPr>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Chairman of the Board of Directors</w:t>
            </w:r>
          </w:p>
        </w:tc>
        <w:tc>
          <w:tcPr>
            <w:tcW w:w="3760" w:type="dxa"/>
            <w:vAlign w:val="bottom"/>
          </w:tcPr>
          <w:p>
            <w:pPr>
              <w:spacing w:after="0"/>
              <w:rPr>
                <w:sz w:val="19"/>
                <w:szCs w:val="19"/>
                <w:color w:val="auto"/>
              </w:rPr>
            </w:pPr>
          </w:p>
        </w:tc>
      </w:tr>
      <w:tr>
        <w:trPr>
          <w:trHeight w:val="446"/>
        </w:trPr>
        <w:tc>
          <w:tcPr>
            <w:tcW w:w="4940" w:type="dxa"/>
            <w:vAlign w:val="bottom"/>
            <w:gridSpan w:val="3"/>
          </w:tcPr>
          <w:p>
            <w:pPr>
              <w:spacing w:after="0"/>
              <w:rPr>
                <w:sz w:val="20"/>
                <w:szCs w:val="20"/>
                <w:color w:val="auto"/>
              </w:rPr>
            </w:pPr>
            <w:r>
              <w:rPr>
                <w:rFonts w:ascii="Arial" w:cs="Arial" w:eastAsia="Arial" w:hAnsi="Arial"/>
                <w:sz w:val="18"/>
                <w:szCs w:val="18"/>
                <w:color w:val="auto"/>
              </w:rPr>
              <w:t>By:</w:t>
            </w:r>
          </w:p>
        </w:tc>
        <w:tc>
          <w:tcPr>
            <w:tcW w:w="3760" w:type="dxa"/>
            <w:vAlign w:val="bottom"/>
          </w:tcPr>
          <w:p>
            <w:pPr>
              <w:ind w:left="2040"/>
              <w:spacing w:after="0"/>
              <w:rPr>
                <w:sz w:val="20"/>
                <w:szCs w:val="20"/>
                <w:color w:val="auto"/>
              </w:rPr>
            </w:pPr>
            <w:r>
              <w:rPr>
                <w:rFonts w:ascii="Arial" w:cs="Arial" w:eastAsia="Arial" w:hAnsi="Arial"/>
                <w:sz w:val="18"/>
                <w:szCs w:val="18"/>
                <w:color w:val="auto"/>
                <w:w w:val="91"/>
              </w:rPr>
              <w:t>Date: February 8, 2007</w:t>
            </w:r>
          </w:p>
        </w:tc>
      </w:tr>
      <w:tr>
        <w:trPr>
          <w:trHeight w:val="29"/>
        </w:trPr>
        <w:tc>
          <w:tcPr>
            <w:tcW w:w="2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560" w:type="dxa"/>
            <w:vAlign w:val="bottom"/>
            <w:tcBorders>
              <w:bottom w:val="single" w:sz="8" w:color="auto"/>
            </w:tcBorders>
          </w:tcPr>
          <w:p>
            <w:pPr>
              <w:spacing w:after="0"/>
              <w:rPr>
                <w:sz w:val="2"/>
                <w:szCs w:val="2"/>
                <w:color w:val="auto"/>
              </w:rPr>
            </w:pPr>
          </w:p>
        </w:tc>
        <w:tc>
          <w:tcPr>
            <w:tcW w:w="3760" w:type="dxa"/>
            <w:vAlign w:val="bottom"/>
          </w:tcPr>
          <w:p>
            <w:pPr>
              <w:spacing w:after="0"/>
              <w:rPr>
                <w:sz w:val="2"/>
                <w:szCs w:val="2"/>
                <w:color w:val="auto"/>
              </w:rPr>
            </w:pPr>
          </w:p>
        </w:tc>
      </w:tr>
      <w:tr>
        <w:trPr>
          <w:trHeight w:val="201"/>
        </w:trPr>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560" w:type="dxa"/>
            <w:vAlign w:val="bottom"/>
          </w:tcPr>
          <w:p>
            <w:pPr>
              <w:spacing w:after="0" w:line="201" w:lineRule="exact"/>
              <w:rPr>
                <w:sz w:val="20"/>
                <w:szCs w:val="20"/>
                <w:color w:val="auto"/>
              </w:rPr>
            </w:pPr>
            <w:r>
              <w:rPr>
                <w:rFonts w:ascii="Arial" w:cs="Arial" w:eastAsia="Arial" w:hAnsi="Arial"/>
                <w:sz w:val="18"/>
                <w:szCs w:val="18"/>
                <w:color w:val="auto"/>
              </w:rPr>
              <w:t>Peter W. Brown</w:t>
            </w:r>
          </w:p>
        </w:tc>
        <w:tc>
          <w:tcPr>
            <w:tcW w:w="3760" w:type="dxa"/>
            <w:vAlign w:val="bottom"/>
          </w:tcPr>
          <w:p>
            <w:pPr>
              <w:spacing w:after="0"/>
              <w:rPr>
                <w:sz w:val="17"/>
                <w:szCs w:val="17"/>
                <w:color w:val="auto"/>
              </w:rPr>
            </w:pPr>
          </w:p>
        </w:tc>
      </w:tr>
      <w:tr>
        <w:trPr>
          <w:trHeight w:val="222"/>
        </w:trPr>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Director</w:t>
            </w:r>
          </w:p>
        </w:tc>
        <w:tc>
          <w:tcPr>
            <w:tcW w:w="3760" w:type="dxa"/>
            <w:vAlign w:val="bottom"/>
          </w:tcPr>
          <w:p>
            <w:pPr>
              <w:spacing w:after="0"/>
              <w:rPr>
                <w:sz w:val="19"/>
                <w:szCs w:val="19"/>
                <w:color w:val="auto"/>
              </w:rPr>
            </w:pPr>
          </w:p>
        </w:tc>
      </w:tr>
      <w:tr>
        <w:trPr>
          <w:trHeight w:val="447"/>
        </w:trPr>
        <w:tc>
          <w:tcPr>
            <w:tcW w:w="4940" w:type="dxa"/>
            <w:vAlign w:val="bottom"/>
            <w:gridSpan w:val="3"/>
          </w:tcPr>
          <w:p>
            <w:pPr>
              <w:spacing w:after="0"/>
              <w:rPr>
                <w:sz w:val="20"/>
                <w:szCs w:val="20"/>
                <w:color w:val="auto"/>
              </w:rPr>
            </w:pPr>
            <w:r>
              <w:rPr>
                <w:rFonts w:ascii="Arial" w:cs="Arial" w:eastAsia="Arial" w:hAnsi="Arial"/>
                <w:sz w:val="18"/>
                <w:szCs w:val="18"/>
                <w:color w:val="auto"/>
              </w:rPr>
              <w:t>By: /s/ Howard H. Haworth</w:t>
            </w:r>
          </w:p>
        </w:tc>
        <w:tc>
          <w:tcPr>
            <w:tcW w:w="3760" w:type="dxa"/>
            <w:vAlign w:val="bottom"/>
          </w:tcPr>
          <w:p>
            <w:pPr>
              <w:ind w:left="2040"/>
              <w:spacing w:after="0"/>
              <w:rPr>
                <w:sz w:val="20"/>
                <w:szCs w:val="20"/>
                <w:color w:val="auto"/>
              </w:rPr>
            </w:pPr>
            <w:r>
              <w:rPr>
                <w:rFonts w:ascii="Arial" w:cs="Arial" w:eastAsia="Arial" w:hAnsi="Arial"/>
                <w:sz w:val="18"/>
                <w:szCs w:val="18"/>
                <w:color w:val="auto"/>
                <w:w w:val="91"/>
              </w:rPr>
              <w:t>Date: February 8, 2007</w:t>
            </w:r>
          </w:p>
        </w:tc>
      </w:tr>
      <w:tr>
        <w:trPr>
          <w:trHeight w:val="216"/>
        </w:trPr>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5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Howard H. Haworth</w:t>
            </w:r>
          </w:p>
        </w:tc>
        <w:tc>
          <w:tcPr>
            <w:tcW w:w="3760" w:type="dxa"/>
            <w:vAlign w:val="bottom"/>
          </w:tcPr>
          <w:p>
            <w:pPr>
              <w:spacing w:after="0"/>
              <w:rPr>
                <w:sz w:val="18"/>
                <w:szCs w:val="18"/>
                <w:color w:val="auto"/>
              </w:rPr>
            </w:pPr>
          </w:p>
        </w:tc>
      </w:tr>
      <w:tr>
        <w:trPr>
          <w:trHeight w:val="222"/>
        </w:trPr>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Director</w:t>
            </w:r>
          </w:p>
        </w:tc>
        <w:tc>
          <w:tcPr>
            <w:tcW w:w="3760" w:type="dxa"/>
            <w:vAlign w:val="bottom"/>
          </w:tcPr>
          <w:p>
            <w:pPr>
              <w:spacing w:after="0"/>
              <w:rPr>
                <w:sz w:val="19"/>
                <w:szCs w:val="19"/>
                <w:color w:val="auto"/>
              </w:rPr>
            </w:pPr>
          </w:p>
        </w:tc>
      </w:tr>
      <w:tr>
        <w:trPr>
          <w:trHeight w:val="447"/>
        </w:trPr>
        <w:tc>
          <w:tcPr>
            <w:tcW w:w="4940" w:type="dxa"/>
            <w:vAlign w:val="bottom"/>
            <w:gridSpan w:val="3"/>
          </w:tcPr>
          <w:p>
            <w:pPr>
              <w:spacing w:after="0"/>
              <w:rPr>
                <w:sz w:val="20"/>
                <w:szCs w:val="20"/>
                <w:color w:val="auto"/>
              </w:rPr>
            </w:pPr>
            <w:r>
              <w:rPr>
                <w:rFonts w:ascii="Arial" w:cs="Arial" w:eastAsia="Arial" w:hAnsi="Arial"/>
                <w:sz w:val="18"/>
                <w:szCs w:val="18"/>
                <w:color w:val="auto"/>
              </w:rPr>
              <w:t>By: /s/ George W. Henderson, III</w:t>
            </w:r>
          </w:p>
        </w:tc>
        <w:tc>
          <w:tcPr>
            <w:tcW w:w="3760" w:type="dxa"/>
            <w:vAlign w:val="bottom"/>
          </w:tcPr>
          <w:p>
            <w:pPr>
              <w:ind w:left="2040"/>
              <w:spacing w:after="0"/>
              <w:rPr>
                <w:sz w:val="20"/>
                <w:szCs w:val="20"/>
                <w:color w:val="auto"/>
              </w:rPr>
            </w:pPr>
            <w:r>
              <w:rPr>
                <w:rFonts w:ascii="Arial" w:cs="Arial" w:eastAsia="Arial" w:hAnsi="Arial"/>
                <w:sz w:val="18"/>
                <w:szCs w:val="18"/>
                <w:color w:val="auto"/>
                <w:w w:val="91"/>
              </w:rPr>
              <w:t>Date: February 8, 2007</w:t>
            </w:r>
          </w:p>
        </w:tc>
      </w:tr>
      <w:tr>
        <w:trPr>
          <w:trHeight w:val="216"/>
        </w:trPr>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5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George W. Henderson, III</w:t>
            </w:r>
          </w:p>
        </w:tc>
        <w:tc>
          <w:tcPr>
            <w:tcW w:w="3760" w:type="dxa"/>
            <w:vAlign w:val="bottom"/>
          </w:tcPr>
          <w:p>
            <w:pPr>
              <w:spacing w:after="0"/>
              <w:rPr>
                <w:sz w:val="18"/>
                <w:szCs w:val="18"/>
                <w:color w:val="auto"/>
              </w:rPr>
            </w:pPr>
          </w:p>
        </w:tc>
      </w:tr>
      <w:tr>
        <w:trPr>
          <w:trHeight w:val="222"/>
        </w:trPr>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Director</w:t>
            </w:r>
          </w:p>
        </w:tc>
        <w:tc>
          <w:tcPr>
            <w:tcW w:w="3760" w:type="dxa"/>
            <w:vAlign w:val="bottom"/>
          </w:tcPr>
          <w:p>
            <w:pPr>
              <w:spacing w:after="0"/>
              <w:rPr>
                <w:sz w:val="19"/>
                <w:szCs w:val="19"/>
                <w:color w:val="auto"/>
              </w:rPr>
            </w:pPr>
          </w:p>
        </w:tc>
      </w:tr>
      <w:tr>
        <w:trPr>
          <w:trHeight w:val="447"/>
        </w:trPr>
        <w:tc>
          <w:tcPr>
            <w:tcW w:w="4940" w:type="dxa"/>
            <w:vAlign w:val="bottom"/>
            <w:gridSpan w:val="3"/>
          </w:tcPr>
          <w:p>
            <w:pPr>
              <w:spacing w:after="0"/>
              <w:rPr>
                <w:sz w:val="20"/>
                <w:szCs w:val="20"/>
                <w:color w:val="auto"/>
              </w:rPr>
            </w:pPr>
            <w:r>
              <w:rPr>
                <w:rFonts w:ascii="Arial" w:cs="Arial" w:eastAsia="Arial" w:hAnsi="Arial"/>
                <w:sz w:val="18"/>
                <w:szCs w:val="18"/>
                <w:color w:val="auto"/>
              </w:rPr>
              <w:t>By: /s/ Dale C. Pond</w:t>
            </w:r>
          </w:p>
        </w:tc>
        <w:tc>
          <w:tcPr>
            <w:tcW w:w="3760" w:type="dxa"/>
            <w:vAlign w:val="bottom"/>
          </w:tcPr>
          <w:p>
            <w:pPr>
              <w:ind w:left="2040"/>
              <w:spacing w:after="0"/>
              <w:rPr>
                <w:sz w:val="20"/>
                <w:szCs w:val="20"/>
                <w:color w:val="auto"/>
              </w:rPr>
            </w:pPr>
            <w:r>
              <w:rPr>
                <w:rFonts w:ascii="Arial" w:cs="Arial" w:eastAsia="Arial" w:hAnsi="Arial"/>
                <w:sz w:val="18"/>
                <w:szCs w:val="18"/>
                <w:color w:val="auto"/>
                <w:w w:val="91"/>
              </w:rPr>
              <w:t>Date: February 8, 2007</w:t>
            </w:r>
          </w:p>
        </w:tc>
      </w:tr>
      <w:tr>
        <w:trPr>
          <w:trHeight w:val="216"/>
        </w:trPr>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5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Dale C. Pond</w:t>
            </w:r>
          </w:p>
        </w:tc>
        <w:tc>
          <w:tcPr>
            <w:tcW w:w="3760" w:type="dxa"/>
            <w:vAlign w:val="bottom"/>
          </w:tcPr>
          <w:p>
            <w:pPr>
              <w:spacing w:after="0"/>
              <w:rPr>
                <w:sz w:val="18"/>
                <w:szCs w:val="18"/>
                <w:color w:val="auto"/>
              </w:rPr>
            </w:pPr>
          </w:p>
        </w:tc>
      </w:tr>
      <w:tr>
        <w:trPr>
          <w:trHeight w:val="222"/>
        </w:trPr>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Director</w:t>
            </w:r>
          </w:p>
        </w:tc>
        <w:tc>
          <w:tcPr>
            <w:tcW w:w="3760" w:type="dxa"/>
            <w:vAlign w:val="bottom"/>
          </w:tcPr>
          <w:p>
            <w:pPr>
              <w:spacing w:after="0"/>
              <w:rPr>
                <w:sz w:val="19"/>
                <w:szCs w:val="19"/>
                <w:color w:val="auto"/>
              </w:rPr>
            </w:pPr>
          </w:p>
        </w:tc>
      </w:tr>
      <w:tr>
        <w:trPr>
          <w:trHeight w:val="447"/>
        </w:trPr>
        <w:tc>
          <w:tcPr>
            <w:tcW w:w="4940" w:type="dxa"/>
            <w:vAlign w:val="bottom"/>
            <w:gridSpan w:val="3"/>
          </w:tcPr>
          <w:p>
            <w:pPr>
              <w:spacing w:after="0"/>
              <w:rPr>
                <w:sz w:val="20"/>
                <w:szCs w:val="20"/>
                <w:color w:val="auto"/>
              </w:rPr>
            </w:pPr>
            <w:r>
              <w:rPr>
                <w:rFonts w:ascii="Arial" w:cs="Arial" w:eastAsia="Arial" w:hAnsi="Arial"/>
                <w:sz w:val="18"/>
                <w:szCs w:val="18"/>
                <w:color w:val="auto"/>
              </w:rPr>
              <w:t>By: /s/ David A. Stonecipher</w:t>
            </w:r>
          </w:p>
        </w:tc>
        <w:tc>
          <w:tcPr>
            <w:tcW w:w="3760" w:type="dxa"/>
            <w:vAlign w:val="bottom"/>
          </w:tcPr>
          <w:p>
            <w:pPr>
              <w:ind w:left="2040"/>
              <w:spacing w:after="0"/>
              <w:rPr>
                <w:sz w:val="20"/>
                <w:szCs w:val="20"/>
                <w:color w:val="auto"/>
              </w:rPr>
            </w:pPr>
            <w:r>
              <w:rPr>
                <w:rFonts w:ascii="Arial" w:cs="Arial" w:eastAsia="Arial" w:hAnsi="Arial"/>
                <w:sz w:val="18"/>
                <w:szCs w:val="18"/>
                <w:color w:val="auto"/>
                <w:w w:val="91"/>
              </w:rPr>
              <w:t>Date: February 8, 2007</w:t>
            </w:r>
          </w:p>
        </w:tc>
      </w:tr>
      <w:tr>
        <w:trPr>
          <w:trHeight w:val="216"/>
        </w:trPr>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5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David A. Stonecipher</w:t>
            </w:r>
          </w:p>
        </w:tc>
        <w:tc>
          <w:tcPr>
            <w:tcW w:w="3760" w:type="dxa"/>
            <w:vAlign w:val="bottom"/>
          </w:tcPr>
          <w:p>
            <w:pPr>
              <w:spacing w:after="0"/>
              <w:rPr>
                <w:sz w:val="18"/>
                <w:szCs w:val="18"/>
                <w:color w:val="auto"/>
              </w:rPr>
            </w:pPr>
          </w:p>
        </w:tc>
      </w:tr>
      <w:tr>
        <w:trPr>
          <w:trHeight w:val="222"/>
        </w:trPr>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Director</w:t>
            </w:r>
          </w:p>
        </w:tc>
        <w:tc>
          <w:tcPr>
            <w:tcW w:w="3760" w:type="dxa"/>
            <w:vAlign w:val="bottom"/>
          </w:tcPr>
          <w:p>
            <w:pPr>
              <w:spacing w:after="0"/>
              <w:rPr>
                <w:sz w:val="19"/>
                <w:szCs w:val="19"/>
                <w:color w:val="auto"/>
              </w:rPr>
            </w:pPr>
          </w:p>
        </w:tc>
      </w:tr>
      <w:tr>
        <w:trPr>
          <w:trHeight w:val="447"/>
        </w:trPr>
        <w:tc>
          <w:tcPr>
            <w:tcW w:w="4940" w:type="dxa"/>
            <w:vAlign w:val="bottom"/>
            <w:gridSpan w:val="3"/>
          </w:tcPr>
          <w:p>
            <w:pPr>
              <w:spacing w:after="0"/>
              <w:rPr>
                <w:sz w:val="20"/>
                <w:szCs w:val="20"/>
                <w:color w:val="auto"/>
              </w:rPr>
            </w:pPr>
            <w:r>
              <w:rPr>
                <w:rFonts w:ascii="Arial" w:cs="Arial" w:eastAsia="Arial" w:hAnsi="Arial"/>
                <w:sz w:val="18"/>
                <w:szCs w:val="18"/>
                <w:color w:val="auto"/>
              </w:rPr>
              <w:t>By: /s/ William C. Wampler, Jr.</w:t>
            </w:r>
          </w:p>
        </w:tc>
        <w:tc>
          <w:tcPr>
            <w:tcW w:w="3760" w:type="dxa"/>
            <w:vAlign w:val="bottom"/>
          </w:tcPr>
          <w:p>
            <w:pPr>
              <w:ind w:left="2040"/>
              <w:spacing w:after="0"/>
              <w:rPr>
                <w:sz w:val="20"/>
                <w:szCs w:val="20"/>
                <w:color w:val="auto"/>
              </w:rPr>
            </w:pPr>
            <w:r>
              <w:rPr>
                <w:rFonts w:ascii="Arial" w:cs="Arial" w:eastAsia="Arial" w:hAnsi="Arial"/>
                <w:sz w:val="18"/>
                <w:szCs w:val="18"/>
                <w:color w:val="auto"/>
                <w:w w:val="91"/>
              </w:rPr>
              <w:t>Date: February 8, 2007</w:t>
            </w:r>
          </w:p>
        </w:tc>
      </w:tr>
      <w:tr>
        <w:trPr>
          <w:trHeight w:val="216"/>
        </w:trPr>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5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William C. Wampler, Jr.</w:t>
            </w:r>
          </w:p>
        </w:tc>
        <w:tc>
          <w:tcPr>
            <w:tcW w:w="3760" w:type="dxa"/>
            <w:vAlign w:val="bottom"/>
          </w:tcPr>
          <w:p>
            <w:pPr>
              <w:spacing w:after="0"/>
              <w:rPr>
                <w:sz w:val="18"/>
                <w:szCs w:val="18"/>
                <w:color w:val="auto"/>
              </w:rPr>
            </w:pPr>
          </w:p>
        </w:tc>
      </w:tr>
      <w:tr>
        <w:trPr>
          <w:trHeight w:val="222"/>
        </w:trPr>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Director</w:t>
            </w:r>
          </w:p>
        </w:tc>
        <w:tc>
          <w:tcPr>
            <w:tcW w:w="3760" w:type="dxa"/>
            <w:vAlign w:val="bottom"/>
          </w:tcPr>
          <w:p>
            <w:pPr>
              <w:spacing w:after="0"/>
              <w:rPr>
                <w:sz w:val="19"/>
                <w:szCs w:val="19"/>
                <w:color w:val="auto"/>
              </w:rPr>
            </w:pPr>
          </w:p>
        </w:tc>
      </w:tr>
      <w:tr>
        <w:trPr>
          <w:trHeight w:val="447"/>
        </w:trPr>
        <w:tc>
          <w:tcPr>
            <w:tcW w:w="4940" w:type="dxa"/>
            <w:vAlign w:val="bottom"/>
            <w:gridSpan w:val="3"/>
          </w:tcPr>
          <w:p>
            <w:pPr>
              <w:spacing w:after="0"/>
              <w:rPr>
                <w:sz w:val="20"/>
                <w:szCs w:val="20"/>
                <w:color w:val="auto"/>
              </w:rPr>
            </w:pPr>
            <w:r>
              <w:rPr>
                <w:rFonts w:ascii="Arial" w:cs="Arial" w:eastAsia="Arial" w:hAnsi="Arial"/>
                <w:sz w:val="18"/>
                <w:szCs w:val="18"/>
                <w:color w:val="auto"/>
              </w:rPr>
              <w:t>By: /s/ William C. Warden, Jr.</w:t>
            </w:r>
          </w:p>
        </w:tc>
        <w:tc>
          <w:tcPr>
            <w:tcW w:w="3760" w:type="dxa"/>
            <w:vAlign w:val="bottom"/>
          </w:tcPr>
          <w:p>
            <w:pPr>
              <w:ind w:left="2040"/>
              <w:spacing w:after="0"/>
              <w:rPr>
                <w:sz w:val="20"/>
                <w:szCs w:val="20"/>
                <w:color w:val="auto"/>
              </w:rPr>
            </w:pPr>
            <w:r>
              <w:rPr>
                <w:rFonts w:ascii="Arial" w:cs="Arial" w:eastAsia="Arial" w:hAnsi="Arial"/>
                <w:sz w:val="18"/>
                <w:szCs w:val="18"/>
                <w:color w:val="auto"/>
                <w:w w:val="91"/>
              </w:rPr>
              <w:t>Date: February 8, 2007</w:t>
            </w:r>
          </w:p>
        </w:tc>
      </w:tr>
      <w:tr>
        <w:trPr>
          <w:trHeight w:val="216"/>
        </w:trPr>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5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William C. Warden, Jr.</w:t>
            </w:r>
          </w:p>
        </w:tc>
        <w:tc>
          <w:tcPr>
            <w:tcW w:w="3760" w:type="dxa"/>
            <w:vAlign w:val="bottom"/>
          </w:tcPr>
          <w:p>
            <w:pPr>
              <w:spacing w:after="0"/>
              <w:rPr>
                <w:sz w:val="18"/>
                <w:szCs w:val="18"/>
                <w:color w:val="auto"/>
              </w:rPr>
            </w:pPr>
          </w:p>
        </w:tc>
      </w:tr>
      <w:tr>
        <w:trPr>
          <w:trHeight w:val="222"/>
        </w:trPr>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Director</w:t>
            </w:r>
          </w:p>
        </w:tc>
        <w:tc>
          <w:tcPr>
            <w:tcW w:w="3760" w:type="dxa"/>
            <w:vAlign w:val="bottom"/>
          </w:tcPr>
          <w:p>
            <w:pPr>
              <w:spacing w:after="0"/>
              <w:rPr>
                <w:sz w:val="19"/>
                <w:szCs w:val="19"/>
                <w:color w:val="auto"/>
              </w:rPr>
            </w:pPr>
          </w:p>
        </w:tc>
      </w:tr>
      <w:tr>
        <w:trPr>
          <w:trHeight w:val="447"/>
        </w:trPr>
        <w:tc>
          <w:tcPr>
            <w:tcW w:w="4940" w:type="dxa"/>
            <w:vAlign w:val="bottom"/>
            <w:gridSpan w:val="3"/>
          </w:tcPr>
          <w:p>
            <w:pPr>
              <w:spacing w:after="0"/>
              <w:rPr>
                <w:sz w:val="20"/>
                <w:szCs w:val="20"/>
                <w:color w:val="auto"/>
              </w:rPr>
            </w:pPr>
            <w:r>
              <w:rPr>
                <w:rFonts w:ascii="Arial" w:cs="Arial" w:eastAsia="Arial" w:hAnsi="Arial"/>
                <w:sz w:val="18"/>
                <w:szCs w:val="18"/>
                <w:color w:val="auto"/>
              </w:rPr>
              <w:t>By: /s/ Barry C. Safrit</w:t>
            </w:r>
          </w:p>
        </w:tc>
        <w:tc>
          <w:tcPr>
            <w:tcW w:w="3760" w:type="dxa"/>
            <w:vAlign w:val="bottom"/>
          </w:tcPr>
          <w:p>
            <w:pPr>
              <w:ind w:left="2040"/>
              <w:spacing w:after="0"/>
              <w:rPr>
                <w:sz w:val="20"/>
                <w:szCs w:val="20"/>
                <w:color w:val="auto"/>
              </w:rPr>
            </w:pPr>
            <w:r>
              <w:rPr>
                <w:rFonts w:ascii="Arial" w:cs="Arial" w:eastAsia="Arial" w:hAnsi="Arial"/>
                <w:sz w:val="18"/>
                <w:szCs w:val="18"/>
                <w:color w:val="auto"/>
                <w:w w:val="87"/>
              </w:rPr>
              <w:t>Date: February 12, 2007</w:t>
            </w:r>
          </w:p>
        </w:tc>
      </w:tr>
      <w:tr>
        <w:trPr>
          <w:trHeight w:val="216"/>
        </w:trPr>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5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Barry C. Safrit</w:t>
            </w:r>
          </w:p>
        </w:tc>
        <w:tc>
          <w:tcPr>
            <w:tcW w:w="3760" w:type="dxa"/>
            <w:vAlign w:val="bottom"/>
          </w:tcPr>
          <w:p>
            <w:pPr>
              <w:spacing w:after="0"/>
              <w:rPr>
                <w:sz w:val="18"/>
                <w:szCs w:val="18"/>
                <w:color w:val="auto"/>
              </w:rPr>
            </w:pPr>
          </w:p>
        </w:tc>
      </w:tr>
      <w:tr>
        <w:trPr>
          <w:trHeight w:val="216"/>
        </w:trPr>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Senior Vice President and</w:t>
            </w:r>
          </w:p>
        </w:tc>
        <w:tc>
          <w:tcPr>
            <w:tcW w:w="3760" w:type="dxa"/>
            <w:vAlign w:val="bottom"/>
          </w:tcPr>
          <w:p>
            <w:pPr>
              <w:spacing w:after="0"/>
              <w:rPr>
                <w:sz w:val="18"/>
                <w:szCs w:val="18"/>
                <w:color w:val="auto"/>
              </w:rPr>
            </w:pPr>
          </w:p>
        </w:tc>
      </w:tr>
      <w:tr>
        <w:trPr>
          <w:trHeight w:val="216"/>
        </w:trPr>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3760" w:type="dxa"/>
            <w:vAlign w:val="bottom"/>
          </w:tcPr>
          <w:p>
            <w:pPr>
              <w:spacing w:after="0"/>
              <w:rPr>
                <w:sz w:val="18"/>
                <w:szCs w:val="18"/>
                <w:color w:val="auto"/>
              </w:rPr>
            </w:pPr>
          </w:p>
        </w:tc>
      </w:tr>
      <w:tr>
        <w:trPr>
          <w:trHeight w:val="222"/>
        </w:trPr>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(Principal Financial and Accounting Officer)</w:t>
            </w:r>
          </w:p>
        </w:tc>
        <w:tc>
          <w:tcPr>
            <w:tcW w:w="3760" w:type="dxa"/>
            <w:vAlign w:val="bottom"/>
          </w:tcPr>
          <w:p>
            <w:pPr>
              <w:spacing w:after="0"/>
              <w:rPr>
                <w:sz w:val="19"/>
                <w:szCs w:val="19"/>
                <w:color w:val="auto"/>
              </w:rPr>
            </w:pPr>
          </w:p>
        </w:tc>
      </w:tr>
      <w:tr>
        <w:trPr>
          <w:trHeight w:val="378"/>
        </w:trPr>
        <w:tc>
          <w:tcPr>
            <w:tcW w:w="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560" w:type="dxa"/>
            <w:vAlign w:val="bottom"/>
          </w:tcPr>
          <w:p>
            <w:pPr>
              <w:spacing w:after="0"/>
              <w:rPr>
                <w:sz w:val="24"/>
                <w:szCs w:val="24"/>
                <w:color w:val="auto"/>
              </w:rPr>
            </w:pPr>
          </w:p>
        </w:tc>
        <w:tc>
          <w:tcPr>
            <w:tcW w:w="3760" w:type="dxa"/>
            <w:vAlign w:val="bottom"/>
          </w:tcPr>
          <w:p>
            <w:pPr>
              <w:ind w:left="680"/>
              <w:spacing w:after="0"/>
              <w:rPr>
                <w:sz w:val="20"/>
                <w:szCs w:val="20"/>
                <w:color w:val="auto"/>
              </w:rPr>
            </w:pPr>
            <w:r>
              <w:rPr>
                <w:rFonts w:ascii="Arial" w:cs="Arial" w:eastAsia="Arial" w:hAnsi="Arial"/>
                <w:sz w:val="18"/>
                <w:szCs w:val="18"/>
                <w:color w:val="auto"/>
              </w:rPr>
              <w:t>18</w:t>
            </w:r>
          </w:p>
        </w:tc>
      </w:tr>
    </w:tbl>
    <w:p>
      <w:pPr>
        <w:sectPr>
          <w:pgSz w:w="11900" w:h="16838" w:orient="portrait"/>
          <w:cols w:equalWidth="0" w:num="1">
            <w:col w:w="11380"/>
          </w:cols>
          <w:pgMar w:left="240" w:top="459" w:right="27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1220"/>
        <w:spacing w:after="0"/>
        <w:rPr>
          <w:sz w:val="20"/>
          <w:szCs w:val="20"/>
          <w:color w:val="auto"/>
        </w:rPr>
      </w:pPr>
      <w:r>
        <w:rPr>
          <w:rFonts w:ascii="Arial" w:cs="Arial" w:eastAsia="Arial" w:hAnsi="Arial"/>
          <w:sz w:val="18"/>
          <w:szCs w:val="18"/>
          <w:b w:val="1"/>
          <w:bCs w:val="1"/>
          <w:color w:val="auto"/>
        </w:rPr>
        <w:t>Bassett Furniture Industries, Incorporated and Subsidiaries</w:t>
      </w:r>
    </w:p>
    <w:p>
      <w:pPr>
        <w:spacing w:after="0" w:line="177" w:lineRule="exact"/>
        <w:rPr>
          <w:sz w:val="20"/>
          <w:szCs w:val="20"/>
          <w:color w:val="auto"/>
        </w:rPr>
      </w:pPr>
    </w:p>
    <w:p>
      <w:pPr>
        <w:jc w:val="center"/>
        <w:ind w:right="-1220"/>
        <w:spacing w:after="0"/>
        <w:rPr>
          <w:sz w:val="20"/>
          <w:szCs w:val="20"/>
          <w:color w:val="auto"/>
        </w:rPr>
      </w:pPr>
      <w:r>
        <w:rPr>
          <w:rFonts w:ascii="Arial" w:cs="Arial" w:eastAsia="Arial" w:hAnsi="Arial"/>
          <w:sz w:val="18"/>
          <w:szCs w:val="18"/>
          <w:color w:val="auto"/>
        </w:rPr>
        <w:t>Consolidated Financial Statements</w:t>
      </w:r>
    </w:p>
    <w:p>
      <w:pPr>
        <w:spacing w:after="0" w:line="171" w:lineRule="exact"/>
        <w:rPr>
          <w:sz w:val="20"/>
          <w:szCs w:val="20"/>
          <w:color w:val="auto"/>
        </w:rPr>
      </w:pPr>
    </w:p>
    <w:p>
      <w:pPr>
        <w:jc w:val="center"/>
        <w:ind w:right="-1220"/>
        <w:spacing w:after="0"/>
        <w:rPr>
          <w:sz w:val="20"/>
          <w:szCs w:val="20"/>
          <w:color w:val="auto"/>
        </w:rPr>
      </w:pPr>
      <w:r>
        <w:rPr>
          <w:rFonts w:ascii="Arial" w:cs="Arial" w:eastAsia="Arial" w:hAnsi="Arial"/>
          <w:sz w:val="15"/>
          <w:szCs w:val="15"/>
          <w:color w:val="auto"/>
        </w:rPr>
        <w:t>Years ended November 25, 2006, November 26, 2005 and November 27, 2004</w:t>
      </w:r>
    </w:p>
    <w:p>
      <w:pPr>
        <w:spacing w:after="0" w:line="192" w:lineRule="exact"/>
        <w:rPr>
          <w:sz w:val="20"/>
          <w:szCs w:val="20"/>
          <w:color w:val="auto"/>
        </w:rPr>
      </w:pPr>
    </w:p>
    <w:p>
      <w:pPr>
        <w:jc w:val="center"/>
        <w:ind w:right="-1220"/>
        <w:spacing w:after="0"/>
        <w:rPr>
          <w:sz w:val="20"/>
          <w:szCs w:val="20"/>
          <w:color w:val="auto"/>
        </w:rPr>
      </w:pPr>
      <w:r>
        <w:rPr>
          <w:rFonts w:ascii="Arial" w:cs="Arial" w:eastAsia="Arial" w:hAnsi="Arial"/>
          <w:sz w:val="18"/>
          <w:szCs w:val="18"/>
          <w:color w:val="auto"/>
        </w:rPr>
        <w:t>F - 1</w:t>
      </w:r>
    </w:p>
    <w:p>
      <w:pPr>
        <w:sectPr>
          <w:pgSz w:w="11900" w:h="16838" w:orient="portrait"/>
          <w:cols w:equalWidth="0" w:num="1">
            <w:col w:w="10219"/>
          </w:cols>
          <w:pgMar w:left="240" w:top="459" w:right="1440"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Bassett Furniture Industries, Incorporated and Subsidiaries</w:t>
      </w:r>
    </w:p>
    <w:p>
      <w:pPr>
        <w:spacing w:after="0" w:line="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TABLE OF CONTENTS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680" w:type="dxa"/>
            <w:vAlign w:val="bottom"/>
            <w:gridSpan w:val="11"/>
            <w:vMerge w:val="restart"/>
          </w:tcPr>
          <w:p>
            <w:pPr>
              <w:spacing w:after="0"/>
              <w:rPr>
                <w:rFonts w:ascii="Arial" w:cs="Arial" w:eastAsia="Arial" w:hAnsi="Arial"/>
                <w:sz w:val="18"/>
                <w:szCs w:val="18"/>
                <w:b w:val="1"/>
                <w:bCs w:val="1"/>
                <w:color w:val="0000EE"/>
                <w:w w:val="87"/>
              </w:rPr>
            </w:pPr>
            <w:hyperlink w:anchor="page22">
              <w:r>
                <w:rPr>
                  <w:rFonts w:ascii="Arial" w:cs="Arial" w:eastAsia="Arial" w:hAnsi="Arial"/>
                  <w:sz w:val="18"/>
                  <w:szCs w:val="18"/>
                  <w:b w:val="1"/>
                  <w:bCs w:val="1"/>
                  <w:color w:val="0000EE"/>
                  <w:w w:val="87"/>
                </w:rPr>
                <w:t>Management’s Discussion and Analysis of Financial Condition and Results of Operations</w:t>
              </w:r>
            </w:hyperlink>
          </w:p>
        </w:tc>
        <w:tc>
          <w:tcPr>
            <w:tcW w:w="4220" w:type="dxa"/>
            <w:vAlign w:val="bottom"/>
            <w:gridSpan w:val="2"/>
            <w:vMerge w:val="restart"/>
          </w:tcPr>
          <w:p>
            <w:pPr>
              <w:spacing w:after="0"/>
              <w:rPr>
                <w:sz w:val="14"/>
                <w:szCs w:val="14"/>
                <w:color w:val="auto"/>
              </w:rPr>
            </w:pPr>
          </w:p>
        </w:tc>
        <w:tc>
          <w:tcPr>
            <w:tcW w:w="540" w:type="dxa"/>
            <w:vAlign w:val="bottom"/>
            <w:gridSpan w:val="2"/>
          </w:tcPr>
          <w:p>
            <w:pPr>
              <w:jc w:val="right"/>
              <w:ind w:right="20"/>
              <w:spacing w:after="0"/>
              <w:rPr>
                <w:sz w:val="20"/>
                <w:szCs w:val="20"/>
                <w:color w:val="auto"/>
              </w:rPr>
            </w:pPr>
            <w:r>
              <w:rPr>
                <w:rFonts w:ascii="Arial" w:cs="Arial" w:eastAsia="Arial" w:hAnsi="Arial"/>
                <w:sz w:val="14"/>
                <w:szCs w:val="14"/>
                <w:b w:val="1"/>
                <w:bCs w:val="1"/>
                <w:color w:val="auto"/>
                <w:w w:val="83"/>
              </w:rPr>
              <w:t>Page No.</w:t>
            </w:r>
          </w:p>
        </w:tc>
        <w:tc>
          <w:tcPr>
            <w:tcW w:w="0" w:type="dxa"/>
            <w:vAlign w:val="bottom"/>
          </w:tcPr>
          <w:p>
            <w:pPr>
              <w:spacing w:after="0"/>
              <w:rPr>
                <w:sz w:val="1"/>
                <w:szCs w:val="1"/>
                <w:color w:val="auto"/>
              </w:rPr>
            </w:pPr>
          </w:p>
        </w:tc>
      </w:tr>
      <w:tr>
        <w:trPr>
          <w:trHeight w:val="174"/>
        </w:trPr>
        <w:tc>
          <w:tcPr>
            <w:tcW w:w="6680" w:type="dxa"/>
            <w:vAlign w:val="bottom"/>
            <w:tcBorders>
              <w:bottom w:val="single" w:sz="8" w:color="0000EE"/>
            </w:tcBorders>
            <w:gridSpan w:val="11"/>
            <w:vMerge w:val="continue"/>
          </w:tcPr>
          <w:p>
            <w:pPr>
              <w:spacing w:after="0"/>
              <w:rPr>
                <w:sz w:val="14"/>
                <w:szCs w:val="14"/>
                <w:color w:val="auto"/>
              </w:rPr>
            </w:pPr>
          </w:p>
        </w:tc>
        <w:tc>
          <w:tcPr>
            <w:tcW w:w="4220" w:type="dxa"/>
            <w:vAlign w:val="bottom"/>
            <w:gridSpan w:val="2"/>
            <w:vMerge w:val="continue"/>
          </w:tcPr>
          <w:p>
            <w:pPr>
              <w:spacing w:after="0"/>
              <w:rPr>
                <w:sz w:val="14"/>
                <w:szCs w:val="14"/>
                <w:color w:val="auto"/>
              </w:rPr>
            </w:pPr>
          </w:p>
        </w:tc>
        <w:tc>
          <w:tcPr>
            <w:tcW w:w="520" w:type="dxa"/>
            <w:vAlign w:val="bottom"/>
            <w:tcBorders>
              <w:top w:val="single" w:sz="8" w:color="auto"/>
            </w:tcBorders>
          </w:tcPr>
          <w:p>
            <w:pPr>
              <w:jc w:val="right"/>
              <w:spacing w:after="0" w:line="170" w:lineRule="exact"/>
              <w:rPr>
                <w:sz w:val="20"/>
                <w:szCs w:val="20"/>
                <w:color w:val="auto"/>
              </w:rPr>
            </w:pPr>
            <w:r>
              <w:rPr>
                <w:rFonts w:ascii="Arial" w:cs="Arial" w:eastAsia="Arial" w:hAnsi="Arial"/>
                <w:sz w:val="18"/>
                <w:szCs w:val="18"/>
                <w:color w:val="auto"/>
              </w:rPr>
              <w:t>F – 3</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8"/>
        </w:trPr>
        <w:tc>
          <w:tcPr>
            <w:tcW w:w="10900" w:type="dxa"/>
            <w:vAlign w:val="bottom"/>
            <w:gridSpan w:val="13"/>
          </w:tcPr>
          <w:p>
            <w:pPr>
              <w:spacing w:after="0"/>
              <w:rPr>
                <w:sz w:val="20"/>
                <w:szCs w:val="20"/>
                <w:color w:val="auto"/>
              </w:rPr>
            </w:pPr>
            <w:r>
              <w:rPr>
                <w:rFonts w:ascii="Arial" w:cs="Arial" w:eastAsia="Arial" w:hAnsi="Arial"/>
                <w:sz w:val="18"/>
                <w:szCs w:val="18"/>
                <w:b w:val="1"/>
                <w:bCs w:val="1"/>
                <w:color w:val="auto"/>
              </w:rPr>
              <w:t>Consolidated Financial Statements</w:t>
            </w:r>
          </w:p>
        </w:tc>
        <w:tc>
          <w:tcPr>
            <w:tcW w:w="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4"/>
        </w:trPr>
        <w:tc>
          <w:tcPr>
            <w:tcW w:w="2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040" w:type="dxa"/>
            <w:vAlign w:val="bottom"/>
            <w:tcBorders>
              <w:bottom w:val="single" w:sz="8" w:color="0000EE"/>
            </w:tcBorders>
            <w:gridSpan w:val="2"/>
          </w:tcPr>
          <w:p>
            <w:pPr>
              <w:spacing w:after="0" w:line="184" w:lineRule="exact"/>
              <w:rPr>
                <w:rFonts w:ascii="Arial" w:cs="Arial" w:eastAsia="Arial" w:hAnsi="Arial"/>
                <w:sz w:val="18"/>
                <w:szCs w:val="18"/>
                <w:color w:val="0000EE"/>
                <w:w w:val="85"/>
              </w:rPr>
            </w:pPr>
            <w:hyperlink w:anchor="page35">
              <w:r>
                <w:rPr>
                  <w:rFonts w:ascii="Arial" w:cs="Arial" w:eastAsia="Arial" w:hAnsi="Arial"/>
                  <w:sz w:val="18"/>
                  <w:szCs w:val="18"/>
                  <w:color w:val="0000EE"/>
                  <w:w w:val="85"/>
                </w:rPr>
                <w:t>Consolidated Balance Sheets</w:t>
              </w:r>
            </w:hyperlink>
          </w:p>
        </w:tc>
        <w:tc>
          <w:tcPr>
            <w:tcW w:w="8420" w:type="dxa"/>
            <w:vAlign w:val="bottom"/>
            <w:gridSpan w:val="9"/>
          </w:tcPr>
          <w:p>
            <w:pPr>
              <w:spacing w:after="0"/>
              <w:rPr>
                <w:sz w:val="15"/>
                <w:szCs w:val="15"/>
                <w:color w:val="auto"/>
              </w:rPr>
            </w:pPr>
          </w:p>
        </w:tc>
        <w:tc>
          <w:tcPr>
            <w:tcW w:w="540" w:type="dxa"/>
            <w:vAlign w:val="bottom"/>
            <w:gridSpan w:val="2"/>
          </w:tcPr>
          <w:p>
            <w:pPr>
              <w:jc w:val="right"/>
              <w:ind w:right="20"/>
              <w:spacing w:after="0" w:line="184" w:lineRule="exact"/>
              <w:rPr>
                <w:sz w:val="20"/>
                <w:szCs w:val="20"/>
                <w:color w:val="auto"/>
              </w:rPr>
            </w:pPr>
            <w:r>
              <w:rPr>
                <w:rFonts w:ascii="Arial" w:cs="Arial" w:eastAsia="Arial" w:hAnsi="Arial"/>
                <w:sz w:val="18"/>
                <w:szCs w:val="18"/>
                <w:color w:val="auto"/>
              </w:rPr>
              <w:t>F –16</w:t>
            </w:r>
          </w:p>
        </w:tc>
        <w:tc>
          <w:tcPr>
            <w:tcW w:w="0" w:type="dxa"/>
            <w:vAlign w:val="bottom"/>
          </w:tcPr>
          <w:p>
            <w:pPr>
              <w:spacing w:after="0"/>
              <w:rPr>
                <w:sz w:val="1"/>
                <w:szCs w:val="1"/>
                <w:color w:val="auto"/>
              </w:rPr>
            </w:pPr>
          </w:p>
        </w:tc>
      </w:tr>
      <w:tr>
        <w:trPr>
          <w:trHeight w:val="196"/>
        </w:trPr>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460" w:type="dxa"/>
            <w:vAlign w:val="bottom"/>
            <w:gridSpan w:val="11"/>
          </w:tcPr>
          <w:p>
            <w:pPr>
              <w:spacing w:after="0" w:line="196" w:lineRule="exact"/>
              <w:rPr>
                <w:rFonts w:ascii="Arial" w:cs="Arial" w:eastAsia="Arial" w:hAnsi="Arial"/>
                <w:sz w:val="18"/>
                <w:szCs w:val="18"/>
                <w:color w:val="0000EE"/>
              </w:rPr>
            </w:pPr>
            <w:hyperlink w:anchor="page36">
              <w:r>
                <w:rPr>
                  <w:rFonts w:ascii="Arial" w:cs="Arial" w:eastAsia="Arial" w:hAnsi="Arial"/>
                  <w:sz w:val="18"/>
                  <w:szCs w:val="18"/>
                  <w:color w:val="0000EE"/>
                </w:rPr>
                <w:t>Consolidated Statements of Income</w:t>
              </w:r>
            </w:hyperlink>
          </w:p>
        </w:tc>
        <w:tc>
          <w:tcPr>
            <w:tcW w:w="54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F –17</w:t>
            </w: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20" w:type="dxa"/>
            <w:vAlign w:val="bottom"/>
            <w:shd w:val="clear" w:color="auto" w:fill="0000EE"/>
          </w:tcPr>
          <w:p>
            <w:pPr>
              <w:spacing w:after="0" w:line="20" w:lineRule="exact"/>
              <w:rPr>
                <w:sz w:val="1"/>
                <w:szCs w:val="1"/>
                <w:color w:val="auto"/>
              </w:rPr>
            </w:pPr>
          </w:p>
        </w:tc>
        <w:tc>
          <w:tcPr>
            <w:tcW w:w="1280" w:type="dxa"/>
            <w:vAlign w:val="bottom"/>
            <w:gridSpan w:val="2"/>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280" w:type="dxa"/>
            <w:vAlign w:val="bottom"/>
            <w:gridSpan w:val="2"/>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460" w:type="dxa"/>
            <w:vAlign w:val="bottom"/>
            <w:gridSpan w:val="11"/>
          </w:tcPr>
          <w:p>
            <w:pPr>
              <w:spacing w:after="0" w:line="196" w:lineRule="exact"/>
              <w:rPr>
                <w:rFonts w:ascii="Arial" w:cs="Arial" w:eastAsia="Arial" w:hAnsi="Arial"/>
                <w:sz w:val="18"/>
                <w:szCs w:val="18"/>
                <w:color w:val="0000EE"/>
              </w:rPr>
            </w:pPr>
            <w:hyperlink w:anchor="page37">
              <w:r>
                <w:rPr>
                  <w:rFonts w:ascii="Arial" w:cs="Arial" w:eastAsia="Arial" w:hAnsi="Arial"/>
                  <w:sz w:val="18"/>
                  <w:szCs w:val="18"/>
                  <w:color w:val="0000EE"/>
                </w:rPr>
                <w:t>Consolidated Statements of Stockholders’ Equity</w:t>
              </w:r>
            </w:hyperlink>
          </w:p>
        </w:tc>
        <w:tc>
          <w:tcPr>
            <w:tcW w:w="54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F –18</w:t>
            </w:r>
          </w:p>
        </w:tc>
        <w:tc>
          <w:tcPr>
            <w:tcW w:w="0" w:type="dxa"/>
            <w:vAlign w:val="bottom"/>
          </w:tcPr>
          <w:p>
            <w:pPr>
              <w:spacing w:after="0"/>
              <w:rPr>
                <w:sz w:val="1"/>
                <w:szCs w:val="1"/>
                <w:color w:val="auto"/>
              </w:rPr>
            </w:pPr>
          </w:p>
        </w:tc>
      </w:tr>
      <w:tr>
        <w:trPr>
          <w:trHeight w:val="196"/>
        </w:trPr>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86"/>
              </w:rPr>
            </w:pPr>
            <w:hyperlink w:anchor="page38">
              <w:r>
                <w:rPr>
                  <w:rFonts w:ascii="Arial" w:cs="Arial" w:eastAsia="Arial" w:hAnsi="Arial"/>
                  <w:sz w:val="18"/>
                  <w:szCs w:val="18"/>
                  <w:color w:val="0000EE"/>
                  <w:w w:val="86"/>
                </w:rPr>
                <w:t>Consolidated Statements of Cash Flows</w:t>
              </w:r>
            </w:hyperlink>
          </w:p>
        </w:tc>
        <w:tc>
          <w:tcPr>
            <w:tcW w:w="660" w:type="dxa"/>
            <w:vAlign w:val="bottom"/>
            <w:tcBorders>
              <w:top w:val="single" w:sz="8" w:color="0000EE"/>
            </w:tcBorders>
            <w:gridSpan w:val="2"/>
          </w:tcPr>
          <w:p>
            <w:pPr>
              <w:spacing w:after="0"/>
              <w:rPr>
                <w:sz w:val="17"/>
                <w:szCs w:val="17"/>
                <w:color w:val="auto"/>
              </w:rPr>
            </w:pPr>
          </w:p>
        </w:tc>
        <w:tc>
          <w:tcPr>
            <w:tcW w:w="7000" w:type="dxa"/>
            <w:vAlign w:val="bottom"/>
            <w:gridSpan w:val="5"/>
          </w:tcPr>
          <w:p>
            <w:pPr>
              <w:spacing w:after="0"/>
              <w:rPr>
                <w:sz w:val="17"/>
                <w:szCs w:val="17"/>
                <w:color w:val="auto"/>
              </w:rPr>
            </w:pPr>
          </w:p>
        </w:tc>
        <w:tc>
          <w:tcPr>
            <w:tcW w:w="54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F –19</w:t>
            </w:r>
          </w:p>
        </w:tc>
        <w:tc>
          <w:tcPr>
            <w:tcW w:w="0" w:type="dxa"/>
            <w:vAlign w:val="bottom"/>
          </w:tcPr>
          <w:p>
            <w:pPr>
              <w:spacing w:after="0"/>
              <w:rPr>
                <w:sz w:val="1"/>
                <w:szCs w:val="1"/>
                <w:color w:val="auto"/>
              </w:rPr>
            </w:pPr>
          </w:p>
        </w:tc>
      </w:tr>
      <w:tr>
        <w:trPr>
          <w:trHeight w:val="196"/>
        </w:trPr>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80" w:type="dxa"/>
            <w:vAlign w:val="bottom"/>
            <w:tcBorders>
              <w:bottom w:val="single" w:sz="8" w:color="0000EE"/>
            </w:tcBorders>
            <w:gridSpan w:val="5"/>
          </w:tcPr>
          <w:p>
            <w:pPr>
              <w:spacing w:after="0" w:line="196" w:lineRule="exact"/>
              <w:rPr>
                <w:rFonts w:ascii="Arial" w:cs="Arial" w:eastAsia="Arial" w:hAnsi="Arial"/>
                <w:sz w:val="18"/>
                <w:szCs w:val="18"/>
                <w:color w:val="0000EE"/>
                <w:w w:val="87"/>
              </w:rPr>
            </w:pPr>
            <w:hyperlink w:anchor="page39">
              <w:r>
                <w:rPr>
                  <w:rFonts w:ascii="Arial" w:cs="Arial" w:eastAsia="Arial" w:hAnsi="Arial"/>
                  <w:sz w:val="18"/>
                  <w:szCs w:val="18"/>
                  <w:color w:val="0000EE"/>
                  <w:w w:val="87"/>
                </w:rPr>
                <w:t>Notes to Consolidated Financial Statements</w:t>
              </w:r>
            </w:hyperlink>
          </w:p>
        </w:tc>
        <w:tc>
          <w:tcPr>
            <w:tcW w:w="7380" w:type="dxa"/>
            <w:vAlign w:val="bottom"/>
            <w:gridSpan w:val="6"/>
          </w:tcPr>
          <w:p>
            <w:pPr>
              <w:spacing w:after="0"/>
              <w:rPr>
                <w:sz w:val="17"/>
                <w:szCs w:val="17"/>
                <w:color w:val="auto"/>
              </w:rPr>
            </w:pPr>
          </w:p>
        </w:tc>
        <w:tc>
          <w:tcPr>
            <w:tcW w:w="54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F –20</w:t>
            </w:r>
          </w:p>
        </w:tc>
        <w:tc>
          <w:tcPr>
            <w:tcW w:w="0" w:type="dxa"/>
            <w:vAlign w:val="bottom"/>
          </w:tcPr>
          <w:p>
            <w:pPr>
              <w:spacing w:after="0"/>
              <w:rPr>
                <w:sz w:val="1"/>
                <w:szCs w:val="1"/>
                <w:color w:val="auto"/>
              </w:rPr>
            </w:pPr>
          </w:p>
        </w:tc>
      </w:tr>
      <w:tr>
        <w:trPr>
          <w:trHeight w:val="196"/>
        </w:trPr>
        <w:tc>
          <w:tcPr>
            <w:tcW w:w="5200" w:type="dxa"/>
            <w:vAlign w:val="bottom"/>
            <w:tcBorders>
              <w:bottom w:val="single" w:sz="8" w:color="0000EE"/>
            </w:tcBorders>
            <w:gridSpan w:val="10"/>
          </w:tcPr>
          <w:p>
            <w:pPr>
              <w:spacing w:after="0" w:line="196" w:lineRule="exact"/>
              <w:rPr>
                <w:rFonts w:ascii="Arial" w:cs="Arial" w:eastAsia="Arial" w:hAnsi="Arial"/>
                <w:sz w:val="18"/>
                <w:szCs w:val="18"/>
                <w:b w:val="1"/>
                <w:bCs w:val="1"/>
                <w:color w:val="0000EE"/>
                <w:w w:val="89"/>
              </w:rPr>
            </w:pPr>
            <w:hyperlink w:anchor="page67">
              <w:r>
                <w:rPr>
                  <w:rFonts w:ascii="Arial" w:cs="Arial" w:eastAsia="Arial" w:hAnsi="Arial"/>
                  <w:sz w:val="18"/>
                  <w:szCs w:val="18"/>
                  <w:b w:val="1"/>
                  <w:bCs w:val="1"/>
                  <w:color w:val="0000EE"/>
                  <w:w w:val="89"/>
                </w:rPr>
                <w:t>Management’s Report on Internal Controls over Financial Reporting</w:t>
              </w:r>
            </w:hyperlink>
          </w:p>
        </w:tc>
        <w:tc>
          <w:tcPr>
            <w:tcW w:w="5700" w:type="dxa"/>
            <w:vAlign w:val="bottom"/>
            <w:gridSpan w:val="3"/>
          </w:tcPr>
          <w:p>
            <w:pPr>
              <w:spacing w:after="0"/>
              <w:rPr>
                <w:sz w:val="17"/>
                <w:szCs w:val="17"/>
                <w:color w:val="auto"/>
              </w:rPr>
            </w:pPr>
          </w:p>
        </w:tc>
        <w:tc>
          <w:tcPr>
            <w:tcW w:w="54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F –48</w:t>
            </w:r>
          </w:p>
        </w:tc>
        <w:tc>
          <w:tcPr>
            <w:tcW w:w="0" w:type="dxa"/>
            <w:vAlign w:val="bottom"/>
          </w:tcPr>
          <w:p>
            <w:pPr>
              <w:spacing w:after="0"/>
              <w:rPr>
                <w:sz w:val="1"/>
                <w:szCs w:val="1"/>
                <w:color w:val="auto"/>
              </w:rPr>
            </w:pPr>
          </w:p>
        </w:tc>
      </w:tr>
      <w:tr>
        <w:trPr>
          <w:trHeight w:val="196"/>
        </w:trPr>
        <w:tc>
          <w:tcPr>
            <w:tcW w:w="10900" w:type="dxa"/>
            <w:vAlign w:val="bottom"/>
            <w:gridSpan w:val="13"/>
          </w:tcPr>
          <w:p>
            <w:pPr>
              <w:spacing w:after="0" w:line="196" w:lineRule="exact"/>
              <w:rPr>
                <w:rFonts w:ascii="Arial" w:cs="Arial" w:eastAsia="Arial" w:hAnsi="Arial"/>
                <w:sz w:val="18"/>
                <w:szCs w:val="18"/>
                <w:b w:val="1"/>
                <w:bCs w:val="1"/>
                <w:color w:val="0000EE"/>
              </w:rPr>
            </w:pPr>
            <w:hyperlink w:anchor="page68">
              <w:r>
                <w:rPr>
                  <w:rFonts w:ascii="Arial" w:cs="Arial" w:eastAsia="Arial" w:hAnsi="Arial"/>
                  <w:sz w:val="18"/>
                  <w:szCs w:val="18"/>
                  <w:b w:val="1"/>
                  <w:bCs w:val="1"/>
                  <w:color w:val="0000EE"/>
                </w:rPr>
                <w:t>Report of Independent Registered Public Accounting Firm</w:t>
              </w:r>
            </w:hyperlink>
          </w:p>
        </w:tc>
        <w:tc>
          <w:tcPr>
            <w:tcW w:w="54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F –49</w:t>
            </w:r>
          </w:p>
        </w:tc>
        <w:tc>
          <w:tcPr>
            <w:tcW w:w="0" w:type="dxa"/>
            <w:vAlign w:val="bottom"/>
          </w:tcPr>
          <w:p>
            <w:pPr>
              <w:spacing w:after="0"/>
              <w:rPr>
                <w:sz w:val="1"/>
                <w:szCs w:val="1"/>
                <w:color w:val="auto"/>
              </w:rPr>
            </w:pPr>
          </w:p>
        </w:tc>
      </w:tr>
      <w:tr>
        <w:trPr>
          <w:trHeight w:val="20"/>
        </w:trPr>
        <w:tc>
          <w:tcPr>
            <w:tcW w:w="220" w:type="dxa"/>
            <w:vAlign w:val="bottom"/>
            <w:shd w:val="clear" w:color="auto" w:fill="0000EE"/>
          </w:tcPr>
          <w:p>
            <w:pPr>
              <w:spacing w:after="0" w:line="20" w:lineRule="exact"/>
              <w:rPr>
                <w:sz w:val="1"/>
                <w:szCs w:val="1"/>
                <w:color w:val="auto"/>
              </w:rPr>
            </w:pPr>
          </w:p>
        </w:tc>
        <w:tc>
          <w:tcPr>
            <w:tcW w:w="1440" w:type="dxa"/>
            <w:vAlign w:val="bottom"/>
            <w:gridSpan w:val="2"/>
            <w:shd w:val="clear" w:color="auto" w:fill="0000EE"/>
          </w:tcPr>
          <w:p>
            <w:pPr>
              <w:spacing w:after="0" w:line="20" w:lineRule="exact"/>
              <w:rPr>
                <w:sz w:val="1"/>
                <w:szCs w:val="1"/>
                <w:color w:val="auto"/>
              </w:rPr>
            </w:pPr>
          </w:p>
        </w:tc>
        <w:tc>
          <w:tcPr>
            <w:tcW w:w="2740" w:type="dxa"/>
            <w:vAlign w:val="bottom"/>
            <w:gridSpan w:val="6"/>
            <w:shd w:val="clear" w:color="auto" w:fill="0000EE"/>
          </w:tcPr>
          <w:p>
            <w:pPr>
              <w:spacing w:after="0" w:line="20" w:lineRule="exact"/>
              <w:rPr>
                <w:sz w:val="1"/>
                <w:szCs w:val="1"/>
                <w:color w:val="auto"/>
              </w:rPr>
            </w:pPr>
          </w:p>
        </w:tc>
        <w:tc>
          <w:tcPr>
            <w:tcW w:w="5080" w:type="dxa"/>
            <w:vAlign w:val="bottom"/>
            <w:gridSpan w:val="3"/>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900" w:type="dxa"/>
            <w:vAlign w:val="bottom"/>
            <w:gridSpan w:val="13"/>
          </w:tcPr>
          <w:p>
            <w:pPr>
              <w:spacing w:after="0" w:line="196" w:lineRule="exact"/>
              <w:rPr>
                <w:rFonts w:ascii="Arial" w:cs="Arial" w:eastAsia="Arial" w:hAnsi="Arial"/>
                <w:sz w:val="18"/>
                <w:szCs w:val="18"/>
                <w:b w:val="1"/>
                <w:bCs w:val="1"/>
                <w:color w:val="0000EE"/>
              </w:rPr>
            </w:pPr>
            <w:hyperlink w:anchor="page69">
              <w:r>
                <w:rPr>
                  <w:rFonts w:ascii="Arial" w:cs="Arial" w:eastAsia="Arial" w:hAnsi="Arial"/>
                  <w:sz w:val="18"/>
                  <w:szCs w:val="18"/>
                  <w:b w:val="1"/>
                  <w:bCs w:val="1"/>
                  <w:color w:val="0000EE"/>
                </w:rPr>
                <w:t>Report of Independent Registered Public Accounting Firm</w:t>
              </w:r>
            </w:hyperlink>
          </w:p>
        </w:tc>
        <w:tc>
          <w:tcPr>
            <w:tcW w:w="54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F –50</w:t>
            </w:r>
          </w:p>
        </w:tc>
        <w:tc>
          <w:tcPr>
            <w:tcW w:w="0" w:type="dxa"/>
            <w:vAlign w:val="bottom"/>
          </w:tcPr>
          <w:p>
            <w:pPr>
              <w:spacing w:after="0"/>
              <w:rPr>
                <w:sz w:val="1"/>
                <w:szCs w:val="1"/>
                <w:color w:val="auto"/>
              </w:rPr>
            </w:pPr>
          </w:p>
        </w:tc>
      </w:tr>
      <w:tr>
        <w:trPr>
          <w:trHeight w:val="20"/>
        </w:trPr>
        <w:tc>
          <w:tcPr>
            <w:tcW w:w="220" w:type="dxa"/>
            <w:vAlign w:val="bottom"/>
            <w:shd w:val="clear" w:color="auto" w:fill="0000EE"/>
          </w:tcPr>
          <w:p>
            <w:pPr>
              <w:spacing w:after="0" w:line="20" w:lineRule="exact"/>
              <w:rPr>
                <w:sz w:val="1"/>
                <w:szCs w:val="1"/>
                <w:color w:val="auto"/>
              </w:rPr>
            </w:pPr>
          </w:p>
        </w:tc>
        <w:tc>
          <w:tcPr>
            <w:tcW w:w="1440" w:type="dxa"/>
            <w:vAlign w:val="bottom"/>
            <w:gridSpan w:val="2"/>
            <w:shd w:val="clear" w:color="auto" w:fill="0000EE"/>
          </w:tcPr>
          <w:p>
            <w:pPr>
              <w:spacing w:after="0" w:line="20" w:lineRule="exact"/>
              <w:rPr>
                <w:sz w:val="1"/>
                <w:szCs w:val="1"/>
                <w:color w:val="auto"/>
              </w:rPr>
            </w:pPr>
          </w:p>
        </w:tc>
        <w:tc>
          <w:tcPr>
            <w:tcW w:w="2740" w:type="dxa"/>
            <w:vAlign w:val="bottom"/>
            <w:gridSpan w:val="6"/>
            <w:shd w:val="clear" w:color="auto" w:fill="0000EE"/>
          </w:tcPr>
          <w:p>
            <w:pPr>
              <w:spacing w:after="0" w:line="20" w:lineRule="exact"/>
              <w:rPr>
                <w:sz w:val="1"/>
                <w:szCs w:val="1"/>
                <w:color w:val="auto"/>
              </w:rPr>
            </w:pPr>
          </w:p>
        </w:tc>
        <w:tc>
          <w:tcPr>
            <w:tcW w:w="5080" w:type="dxa"/>
            <w:vAlign w:val="bottom"/>
            <w:gridSpan w:val="3"/>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900" w:type="dxa"/>
            <w:vAlign w:val="bottom"/>
            <w:gridSpan w:val="13"/>
          </w:tcPr>
          <w:p>
            <w:pPr>
              <w:spacing w:after="0" w:line="196" w:lineRule="exact"/>
              <w:rPr>
                <w:rFonts w:ascii="Arial" w:cs="Arial" w:eastAsia="Arial" w:hAnsi="Arial"/>
                <w:sz w:val="18"/>
                <w:szCs w:val="18"/>
                <w:b w:val="1"/>
                <w:bCs w:val="1"/>
                <w:color w:val="0000EE"/>
              </w:rPr>
            </w:pPr>
            <w:hyperlink w:anchor="page71">
              <w:r>
                <w:rPr>
                  <w:rFonts w:ascii="Arial" w:cs="Arial" w:eastAsia="Arial" w:hAnsi="Arial"/>
                  <w:sz w:val="18"/>
                  <w:szCs w:val="18"/>
                  <w:b w:val="1"/>
                  <w:bCs w:val="1"/>
                  <w:color w:val="0000EE"/>
                </w:rPr>
                <w:t>Schedule II – Analysis and Valuation and Qualifying Accounts for the years ended November 25, 2006, November 26, 2005 and</w:t>
              </w:r>
            </w:hyperlink>
          </w:p>
        </w:tc>
        <w:tc>
          <w:tcPr>
            <w:tcW w:w="5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20" w:type="dxa"/>
            <w:vAlign w:val="bottom"/>
            <w:tcBorders>
              <w:top w:val="single" w:sz="8" w:color="0000EE"/>
            </w:tcBorders>
          </w:tcPr>
          <w:p>
            <w:pPr>
              <w:spacing w:after="0"/>
              <w:rPr>
                <w:sz w:val="17"/>
                <w:szCs w:val="17"/>
                <w:color w:val="auto"/>
              </w:rPr>
            </w:pPr>
          </w:p>
        </w:tc>
        <w:tc>
          <w:tcPr>
            <w:tcW w:w="9260" w:type="dxa"/>
            <w:vAlign w:val="bottom"/>
            <w:tcBorders>
              <w:top w:val="single" w:sz="8" w:color="0000EE"/>
            </w:tcBorders>
            <w:gridSpan w:val="11"/>
          </w:tcPr>
          <w:p>
            <w:pPr>
              <w:spacing w:after="0" w:line="196" w:lineRule="exact"/>
              <w:rPr>
                <w:rFonts w:ascii="Arial" w:cs="Arial" w:eastAsia="Arial" w:hAnsi="Arial"/>
                <w:sz w:val="18"/>
                <w:szCs w:val="18"/>
                <w:b w:val="1"/>
                <w:bCs w:val="1"/>
                <w:color w:val="0000EE"/>
              </w:rPr>
            </w:pPr>
            <w:hyperlink w:anchor="page71">
              <w:r>
                <w:rPr>
                  <w:rFonts w:ascii="Arial" w:cs="Arial" w:eastAsia="Arial" w:hAnsi="Arial"/>
                  <w:sz w:val="18"/>
                  <w:szCs w:val="18"/>
                  <w:b w:val="1"/>
                  <w:bCs w:val="1"/>
                  <w:color w:val="0000EE"/>
                </w:rPr>
                <w:t>November 27, 2004</w:t>
              </w:r>
            </w:hyperlink>
          </w:p>
        </w:tc>
        <w:tc>
          <w:tcPr>
            <w:tcW w:w="1420" w:type="dxa"/>
            <w:vAlign w:val="bottom"/>
          </w:tcPr>
          <w:p>
            <w:pPr>
              <w:spacing w:after="0"/>
              <w:rPr>
                <w:sz w:val="17"/>
                <w:szCs w:val="17"/>
                <w:color w:val="auto"/>
              </w:rPr>
            </w:pPr>
          </w:p>
        </w:tc>
        <w:tc>
          <w:tcPr>
            <w:tcW w:w="54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F –52</w:t>
            </w:r>
          </w:p>
        </w:tc>
        <w:tc>
          <w:tcPr>
            <w:tcW w:w="0" w:type="dxa"/>
            <w:vAlign w:val="bottom"/>
          </w:tcPr>
          <w:p>
            <w:pPr>
              <w:spacing w:after="0"/>
              <w:rPr>
                <w:sz w:val="1"/>
                <w:szCs w:val="1"/>
                <w:color w:val="auto"/>
              </w:rPr>
            </w:pPr>
          </w:p>
        </w:tc>
      </w:tr>
      <w:tr>
        <w:trPr>
          <w:trHeight w:val="383"/>
        </w:trPr>
        <w:tc>
          <w:tcPr>
            <w:tcW w:w="220" w:type="dxa"/>
            <w:vAlign w:val="bottom"/>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1220" w:type="dxa"/>
            <w:vAlign w:val="bottom"/>
            <w:tcBorders>
              <w:top w:val="single" w:sz="8" w:color="0000EE"/>
            </w:tcBorders>
          </w:tcPr>
          <w:p>
            <w:pPr>
              <w:spacing w:after="0"/>
              <w:rPr>
                <w:sz w:val="24"/>
                <w:szCs w:val="24"/>
                <w:color w:val="auto"/>
              </w:rPr>
            </w:pPr>
          </w:p>
        </w:tc>
        <w:tc>
          <w:tcPr>
            <w:tcW w:w="8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700" w:type="dxa"/>
            <w:vAlign w:val="bottom"/>
            <w:gridSpan w:val="3"/>
          </w:tcPr>
          <w:p>
            <w:pPr>
              <w:ind w:left="340"/>
              <w:spacing w:after="0"/>
              <w:rPr>
                <w:sz w:val="20"/>
                <w:szCs w:val="20"/>
                <w:color w:val="auto"/>
              </w:rPr>
            </w:pPr>
            <w:r>
              <w:rPr>
                <w:rFonts w:ascii="Arial" w:cs="Arial" w:eastAsia="Arial" w:hAnsi="Arial"/>
                <w:sz w:val="18"/>
                <w:szCs w:val="18"/>
                <w:color w:val="auto"/>
              </w:rPr>
              <w:t>F - 2</w:t>
            </w:r>
          </w:p>
        </w:tc>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700"/>
        <w:spacing w:after="0" w:line="262" w:lineRule="auto"/>
        <w:rPr>
          <w:sz w:val="20"/>
          <w:szCs w:val="20"/>
          <w:color w:val="auto"/>
        </w:rPr>
      </w:pPr>
      <w:r>
        <w:rPr>
          <w:rFonts w:ascii="Arial" w:cs="Arial" w:eastAsia="Arial" w:hAnsi="Arial"/>
          <w:sz w:val="18"/>
          <w:szCs w:val="18"/>
          <w:b w:val="1"/>
          <w:bCs w:val="1"/>
          <w:color w:val="auto"/>
        </w:rPr>
        <w:t xml:space="preserve">Management’s Discussion and Analysis of Financial Condition and Results of Operations </w:t>
      </w:r>
      <w:r>
        <w:rPr>
          <w:rFonts w:ascii="Arial" w:cs="Arial" w:eastAsia="Arial" w:hAnsi="Arial"/>
          <w:sz w:val="18"/>
          <w:szCs w:val="18"/>
          <w:color w:val="auto"/>
        </w:rPr>
        <w:t>Bassett Furniture Industries, Incorporated and Subsidiaries (dollars in thousands except share and per share data)</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96" w:lineRule="exact"/>
        <w:rPr>
          <w:sz w:val="20"/>
          <w:szCs w:val="20"/>
          <w:color w:val="auto"/>
        </w:rPr>
      </w:pPr>
    </w:p>
    <w:p>
      <w:pPr>
        <w:ind w:right="60"/>
        <w:spacing w:after="0" w:line="249" w:lineRule="auto"/>
        <w:rPr>
          <w:sz w:val="20"/>
          <w:szCs w:val="20"/>
          <w:color w:val="auto"/>
        </w:rPr>
      </w:pPr>
      <w:r>
        <w:rPr>
          <w:rFonts w:ascii="Arial" w:cs="Arial" w:eastAsia="Arial" w:hAnsi="Arial"/>
          <w:sz w:val="18"/>
          <w:szCs w:val="18"/>
          <w:color w:val="auto"/>
        </w:rPr>
        <w:t>Bassett Furniture Industries Inc., based in Bassett, Va., is a leading retailer, manufacturer and marketer of branded home furnishings. Bassett</w:t>
      </w:r>
      <w:r>
        <w:rPr>
          <w:rFonts w:ascii="Arial" w:cs="Arial" w:eastAsia="Arial" w:hAnsi="Arial"/>
          <w:sz w:val="22"/>
          <w:szCs w:val="22"/>
          <w:color w:val="auto"/>
          <w:vertAlign w:val="superscript"/>
        </w:rPr>
        <w:t>®</w:t>
      </w:r>
      <w:r>
        <w:rPr>
          <w:rFonts w:ascii="Arial" w:cs="Arial" w:eastAsia="Arial" w:hAnsi="Arial"/>
          <w:sz w:val="18"/>
          <w:szCs w:val="18"/>
          <w:color w:val="auto"/>
        </w:rPr>
        <w:t>’s products are sold primarily through Bassett Furniture Direct</w:t>
      </w:r>
      <w:r>
        <w:rPr>
          <w:rFonts w:ascii="Arial" w:cs="Arial" w:eastAsia="Arial" w:hAnsi="Arial"/>
          <w:sz w:val="22"/>
          <w:szCs w:val="22"/>
          <w:color w:val="auto"/>
          <w:vertAlign w:val="superscript"/>
        </w:rPr>
        <w:t>®</w:t>
      </w:r>
      <w:r>
        <w:rPr>
          <w:rFonts w:ascii="Arial" w:cs="Arial" w:eastAsia="Arial" w:hAnsi="Arial"/>
          <w:sz w:val="18"/>
          <w:szCs w:val="18"/>
          <w:color w:val="auto"/>
        </w:rPr>
        <w:t xml:space="preserve"> stores, with secondary distribution through multi-line furniture stores, many with in-store Bassett Design Centers. Bassettbaby</w:t>
      </w:r>
      <w:r>
        <w:rPr>
          <w:rFonts w:ascii="Arial" w:cs="Arial" w:eastAsia="Arial" w:hAnsi="Arial"/>
          <w:sz w:val="22"/>
          <w:szCs w:val="22"/>
          <w:color w:val="auto"/>
          <w:vertAlign w:val="superscript"/>
        </w:rPr>
        <w:t>®</w:t>
      </w:r>
      <w:r>
        <w:rPr>
          <w:rFonts w:ascii="Arial" w:cs="Arial" w:eastAsia="Arial" w:hAnsi="Arial"/>
          <w:sz w:val="18"/>
          <w:szCs w:val="18"/>
          <w:color w:val="auto"/>
        </w:rPr>
        <w:t xml:space="preserve"> cribs and casegoods are sold through specialty stores and mass merchants.</w:t>
      </w:r>
    </w:p>
    <w:p>
      <w:pPr>
        <w:spacing w:after="0" w:line="71" w:lineRule="exact"/>
        <w:rPr>
          <w:sz w:val="20"/>
          <w:szCs w:val="20"/>
          <w:color w:val="auto"/>
        </w:rPr>
      </w:pPr>
    </w:p>
    <w:p>
      <w:pPr>
        <w:ind w:right="120"/>
        <w:spacing w:after="0" w:line="235" w:lineRule="auto"/>
        <w:rPr>
          <w:sz w:val="20"/>
          <w:szCs w:val="20"/>
          <w:color w:val="auto"/>
        </w:rPr>
      </w:pPr>
      <w:r>
        <w:rPr>
          <w:rFonts w:ascii="Arial" w:cs="Arial" w:eastAsia="Arial" w:hAnsi="Arial"/>
          <w:sz w:val="18"/>
          <w:szCs w:val="18"/>
          <w:color w:val="auto"/>
        </w:rPr>
        <w:t>Bassett Furniture Direct</w:t>
      </w:r>
      <w:r>
        <w:rPr>
          <w:rFonts w:ascii="Arial" w:cs="Arial" w:eastAsia="Arial" w:hAnsi="Arial"/>
          <w:sz w:val="22"/>
          <w:szCs w:val="22"/>
          <w:color w:val="auto"/>
          <w:vertAlign w:val="superscript"/>
        </w:rPr>
        <w:t>®</w:t>
      </w:r>
      <w:r>
        <w:rPr>
          <w:rFonts w:ascii="Arial" w:cs="Arial" w:eastAsia="Arial" w:hAnsi="Arial"/>
          <w:sz w:val="18"/>
          <w:szCs w:val="18"/>
          <w:color w:val="auto"/>
        </w:rPr>
        <w:t xml:space="preserve"> (“BFD”) was created in 1997 as a single source home furnishings retail store that provides a unique combination of stylish, well-made furniture and accessories with a high level of customer service. This service includes complimentary room planning, in-home design visits, fast delivery, and custom-order furniture.</w:t>
      </w:r>
    </w:p>
    <w:p>
      <w:pPr>
        <w:spacing w:after="0" w:line="157" w:lineRule="exact"/>
        <w:rPr>
          <w:sz w:val="20"/>
          <w:szCs w:val="20"/>
          <w:color w:val="auto"/>
        </w:rPr>
      </w:pPr>
    </w:p>
    <w:p>
      <w:pPr>
        <w:ind w:right="140"/>
        <w:spacing w:after="0" w:line="255" w:lineRule="auto"/>
        <w:rPr>
          <w:sz w:val="20"/>
          <w:szCs w:val="20"/>
          <w:color w:val="auto"/>
        </w:rPr>
      </w:pPr>
      <w:r>
        <w:rPr>
          <w:rFonts w:ascii="Arial" w:cs="Arial" w:eastAsia="Arial" w:hAnsi="Arial"/>
          <w:sz w:val="18"/>
          <w:szCs w:val="18"/>
          <w:color w:val="auto"/>
        </w:rPr>
        <w:t>The year 2006 was a challenging one for Bassett and the furniture industry in general. During 2006, our primary area of focus was retail. We were committed to improving the customer experience at our BFD stores, improving the products in these stores, and building the Bassett brand. Late in 2006, the Company made changes in both the leadership and pricing structure of the Company-owned stores which it believes will lead to better performance in 2007. We are firmly committed to our retail strategy and we are continually searching for the most profitable and efficient methods of supplying high quality furniture at moderate price points to our customers.</w:t>
      </w:r>
    </w:p>
    <w:p>
      <w:pPr>
        <w:spacing w:after="0" w:line="143" w:lineRule="exact"/>
        <w:rPr>
          <w:sz w:val="20"/>
          <w:szCs w:val="20"/>
          <w:color w:val="auto"/>
        </w:rPr>
      </w:pPr>
    </w:p>
    <w:p>
      <w:pPr>
        <w:ind w:right="160"/>
        <w:spacing w:after="0" w:line="306" w:lineRule="auto"/>
        <w:rPr>
          <w:sz w:val="20"/>
          <w:szCs w:val="20"/>
          <w:color w:val="auto"/>
        </w:rPr>
      </w:pPr>
      <w:r>
        <w:rPr>
          <w:rFonts w:ascii="Arial" w:cs="Arial" w:eastAsia="Arial" w:hAnsi="Arial"/>
          <w:sz w:val="16"/>
          <w:szCs w:val="16"/>
          <w:color w:val="auto"/>
        </w:rPr>
        <w:t>During 2006, our licensees opened 13 new stores and we opened one new Company-owned store for a total of 14 new stores. We terminated licenses with eight BFD stores and we closed two Company-owned stores, ending 2006 with 134 stores in the network. Overall retail conditions and the Company’s initiative to develop a new store prototype have temporarily slowed store count growth. We expect licensees to open between four and six new stores in fiscal 2007.</w:t>
      </w:r>
    </w:p>
    <w:p>
      <w:pPr>
        <w:spacing w:after="0" w:line="107" w:lineRule="exact"/>
        <w:rPr>
          <w:sz w:val="20"/>
          <w:szCs w:val="20"/>
          <w:color w:val="auto"/>
        </w:rPr>
      </w:pPr>
    </w:p>
    <w:p>
      <w:pPr>
        <w:ind w:right="20"/>
        <w:spacing w:after="0" w:line="291" w:lineRule="auto"/>
        <w:rPr>
          <w:sz w:val="20"/>
          <w:szCs w:val="20"/>
          <w:color w:val="auto"/>
        </w:rPr>
      </w:pPr>
      <w:r>
        <w:rPr>
          <w:rFonts w:ascii="Arial" w:cs="Arial" w:eastAsia="Arial" w:hAnsi="Arial"/>
          <w:sz w:val="16"/>
          <w:szCs w:val="16"/>
          <w:color w:val="auto"/>
        </w:rPr>
        <w:t>A major component of our overall retail strategy involves our Company-owned stores. We believe a strong Company-owned retail division would provide us the first-hand experience and immediate feedback to develop programs that are vitally important to the success of our entire BFD network. Pursuit of this strategy will also enable our retail division to acquire and operate additional BFD stores as viable opportunities arise. During 2005, the number of our Company-owned stores grew to 27 through the acquisition of 15 BFD stores located in Dallas, Atlanta and upstate New York. We believe our organizational and financial strength, combined with our retail scale, will provide the platform, best practices and resources needed to drive uniformity throughout our BFD program and drive the improvement needed in the retail stores we have acquired from licensees.</w:t>
      </w:r>
    </w:p>
    <w:p>
      <w:pPr>
        <w:spacing w:after="0" w:line="120"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An increasingly important component of our retail strategy and our balance sheet is retail real estate. We expect to continue to invest in high quality retail real estate as the BFD program continues to expand, and we may, on a selective basis, continue to provide various forms of assistance to procure retail real estate for BFD licensees, including lease/sub-lease arrangements and short term lease guarantees.</w:t>
      </w:r>
    </w:p>
    <w:p>
      <w:pPr>
        <w:spacing w:after="0" w:line="140"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The furniture industry continues to experience a rapid shift from traditional domestic manufacturing to offshore sourcing in lower cost markets, primarily China and the Pacific Rim countries. This shift in sourcing has resulted in downward pressure on retail prices and reductions in traditional channels of sales distribution, as many retailers can source their own products rather than relying on a traditional domestic manufacturer to supply goods. We believe our BFD program provides us a strong platform from which to market our products. In addition, we will continue to evaluate the cost effectiveness of domestic production on a product by product basis.</w:t>
      </w:r>
    </w:p>
    <w:p>
      <w:pPr>
        <w:spacing w:after="0" w:line="143"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We define imported product as fully finished product that is sourced. In 2006, 44% of our wholesale sales were of imported product compared to 34% in 2005. Our domestic product includes certain products that contain components which are also sourced internationally. We continue to believe that a blended strategy including domestically produced products primarily of a custom-order nature combined with importing certain product categories and major collections, provides the best combination of value and quality to our customers. We expect that overall operating margins will be positively impacted as our mix of domestic versus imported product nears 50/50 during 2007.</w:t>
      </w:r>
    </w:p>
    <w:p>
      <w:pPr>
        <w:spacing w:after="0" w:line="12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 - 3</w:t>
      </w:r>
    </w:p>
    <w:p>
      <w:pPr>
        <w:sectPr>
          <w:pgSz w:w="11900" w:h="16838" w:orient="portrait"/>
          <w:cols w:equalWidth="0" w:num="1">
            <w:col w:w="11380"/>
          </w:cols>
          <w:pgMar w:left="240" w:top="459" w:right="27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840"/>
        <w:spacing w:after="0" w:line="262" w:lineRule="auto"/>
        <w:rPr>
          <w:sz w:val="20"/>
          <w:szCs w:val="20"/>
          <w:color w:val="auto"/>
        </w:rPr>
      </w:pPr>
      <w:r>
        <w:rPr>
          <w:rFonts w:ascii="Arial" w:cs="Arial" w:eastAsia="Arial" w:hAnsi="Arial"/>
          <w:sz w:val="18"/>
          <w:szCs w:val="18"/>
          <w:b w:val="1"/>
          <w:bCs w:val="1"/>
          <w:color w:val="auto"/>
        </w:rPr>
        <w:t xml:space="preserve">Management’s Discussion and Analysis of Financial Condition and Results of Operations - </w:t>
      </w:r>
      <w:r>
        <w:rPr>
          <w:rFonts w:ascii="Arial" w:cs="Arial" w:eastAsia="Arial" w:hAnsi="Arial"/>
          <w:sz w:val="18"/>
          <w:szCs w:val="18"/>
          <w:color w:val="auto"/>
        </w:rPr>
        <w:t>Continued</w:t>
      </w:r>
      <w:r>
        <w:rPr>
          <w:rFonts w:ascii="Arial" w:cs="Arial" w:eastAsia="Arial" w:hAnsi="Arial"/>
          <w:sz w:val="18"/>
          <w:szCs w:val="18"/>
          <w:b w:val="1"/>
          <w:bCs w:val="1"/>
          <w:color w:val="auto"/>
        </w:rPr>
        <w:t xml:space="preserve"> </w:t>
      </w:r>
      <w:r>
        <w:rPr>
          <w:rFonts w:ascii="Arial" w:cs="Arial" w:eastAsia="Arial" w:hAnsi="Arial"/>
          <w:sz w:val="18"/>
          <w:szCs w:val="18"/>
          <w:color w:val="auto"/>
        </w:rPr>
        <w:t>Bassett Furniture Industries, Incorporated and Subsidiaries (dollars in thousands except share and per share data)</w:t>
      </w:r>
    </w:p>
    <w:p>
      <w:pPr>
        <w:spacing w:after="0" w:line="138"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We intend to execute our strategies in such a way as to preserve our investments while simultaneously minimizing the need for borrowed funds. Maintenance of a strong balance sheet is a stated management goal and vital to our retail growth strategy. The BFD program entails key business risks, including the realization of receivables and the coverage of both direct and contingent liabilities primarily associated with retail real estate. We have established decision criteria and business disciplines aimed at minimizing potential losses from these risks.</w:t>
      </w:r>
    </w:p>
    <w:p>
      <w:pPr>
        <w:spacing w:after="0" w:line="143" w:lineRule="exact"/>
        <w:rPr>
          <w:sz w:val="20"/>
          <w:szCs w:val="20"/>
          <w:color w:val="auto"/>
        </w:rPr>
      </w:pPr>
    </w:p>
    <w:p>
      <w:pPr>
        <w:jc w:val="both"/>
        <w:ind w:right="580"/>
        <w:spacing w:after="0" w:line="259" w:lineRule="auto"/>
        <w:rPr>
          <w:sz w:val="20"/>
          <w:szCs w:val="20"/>
          <w:color w:val="auto"/>
        </w:rPr>
      </w:pPr>
      <w:r>
        <w:rPr>
          <w:rFonts w:ascii="Arial" w:cs="Arial" w:eastAsia="Arial" w:hAnsi="Arial"/>
          <w:sz w:val="18"/>
          <w:szCs w:val="18"/>
          <w:color w:val="auto"/>
        </w:rPr>
        <w:t>Two key components of our balance sheet are our investments in the Bassett Industries Alternative Asset Fund, L.P. (“Alternative Asset Fund”), a limited partnership, and our interest in the International Home Furnishings Center, Inc. (“IHFC”). For a description of these investments, see Notes 6 and 9 of the Consolidated Financial Statements.</w:t>
      </w:r>
    </w:p>
    <w:p>
      <w:pPr>
        <w:spacing w:after="0" w:line="140" w:lineRule="exact"/>
        <w:rPr>
          <w:sz w:val="20"/>
          <w:szCs w:val="20"/>
          <w:color w:val="auto"/>
        </w:rPr>
      </w:pPr>
    </w:p>
    <w:p>
      <w:pPr>
        <w:ind w:right="120"/>
        <w:spacing w:after="0" w:line="289" w:lineRule="auto"/>
        <w:rPr>
          <w:sz w:val="20"/>
          <w:szCs w:val="20"/>
          <w:color w:val="auto"/>
        </w:rPr>
      </w:pPr>
      <w:r>
        <w:rPr>
          <w:rFonts w:ascii="Arial" w:cs="Arial" w:eastAsia="Arial" w:hAnsi="Arial"/>
          <w:sz w:val="16"/>
          <w:szCs w:val="16"/>
          <w:color w:val="auto"/>
        </w:rPr>
        <w:t>A major marketing initiative for Bassett during 2006 was the introduction of our first direct to consumer catalog. This catalog better defines and enhances Bassett®’s brand image while explaining to our consumers our product and service capabilities. In addition to the catalog, the Company has several other marketing and merchandising initiatives underway including product introductions centered around the Company’s core middle price point category and the development of a new store prototype which will be introduced in the summer of 2007. The Company has engaged consultants to assist with the design and rollout of the new store prototype and the introduction of key elements of the new prototype into certain of our Company-owned stores. These key elements will feature custom furniture solutions, seasonal presentations and personal service. The combination of these initiatives should drive more traffic into our stores and better position us for future sales growth. The Company also will introduce three seasonal catalogs during 2007, the first of which will be mailed during the first quarter of 2007.</w:t>
      </w:r>
    </w:p>
    <w:p>
      <w:pPr>
        <w:spacing w:after="0" w:line="118" w:lineRule="exact"/>
        <w:rPr>
          <w:sz w:val="20"/>
          <w:szCs w:val="20"/>
          <w:color w:val="auto"/>
        </w:rPr>
      </w:pPr>
    </w:p>
    <w:p>
      <w:pPr>
        <w:ind w:right="100"/>
        <w:spacing w:after="0" w:line="256" w:lineRule="auto"/>
        <w:rPr>
          <w:sz w:val="20"/>
          <w:szCs w:val="20"/>
          <w:color w:val="auto"/>
        </w:rPr>
      </w:pPr>
      <w:r>
        <w:rPr>
          <w:rFonts w:ascii="Arial" w:cs="Arial" w:eastAsia="Arial" w:hAnsi="Arial"/>
          <w:sz w:val="18"/>
          <w:szCs w:val="18"/>
          <w:color w:val="auto"/>
        </w:rPr>
        <w:t>Looking ahead to 2007, our primary area of focus continues to be retail. Amidst an extremely challenging retail environment, we must drive improvement in our retail segment’s results and we are squarely focused on selling more furniture in our Bassett Furniture Direct stores. This enterprise-wide effort involves every aspect of our Company – merchandising, marketing, operations, recruiting, training and information technology. We have developed a financial plan aimed at reducing our retail losses to a breakeven level over the next two to three years.</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Restatements of Previously Reported Results</w:t>
      </w:r>
    </w:p>
    <w:p>
      <w:pPr>
        <w:spacing w:after="0" w:line="96" w:lineRule="exact"/>
        <w:rPr>
          <w:sz w:val="20"/>
          <w:szCs w:val="20"/>
          <w:color w:val="auto"/>
        </w:rPr>
      </w:pPr>
    </w:p>
    <w:p>
      <w:pPr>
        <w:ind w:right="360"/>
        <w:spacing w:after="0" w:line="335" w:lineRule="auto"/>
        <w:rPr>
          <w:sz w:val="20"/>
          <w:szCs w:val="20"/>
          <w:color w:val="auto"/>
        </w:rPr>
      </w:pPr>
      <w:r>
        <w:rPr>
          <w:rFonts w:ascii="Arial" w:cs="Arial" w:eastAsia="Arial" w:hAnsi="Arial"/>
          <w:sz w:val="15"/>
          <w:szCs w:val="15"/>
          <w:color w:val="auto"/>
        </w:rPr>
        <w:t>During 2006, the Staff of the Securities and Exchange Commission commenced a review of our 2005 Annual Report on Form 10-K. The Staff recommended changes to our accounting treatment associated with our acquisitions of three retail licensee operations in fiscal 2005 and our classification of certain notes receivable activity in the statement of cash flows. Upon further review, we concurred with the accounting treatment recommended by the Staff.</w:t>
      </w:r>
    </w:p>
    <w:p>
      <w:pPr>
        <w:spacing w:after="0" w:line="88" w:lineRule="exact"/>
        <w:rPr>
          <w:sz w:val="20"/>
          <w:szCs w:val="20"/>
          <w:color w:val="auto"/>
        </w:rPr>
      </w:pPr>
    </w:p>
    <w:p>
      <w:pPr>
        <w:ind w:right="40"/>
        <w:spacing w:after="0" w:line="287" w:lineRule="auto"/>
        <w:rPr>
          <w:sz w:val="20"/>
          <w:szCs w:val="20"/>
          <w:color w:val="auto"/>
        </w:rPr>
      </w:pPr>
      <w:r>
        <w:rPr>
          <w:rFonts w:ascii="Arial" w:cs="Arial" w:eastAsia="Arial" w:hAnsi="Arial"/>
          <w:sz w:val="16"/>
          <w:szCs w:val="16"/>
          <w:color w:val="auto"/>
        </w:rPr>
        <w:t>In connection with our acquisitions of the three retail licensee operations in 2005, we initially recognized pre-tax charges of $4,204 to (1) eliminate the gross profit on inventories previously sold to the licensees by Bassett and subsequently acquired in the acquisitions and (2) reduce goodwill associated with the acquisitions to a value we believed was appropriate. Upon further review, we have determined that these charges should not have been recognized in 2005. Accordingly, the inventories should have been stated at their estimated selling prices less cost of disposal as provided in the Financial Accounting Standards Board (FASB) Statement of Financial Accounting Standards No. 141, “Business Combinations” and the full amount of the goodwill should have been recorded on the balance sheet and allocated among the Company’s respective reporting units. These changes resulted in increases to pre-tax income in the second and third quarters of 2005 and corresponding increases in previously reported goodwill and inventory amounts. The third quarter of 2005 and all quarters subsequent to the three acquisitions include increases to cost of sales and corresponding reductions to pre-tax income to reflect the additional costs of certain of the acquired inventories that were subsequently sold. These retail inventories consist of a mix of floor samples, store accessories, inventory committed for delivery and other inventories held for resale.</w:t>
      </w:r>
    </w:p>
    <w:p>
      <w:pPr>
        <w:spacing w:after="0" w:line="123"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The restatement resulted in a decrease to net income of $558 for fiscal 2006 and an increase to net income of $2,251 for fiscal 2005 (see also Note 2 to the Consolidated Financial Statements for a complete reconciliation of the restatement adjustments on the 2005 and 2004 financial statements and Note 20 for further quarterly information).</w:t>
      </w:r>
    </w:p>
    <w:p>
      <w:pPr>
        <w:spacing w:after="0" w:line="32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 - 4</w:t>
      </w:r>
    </w:p>
    <w:p>
      <w:pPr>
        <w:sectPr>
          <w:pgSz w:w="11900" w:h="16838" w:orient="portrait"/>
          <w:cols w:equalWidth="0" w:num="1">
            <w:col w:w="11400"/>
          </w:cols>
          <w:pgMar w:left="240" w:top="459" w:right="25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840"/>
        <w:spacing w:after="0" w:line="262" w:lineRule="auto"/>
        <w:rPr>
          <w:sz w:val="20"/>
          <w:szCs w:val="20"/>
          <w:color w:val="auto"/>
        </w:rPr>
      </w:pPr>
      <w:r>
        <w:rPr>
          <w:rFonts w:ascii="Arial" w:cs="Arial" w:eastAsia="Arial" w:hAnsi="Arial"/>
          <w:sz w:val="18"/>
          <w:szCs w:val="18"/>
          <w:b w:val="1"/>
          <w:bCs w:val="1"/>
          <w:color w:val="auto"/>
        </w:rPr>
        <w:t xml:space="preserve">Management’s Discussion and Analysis of Financial Condition and Results of Operations - </w:t>
      </w:r>
      <w:r>
        <w:rPr>
          <w:rFonts w:ascii="Arial" w:cs="Arial" w:eastAsia="Arial" w:hAnsi="Arial"/>
          <w:sz w:val="18"/>
          <w:szCs w:val="18"/>
          <w:color w:val="auto"/>
        </w:rPr>
        <w:t>Continued</w:t>
      </w:r>
      <w:r>
        <w:rPr>
          <w:rFonts w:ascii="Arial" w:cs="Arial" w:eastAsia="Arial" w:hAnsi="Arial"/>
          <w:sz w:val="18"/>
          <w:szCs w:val="18"/>
          <w:b w:val="1"/>
          <w:bCs w:val="1"/>
          <w:color w:val="auto"/>
        </w:rPr>
        <w:t xml:space="preserve"> </w:t>
      </w:r>
      <w:r>
        <w:rPr>
          <w:rFonts w:ascii="Arial" w:cs="Arial" w:eastAsia="Arial" w:hAnsi="Arial"/>
          <w:sz w:val="18"/>
          <w:szCs w:val="18"/>
          <w:color w:val="auto"/>
        </w:rPr>
        <w:t>Bassett Furniture Industries, Incorporated and Subsidiaries (dollars in thousands except share and per share data)</w:t>
      </w:r>
    </w:p>
    <w:p>
      <w:pPr>
        <w:spacing w:after="0" w:line="138" w:lineRule="exact"/>
        <w:rPr>
          <w:sz w:val="20"/>
          <w:szCs w:val="20"/>
          <w:color w:val="auto"/>
        </w:rPr>
      </w:pPr>
    </w:p>
    <w:p>
      <w:pPr>
        <w:ind w:right="80"/>
        <w:spacing w:after="0" w:line="332" w:lineRule="auto"/>
        <w:rPr>
          <w:sz w:val="20"/>
          <w:szCs w:val="20"/>
          <w:color w:val="auto"/>
        </w:rPr>
      </w:pPr>
      <w:r>
        <w:rPr>
          <w:rFonts w:ascii="Arial" w:cs="Arial" w:eastAsia="Arial" w:hAnsi="Arial"/>
          <w:sz w:val="16"/>
          <w:szCs w:val="16"/>
          <w:color w:val="auto"/>
        </w:rPr>
        <w:t>As stated above, we also reduced our cash flows from operations by reclassifying net cash inflows of $828 and $622 from cash flows from operating activities to cash flows from investing activities for fiscal 2005 and 2004, respectively, related to certain notes receivable due from retail licensees.</w:t>
      </w:r>
    </w:p>
    <w:p>
      <w:pPr>
        <w:spacing w:after="0" w:line="85"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color w:val="auto"/>
        </w:rPr>
        <w:t>During our 2006 year end closing process, we also determined that previous actuarial assumptions and calculations associated with the death benefit, mortality and discount rates used in our actuarial valuation for our unfunded Supplemental Retirement Income Plan (“the Supplemental Plan”) were not correct As specified by Statement of Financial Accounting Standards No. 154, “Accounting Changes and Error Corrections, a replacement of APB Opinion No. 20 and FASB Statement No. 3”, we have treated the effects of correcting the errors as a prior period adjustment as of November 30, 2003, the first day of the fiscal year ended November 27, 2004. The cumulative effect of the restatement adjustments increased post employment benefit obligations by $5,278, increased deferred tax assets by $2,111 and decreased retained earnings by $3,167 as of the end of fiscal 2003 and 2004. The cumulative effect of the restatement adjustments as of November 26, 2005, were as follows:</w:t>
      </w:r>
    </w:p>
    <w:p>
      <w:pPr>
        <w:spacing w:after="0" w:line="142"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8900" w:type="dxa"/>
            <w:vAlign w:val="bottom"/>
          </w:tcPr>
          <w:p>
            <w:pPr>
              <w:spacing w:after="0"/>
              <w:rPr>
                <w:sz w:val="14"/>
                <w:szCs w:val="14"/>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4"/>
                <w:szCs w:val="14"/>
                <w:b w:val="1"/>
                <w:bCs w:val="1"/>
                <w:color w:val="auto"/>
                <w:w w:val="94"/>
              </w:rPr>
              <w:t>Increase</w:t>
            </w:r>
          </w:p>
        </w:tc>
      </w:tr>
      <w:tr>
        <w:trPr>
          <w:trHeight w:val="161"/>
        </w:trPr>
        <w:tc>
          <w:tcPr>
            <w:tcW w:w="8900" w:type="dxa"/>
            <w:vAlign w:val="bottom"/>
          </w:tcPr>
          <w:p>
            <w:pPr>
              <w:spacing w:after="0"/>
              <w:rPr>
                <w:sz w:val="14"/>
                <w:szCs w:val="14"/>
                <w:color w:val="auto"/>
              </w:rPr>
            </w:pPr>
          </w:p>
        </w:tc>
        <w:tc>
          <w:tcPr>
            <w:tcW w:w="68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w w:val="83"/>
              </w:rPr>
              <w:t>(Decrease)</w:t>
            </w:r>
          </w:p>
        </w:tc>
      </w:tr>
      <w:tr>
        <w:trPr>
          <w:trHeight w:val="210"/>
        </w:trPr>
        <w:tc>
          <w:tcPr>
            <w:tcW w:w="8900" w:type="dxa"/>
            <w:vAlign w:val="bottom"/>
            <w:shd w:val="clear" w:color="auto" w:fill="CCEEFF"/>
          </w:tcPr>
          <w:p>
            <w:pPr>
              <w:spacing w:after="0"/>
              <w:rPr>
                <w:sz w:val="20"/>
                <w:szCs w:val="20"/>
                <w:color w:val="auto"/>
              </w:rPr>
            </w:pPr>
            <w:r>
              <w:rPr>
                <w:rFonts w:ascii="Arial" w:cs="Arial" w:eastAsia="Arial" w:hAnsi="Arial"/>
                <w:sz w:val="18"/>
                <w:szCs w:val="18"/>
                <w:color w:val="auto"/>
              </w:rPr>
              <w:t>Post employment benefit obligations</w:t>
            </w: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  5,649</w:t>
            </w:r>
          </w:p>
        </w:tc>
        <w:tc>
          <w:tcPr>
            <w:tcW w:w="60" w:type="dxa"/>
            <w:vAlign w:val="bottom"/>
            <w:shd w:val="clear" w:color="auto" w:fill="CCEEFF"/>
          </w:tcPr>
          <w:p>
            <w:pPr>
              <w:spacing w:after="0"/>
              <w:rPr>
                <w:sz w:val="18"/>
                <w:szCs w:val="18"/>
                <w:color w:val="auto"/>
              </w:rPr>
            </w:pPr>
          </w:p>
        </w:tc>
      </w:tr>
      <w:tr>
        <w:trPr>
          <w:trHeight w:val="216"/>
        </w:trPr>
        <w:tc>
          <w:tcPr>
            <w:tcW w:w="8900" w:type="dxa"/>
            <w:vAlign w:val="bottom"/>
          </w:tcPr>
          <w:p>
            <w:pPr>
              <w:spacing w:after="0"/>
              <w:rPr>
                <w:sz w:val="20"/>
                <w:szCs w:val="20"/>
                <w:color w:val="auto"/>
              </w:rPr>
            </w:pPr>
            <w:r>
              <w:rPr>
                <w:rFonts w:ascii="Arial" w:cs="Arial" w:eastAsia="Arial" w:hAnsi="Arial"/>
                <w:sz w:val="18"/>
                <w:szCs w:val="18"/>
                <w:color w:val="auto"/>
              </w:rPr>
              <w:t>Other accrued liabilities</w:t>
            </w: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(231)</w:t>
            </w:r>
          </w:p>
        </w:tc>
      </w:tr>
      <w:tr>
        <w:trPr>
          <w:trHeight w:val="216"/>
        </w:trPr>
        <w:tc>
          <w:tcPr>
            <w:tcW w:w="8900" w:type="dxa"/>
            <w:vAlign w:val="bottom"/>
            <w:shd w:val="clear" w:color="auto" w:fill="CCEEFF"/>
          </w:tcPr>
          <w:p>
            <w:pPr>
              <w:spacing w:after="0"/>
              <w:rPr>
                <w:sz w:val="20"/>
                <w:szCs w:val="20"/>
                <w:color w:val="auto"/>
              </w:rPr>
            </w:pPr>
            <w:r>
              <w:rPr>
                <w:rFonts w:ascii="Arial" w:cs="Arial" w:eastAsia="Arial" w:hAnsi="Arial"/>
                <w:sz w:val="18"/>
                <w:szCs w:val="18"/>
                <w:color w:val="auto"/>
              </w:rPr>
              <w:t>Deferred tax assets</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2,111</w:t>
            </w:r>
          </w:p>
        </w:tc>
      </w:tr>
      <w:tr>
        <w:trPr>
          <w:trHeight w:val="216"/>
        </w:trPr>
        <w:tc>
          <w:tcPr>
            <w:tcW w:w="8900" w:type="dxa"/>
            <w:vAlign w:val="bottom"/>
          </w:tcPr>
          <w:p>
            <w:pPr>
              <w:spacing w:after="0"/>
              <w:rPr>
                <w:sz w:val="20"/>
                <w:szCs w:val="20"/>
                <w:color w:val="auto"/>
              </w:rPr>
            </w:pPr>
            <w:r>
              <w:rPr>
                <w:rFonts w:ascii="Arial" w:cs="Arial" w:eastAsia="Arial" w:hAnsi="Arial"/>
                <w:sz w:val="18"/>
                <w:szCs w:val="18"/>
                <w:color w:val="auto"/>
              </w:rPr>
              <w:t>Retained earnings</w:t>
            </w: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(3,167)</w:t>
            </w:r>
          </w:p>
        </w:tc>
      </w:tr>
      <w:tr>
        <w:trPr>
          <w:trHeight w:val="216"/>
        </w:trPr>
        <w:tc>
          <w:tcPr>
            <w:tcW w:w="8900" w:type="dxa"/>
            <w:vAlign w:val="bottom"/>
            <w:shd w:val="clear" w:color="auto" w:fill="CCEEFF"/>
          </w:tcPr>
          <w:p>
            <w:pPr>
              <w:spacing w:after="0"/>
              <w:rPr>
                <w:sz w:val="20"/>
                <w:szCs w:val="20"/>
                <w:color w:val="auto"/>
              </w:rPr>
            </w:pPr>
            <w:r>
              <w:rPr>
                <w:rFonts w:ascii="Arial" w:cs="Arial" w:eastAsia="Arial" w:hAnsi="Arial"/>
                <w:sz w:val="18"/>
                <w:szCs w:val="18"/>
                <w:color w:val="auto"/>
              </w:rPr>
              <w:t>Other long-term assets</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w:t>
            </w:r>
          </w:p>
        </w:tc>
        <w:tc>
          <w:tcPr>
            <w:tcW w:w="60" w:type="dxa"/>
            <w:vAlign w:val="bottom"/>
            <w:shd w:val="clear" w:color="auto" w:fill="CCEEFF"/>
          </w:tcPr>
          <w:p>
            <w:pPr>
              <w:spacing w:after="0"/>
              <w:rPr>
                <w:sz w:val="18"/>
                <w:szCs w:val="18"/>
                <w:color w:val="auto"/>
              </w:rPr>
            </w:pPr>
          </w:p>
        </w:tc>
      </w:tr>
    </w:tbl>
    <w:p>
      <w:pPr>
        <w:spacing w:after="0" w:line="154" w:lineRule="exact"/>
        <w:rPr>
          <w:sz w:val="20"/>
          <w:szCs w:val="20"/>
          <w:color w:val="auto"/>
        </w:rPr>
      </w:pPr>
    </w:p>
    <w:p>
      <w:pPr>
        <w:spacing w:after="0"/>
        <w:rPr>
          <w:sz w:val="20"/>
          <w:szCs w:val="20"/>
          <w:color w:val="auto"/>
        </w:rPr>
      </w:pPr>
      <w:r>
        <w:rPr>
          <w:rFonts w:ascii="Arial" w:cs="Arial" w:eastAsia="Arial" w:hAnsi="Arial"/>
          <w:sz w:val="16"/>
          <w:szCs w:val="16"/>
          <w:color w:val="auto"/>
        </w:rPr>
        <w:t>As the effects of this adjustment on the net plan expense was not material for the years presented, we have not restated the consolidated statements of income.</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Please refer to Note 12 to the Consolidated Financial Statements for more information on the Supplemental Plan.</w:t>
      </w:r>
    </w:p>
    <w:p>
      <w:pPr>
        <w:spacing w:after="0" w:line="2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96" w:lineRule="exact"/>
        <w:rPr>
          <w:sz w:val="20"/>
          <w:szCs w:val="20"/>
          <w:color w:val="auto"/>
        </w:rPr>
      </w:pPr>
    </w:p>
    <w:p>
      <w:pPr>
        <w:ind w:right="80"/>
        <w:spacing w:after="0" w:line="254" w:lineRule="auto"/>
        <w:rPr>
          <w:sz w:val="20"/>
          <w:szCs w:val="20"/>
          <w:color w:val="auto"/>
        </w:rPr>
      </w:pPr>
      <w:r>
        <w:rPr>
          <w:rFonts w:ascii="Arial" w:cs="Arial" w:eastAsia="Arial" w:hAnsi="Arial"/>
          <w:sz w:val="18"/>
          <w:szCs w:val="18"/>
          <w:color w:val="auto"/>
        </w:rPr>
        <w:t>Our consolidated financial statements have been prepared in conformity with accounting principles generally accepted in the United States of America which requires that certain estimates and assumptions be made that affect the amounts and disclosures reported in those financial statements and the related accompanying notes. Actual results could differ from these estimates and assumptions. We use our best judgment in valuing these estimates and may, as warranted, solicit external advice. Estimates are based on current facts and circumstances, prior experience and other assumptions believed to be reasonable. The following critical accounting policies, some of which are impacted significantly by judgments, assumptions and estimates, affect our consolidated financial statements.</w:t>
      </w:r>
    </w:p>
    <w:p>
      <w:pPr>
        <w:spacing w:after="0" w:line="144" w:lineRule="exact"/>
        <w:rPr>
          <w:sz w:val="20"/>
          <w:szCs w:val="20"/>
          <w:color w:val="auto"/>
        </w:rPr>
      </w:pPr>
    </w:p>
    <w:p>
      <w:pPr>
        <w:ind w:right="140"/>
        <w:spacing w:after="0" w:line="332" w:lineRule="auto"/>
        <w:rPr>
          <w:sz w:val="20"/>
          <w:szCs w:val="20"/>
          <w:color w:val="auto"/>
        </w:rPr>
      </w:pPr>
      <w:r>
        <w:rPr>
          <w:rFonts w:ascii="Arial" w:cs="Arial" w:eastAsia="Arial" w:hAnsi="Arial"/>
          <w:sz w:val="16"/>
          <w:szCs w:val="16"/>
          <w:i w:val="1"/>
          <w:iCs w:val="1"/>
          <w:color w:val="auto"/>
        </w:rPr>
        <w:t xml:space="preserve">Consolidation </w:t>
      </w:r>
      <w:r>
        <w:rPr>
          <w:rFonts w:ascii="Arial" w:cs="Arial" w:eastAsia="Arial" w:hAnsi="Arial"/>
          <w:sz w:val="16"/>
          <w:szCs w:val="16"/>
          <w:color w:val="auto"/>
        </w:rPr>
        <w:t>– The consolidated financial statements include the accounts of Bassett Furniture Industries, Incorporated and its majority-owned subsidiaries for</w:t>
      </w:r>
      <w:r>
        <w:rPr>
          <w:rFonts w:ascii="Arial" w:cs="Arial" w:eastAsia="Arial" w:hAnsi="Arial"/>
          <w:sz w:val="16"/>
          <w:szCs w:val="16"/>
          <w:i w:val="1"/>
          <w:iCs w:val="1"/>
          <w:color w:val="auto"/>
        </w:rPr>
        <w:t xml:space="preserve"> </w:t>
      </w:r>
      <w:r>
        <w:rPr>
          <w:rFonts w:ascii="Arial" w:cs="Arial" w:eastAsia="Arial" w:hAnsi="Arial"/>
          <w:sz w:val="16"/>
          <w:szCs w:val="16"/>
          <w:color w:val="auto"/>
        </w:rPr>
        <w:t>whom we have operating control. We also consolidate variable interest entities for which we are the primary beneficiary.</w:t>
      </w:r>
    </w:p>
    <w:p>
      <w:pPr>
        <w:spacing w:after="0" w:line="85" w:lineRule="exact"/>
        <w:rPr>
          <w:sz w:val="20"/>
          <w:szCs w:val="20"/>
          <w:color w:val="auto"/>
        </w:rPr>
      </w:pPr>
    </w:p>
    <w:p>
      <w:pPr>
        <w:ind w:right="60"/>
        <w:spacing w:after="0" w:line="294" w:lineRule="auto"/>
        <w:rPr>
          <w:sz w:val="20"/>
          <w:szCs w:val="20"/>
          <w:color w:val="auto"/>
        </w:rPr>
      </w:pPr>
      <w:r>
        <w:rPr>
          <w:rFonts w:ascii="Arial" w:cs="Arial" w:eastAsia="Arial" w:hAnsi="Arial"/>
          <w:sz w:val="16"/>
          <w:szCs w:val="16"/>
          <w:i w:val="1"/>
          <w:iCs w:val="1"/>
          <w:color w:val="auto"/>
        </w:rPr>
        <w:t xml:space="preserve">Allowance for Accounts and Notes Receivable </w:t>
      </w:r>
      <w:r>
        <w:rPr>
          <w:rFonts w:ascii="Arial" w:cs="Arial" w:eastAsia="Arial" w:hAnsi="Arial"/>
          <w:sz w:val="16"/>
          <w:szCs w:val="16"/>
          <w:color w:val="auto"/>
        </w:rPr>
        <w:t>-We maintain an allowance for doubtful accounts for estimated losses resulting from the inability of our customers</w:t>
      </w:r>
      <w:r>
        <w:rPr>
          <w:rFonts w:ascii="Arial" w:cs="Arial" w:eastAsia="Arial" w:hAnsi="Arial"/>
          <w:sz w:val="16"/>
          <w:szCs w:val="16"/>
          <w:i w:val="1"/>
          <w:iCs w:val="1"/>
          <w:color w:val="auto"/>
        </w:rPr>
        <w:t xml:space="preserve"> </w:t>
      </w:r>
      <w:r>
        <w:rPr>
          <w:rFonts w:ascii="Arial" w:cs="Arial" w:eastAsia="Arial" w:hAnsi="Arial"/>
          <w:sz w:val="16"/>
          <w:szCs w:val="16"/>
          <w:color w:val="auto"/>
        </w:rPr>
        <w:t>to make required payments. The allowance for doubtful accounts is based on a review of specifically identified accounts and notes receivable in addition to an overall aging analysis. We evaluate the collectibility of our accounts and notes receivable from our licensees on a quarterly basis. Our allowance for doubtful accounts represents our best estimate of potential losses on our accounts and notes receivables and is adjusted accordingly based on historical experience, current developments and economic trends. Actual losses could differ from those estimates.</w:t>
      </w:r>
    </w:p>
    <w:p>
      <w:pPr>
        <w:spacing w:after="0" w:line="116" w:lineRule="exact"/>
        <w:rPr>
          <w:sz w:val="20"/>
          <w:szCs w:val="20"/>
          <w:color w:val="auto"/>
        </w:rPr>
      </w:pPr>
    </w:p>
    <w:p>
      <w:pPr>
        <w:spacing w:after="0" w:line="256" w:lineRule="auto"/>
        <w:rPr>
          <w:sz w:val="20"/>
          <w:szCs w:val="20"/>
          <w:color w:val="auto"/>
        </w:rPr>
      </w:pPr>
      <w:r>
        <w:rPr>
          <w:rFonts w:ascii="Arial" w:cs="Arial" w:eastAsia="Arial" w:hAnsi="Arial"/>
          <w:sz w:val="18"/>
          <w:szCs w:val="18"/>
          <w:i w:val="1"/>
          <w:iCs w:val="1"/>
          <w:color w:val="auto"/>
        </w:rPr>
        <w:t xml:space="preserve">Inventories </w:t>
      </w:r>
      <w:r>
        <w:rPr>
          <w:rFonts w:ascii="Arial" w:cs="Arial" w:eastAsia="Arial" w:hAnsi="Arial"/>
          <w:sz w:val="18"/>
          <w:szCs w:val="18"/>
          <w:color w:val="auto"/>
        </w:rPr>
        <w:t>- Inventories are stated at the lower of cost or market. Cost is determined for domestic furniture inventories using the last-in, first-out method. The</w:t>
      </w:r>
      <w:r>
        <w:rPr>
          <w:rFonts w:ascii="Arial" w:cs="Arial" w:eastAsia="Arial" w:hAnsi="Arial"/>
          <w:sz w:val="18"/>
          <w:szCs w:val="18"/>
          <w:i w:val="1"/>
          <w:iCs w:val="1"/>
          <w:color w:val="auto"/>
        </w:rPr>
        <w:t xml:space="preserve"> </w:t>
      </w:r>
      <w:r>
        <w:rPr>
          <w:rFonts w:ascii="Arial" w:cs="Arial" w:eastAsia="Arial" w:hAnsi="Arial"/>
          <w:sz w:val="18"/>
          <w:szCs w:val="18"/>
          <w:color w:val="auto"/>
        </w:rPr>
        <w:t>cost of imported inventories is determined on a first-in, first-out basis. We estimate an inventory reserve for excess quantities and obsolete items based on specific identification and historical write-offs, taking into account future demand and market conditions. If actual demand or market conditions in the future are less favorable than those estimated, additional inventory write-downs may be required.</w:t>
      </w:r>
    </w:p>
    <w:p>
      <w:pPr>
        <w:spacing w:after="0" w:line="143" w:lineRule="exact"/>
        <w:rPr>
          <w:sz w:val="20"/>
          <w:szCs w:val="20"/>
          <w:color w:val="auto"/>
        </w:rPr>
      </w:pPr>
    </w:p>
    <w:p>
      <w:pPr>
        <w:spacing w:after="0" w:line="298" w:lineRule="auto"/>
        <w:rPr>
          <w:sz w:val="20"/>
          <w:szCs w:val="20"/>
          <w:color w:val="auto"/>
        </w:rPr>
      </w:pPr>
      <w:r>
        <w:rPr>
          <w:rFonts w:ascii="Arial" w:cs="Arial" w:eastAsia="Arial" w:hAnsi="Arial"/>
          <w:sz w:val="16"/>
          <w:szCs w:val="16"/>
          <w:i w:val="1"/>
          <w:iCs w:val="1"/>
          <w:color w:val="auto"/>
        </w:rPr>
        <w:t xml:space="preserve">Investments </w:t>
      </w:r>
      <w:r>
        <w:rPr>
          <w:rFonts w:ascii="Arial" w:cs="Arial" w:eastAsia="Arial" w:hAnsi="Arial"/>
          <w:sz w:val="16"/>
          <w:szCs w:val="16"/>
          <w:color w:val="auto"/>
        </w:rPr>
        <w:t>– Investments are marked to market and recorded at their fair value. We account for the Alternative Asset Fund by marking it to market value each</w:t>
      </w:r>
      <w:r>
        <w:rPr>
          <w:rFonts w:ascii="Arial" w:cs="Arial" w:eastAsia="Arial" w:hAnsi="Arial"/>
          <w:sz w:val="16"/>
          <w:szCs w:val="16"/>
          <w:i w:val="1"/>
          <w:iCs w:val="1"/>
          <w:color w:val="auto"/>
        </w:rPr>
        <w:t xml:space="preserve"> </w:t>
      </w:r>
      <w:r>
        <w:rPr>
          <w:rFonts w:ascii="Arial" w:cs="Arial" w:eastAsia="Arial" w:hAnsi="Arial"/>
          <w:sz w:val="16"/>
          <w:szCs w:val="16"/>
          <w:color w:val="auto"/>
        </w:rPr>
        <w:t>month based on the net asset values provided by the general partner. Unrealized holding gains and losses, net of the related income tax effect, on available for sale securities are excluded from income and are reported as other comprehensive income in stockholders’ equity. Realized gains and losses from securities classified as available for sale are included in income and are determined using the specific identification method for ascertaining the cost of securities sold.</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- 5</w:t>
      </w:r>
    </w:p>
    <w:p>
      <w:pPr>
        <w:sectPr>
          <w:pgSz w:w="11900" w:h="16838" w:orient="portrait"/>
          <w:cols w:equalWidth="0" w:num="1">
            <w:col w:w="11400"/>
          </w:cols>
          <w:pgMar w:left="240" w:top="459" w:right="25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840"/>
        <w:spacing w:after="0" w:line="262" w:lineRule="auto"/>
        <w:rPr>
          <w:sz w:val="20"/>
          <w:szCs w:val="20"/>
          <w:color w:val="auto"/>
        </w:rPr>
      </w:pPr>
      <w:r>
        <w:rPr>
          <w:rFonts w:ascii="Arial" w:cs="Arial" w:eastAsia="Arial" w:hAnsi="Arial"/>
          <w:sz w:val="18"/>
          <w:szCs w:val="18"/>
          <w:b w:val="1"/>
          <w:bCs w:val="1"/>
          <w:color w:val="auto"/>
        </w:rPr>
        <w:t xml:space="preserve">Management’s Discussion and Analysis of Financial Condition and Results of Operations - </w:t>
      </w:r>
      <w:r>
        <w:rPr>
          <w:rFonts w:ascii="Arial" w:cs="Arial" w:eastAsia="Arial" w:hAnsi="Arial"/>
          <w:sz w:val="18"/>
          <w:szCs w:val="18"/>
          <w:color w:val="auto"/>
        </w:rPr>
        <w:t>Continued</w:t>
      </w:r>
      <w:r>
        <w:rPr>
          <w:rFonts w:ascii="Arial" w:cs="Arial" w:eastAsia="Arial" w:hAnsi="Arial"/>
          <w:sz w:val="18"/>
          <w:szCs w:val="18"/>
          <w:b w:val="1"/>
          <w:bCs w:val="1"/>
          <w:color w:val="auto"/>
        </w:rPr>
        <w:t xml:space="preserve"> </w:t>
      </w:r>
      <w:r>
        <w:rPr>
          <w:rFonts w:ascii="Arial" w:cs="Arial" w:eastAsia="Arial" w:hAnsi="Arial"/>
          <w:sz w:val="18"/>
          <w:szCs w:val="18"/>
          <w:color w:val="auto"/>
        </w:rPr>
        <w:t>Bassett Furniture Industries, Incorporated and Subsidiaries (dollars in thousands except share and per share data)</w:t>
      </w:r>
    </w:p>
    <w:p>
      <w:pPr>
        <w:spacing w:after="0" w:line="138" w:lineRule="exact"/>
        <w:rPr>
          <w:sz w:val="20"/>
          <w:szCs w:val="20"/>
          <w:color w:val="auto"/>
        </w:rPr>
      </w:pPr>
    </w:p>
    <w:p>
      <w:pPr>
        <w:ind w:right="80"/>
        <w:spacing w:after="0" w:line="291" w:lineRule="auto"/>
        <w:rPr>
          <w:sz w:val="20"/>
          <w:szCs w:val="20"/>
          <w:color w:val="auto"/>
        </w:rPr>
      </w:pPr>
      <w:r>
        <w:rPr>
          <w:rFonts w:ascii="Arial" w:cs="Arial" w:eastAsia="Arial" w:hAnsi="Arial"/>
          <w:sz w:val="16"/>
          <w:szCs w:val="16"/>
          <w:i w:val="1"/>
          <w:iCs w:val="1"/>
          <w:color w:val="auto"/>
        </w:rPr>
        <w:t xml:space="preserve">Goodwill </w:t>
      </w:r>
      <w:r>
        <w:rPr>
          <w:rFonts w:ascii="Arial" w:cs="Arial" w:eastAsia="Arial" w:hAnsi="Arial"/>
          <w:sz w:val="16"/>
          <w:szCs w:val="16"/>
          <w:color w:val="auto"/>
        </w:rPr>
        <w:t>– As specified in Statement of Financial Accounting Standards (SFAS) No. 141, “Accounting for Business Combinations”, goodwill represents the</w:t>
      </w:r>
      <w:r>
        <w:rPr>
          <w:rFonts w:ascii="Arial" w:cs="Arial" w:eastAsia="Arial" w:hAnsi="Arial"/>
          <w:sz w:val="16"/>
          <w:szCs w:val="16"/>
          <w:i w:val="1"/>
          <w:iCs w:val="1"/>
          <w:color w:val="auto"/>
        </w:rPr>
        <w:t xml:space="preserve"> </w:t>
      </w:r>
      <w:r>
        <w:rPr>
          <w:rFonts w:ascii="Arial" w:cs="Arial" w:eastAsia="Arial" w:hAnsi="Arial"/>
          <w:sz w:val="16"/>
          <w:szCs w:val="16"/>
          <w:color w:val="auto"/>
        </w:rPr>
        <w:t>excess of the purchase price over the value assigned to tangible assets and liabilities and identifiable intangible assets of businesses acquired. SFAS No. 142, “Goodwill and Intangible Assets”, requires that goodwill be reviewed for impairment annually or whenever events or changes in business circumstances indicate that the carrying value of the assets may not be recoverable. Our policy is to perform the annual impairment analysis as of the beginning of our fiscal fourth quarter. SFAS No. 142 also requires that the assets and liabilities acquired and the resulting goodwill be allocated to the entity’s respective reporting units. We have identified three reporting units for our business: Wholesale, Retail and Real Estate/Investments.</w:t>
      </w:r>
    </w:p>
    <w:p>
      <w:pPr>
        <w:spacing w:after="0" w:line="120"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The required impairment test is a two step process. The first step compares the carrying value of each reporting unit that has goodwill with the estimated fair value of the respective reporting unit. Should the carrying value of a reporting unit be in excess of the estimated fair value of that reporting unit, the second step is performed whereby we must calculate the implied fair value of goodwill by deducting the fair value of all tangible and intangible net assets of the reporting unit from the fair value of the reporting unit. This second step represents a hypothetical purchase price allocation as if we had acquired the reporting unit on that date. Our impairment methodology uses a discounted cash flow analysis requiring certain assumptions and estimates to be made regarding future profitability of the reporting unit and industry economic factors. The projected cash flows used for our analysis were based primarily on the Company’s three-year operating plan. While we believe such assumptions and estimates are reasonable, the actual results may differ materially from the projected amounts.</w:t>
      </w:r>
    </w:p>
    <w:p>
      <w:pPr>
        <w:spacing w:after="0" w:line="118" w:lineRule="exact"/>
        <w:rPr>
          <w:sz w:val="20"/>
          <w:szCs w:val="20"/>
          <w:color w:val="auto"/>
        </w:rPr>
      </w:pPr>
    </w:p>
    <w:p>
      <w:pPr>
        <w:spacing w:after="0" w:line="255" w:lineRule="auto"/>
        <w:rPr>
          <w:sz w:val="20"/>
          <w:szCs w:val="20"/>
          <w:color w:val="auto"/>
        </w:rPr>
      </w:pPr>
      <w:r>
        <w:rPr>
          <w:rFonts w:ascii="Arial" w:cs="Arial" w:eastAsia="Arial" w:hAnsi="Arial"/>
          <w:sz w:val="18"/>
          <w:szCs w:val="18"/>
          <w:i w:val="1"/>
          <w:iCs w:val="1"/>
          <w:color w:val="auto"/>
        </w:rPr>
        <w:t xml:space="preserve">Impairment of Long-Lived Assets </w:t>
      </w:r>
      <w:r>
        <w:rPr>
          <w:rFonts w:ascii="Arial" w:cs="Arial" w:eastAsia="Arial" w:hAnsi="Arial"/>
          <w:sz w:val="18"/>
          <w:szCs w:val="18"/>
          <w:color w:val="auto"/>
        </w:rPr>
        <w:t>- We periodically evaluate whether events or circumstances have occurred that indicate long-lived assets may not be recoverable</w:t>
      </w:r>
      <w:r>
        <w:rPr>
          <w:rFonts w:ascii="Arial" w:cs="Arial" w:eastAsia="Arial" w:hAnsi="Arial"/>
          <w:sz w:val="18"/>
          <w:szCs w:val="18"/>
          <w:i w:val="1"/>
          <w:iCs w:val="1"/>
          <w:color w:val="auto"/>
        </w:rPr>
        <w:t xml:space="preserve"> </w:t>
      </w:r>
      <w:r>
        <w:rPr>
          <w:rFonts w:ascii="Arial" w:cs="Arial" w:eastAsia="Arial" w:hAnsi="Arial"/>
          <w:sz w:val="18"/>
          <w:szCs w:val="18"/>
          <w:color w:val="auto"/>
        </w:rPr>
        <w:t>or that the remaining useful life may warrant revision. When such events or circumstances are present, we assess the recoverability of long-lived assets by determining whether the carrying value will be recovered through the expected undiscounted future cash flows resulting from the use of the asset. In the event the sum of the expected undiscounted future cash flows is less than the carrying value of the asset, an impairment loss equal to the excess of the asset’s carrying value over its fair value is recorded.</w:t>
      </w:r>
    </w:p>
    <w:p>
      <w:pPr>
        <w:spacing w:after="0" w:line="143" w:lineRule="exact"/>
        <w:rPr>
          <w:sz w:val="20"/>
          <w:szCs w:val="20"/>
          <w:color w:val="auto"/>
        </w:rPr>
      </w:pPr>
    </w:p>
    <w:p>
      <w:pPr>
        <w:ind w:right="80"/>
        <w:spacing w:after="0" w:line="256" w:lineRule="auto"/>
        <w:rPr>
          <w:sz w:val="20"/>
          <w:szCs w:val="20"/>
          <w:color w:val="auto"/>
        </w:rPr>
      </w:pPr>
      <w:r>
        <w:rPr>
          <w:rFonts w:ascii="Arial" w:cs="Arial" w:eastAsia="Arial" w:hAnsi="Arial"/>
          <w:sz w:val="18"/>
          <w:szCs w:val="18"/>
          <w:i w:val="1"/>
          <w:iCs w:val="1"/>
          <w:color w:val="auto"/>
        </w:rPr>
        <w:t xml:space="preserve">Revenue Recognition </w:t>
      </w:r>
      <w:r>
        <w:rPr>
          <w:rFonts w:ascii="Arial" w:cs="Arial" w:eastAsia="Arial" w:hAnsi="Arial"/>
          <w:sz w:val="18"/>
          <w:szCs w:val="18"/>
          <w:color w:val="auto"/>
        </w:rPr>
        <w:t>- - Revenue is recognized when the risks and rewards of ownership and title to the product have transferred to the buyer. This generally</w:t>
      </w:r>
      <w:r>
        <w:rPr>
          <w:rFonts w:ascii="Arial" w:cs="Arial" w:eastAsia="Arial" w:hAnsi="Arial"/>
          <w:sz w:val="18"/>
          <w:szCs w:val="18"/>
          <w:i w:val="1"/>
          <w:iCs w:val="1"/>
          <w:color w:val="auto"/>
        </w:rPr>
        <w:t xml:space="preserve"> </w:t>
      </w:r>
      <w:r>
        <w:rPr>
          <w:rFonts w:ascii="Arial" w:cs="Arial" w:eastAsia="Arial" w:hAnsi="Arial"/>
          <w:sz w:val="18"/>
          <w:szCs w:val="18"/>
          <w:color w:val="auto"/>
        </w:rPr>
        <w:t>occurs upon the shipment of goods to independent dealers or, in the case of Company-owned retail stores, upon delivery to the customer. Our terms vary from 30 to 60 days. An estimate for returns and allowances has been provided in recorded sales. The contracts with our licensee store owners do not provide for any royalty or license fee to be paid to us.</w:t>
      </w:r>
    </w:p>
    <w:p>
      <w:pPr>
        <w:spacing w:after="0" w:line="143" w:lineRule="exact"/>
        <w:rPr>
          <w:sz w:val="20"/>
          <w:szCs w:val="20"/>
          <w:color w:val="auto"/>
        </w:rPr>
      </w:pPr>
    </w:p>
    <w:p>
      <w:pPr>
        <w:ind w:right="180"/>
        <w:spacing w:after="0" w:line="254" w:lineRule="auto"/>
        <w:rPr>
          <w:sz w:val="20"/>
          <w:szCs w:val="20"/>
          <w:color w:val="auto"/>
        </w:rPr>
      </w:pPr>
      <w:r>
        <w:rPr>
          <w:rFonts w:ascii="Arial" w:cs="Arial" w:eastAsia="Arial" w:hAnsi="Arial"/>
          <w:sz w:val="18"/>
          <w:szCs w:val="18"/>
          <w:i w:val="1"/>
          <w:iCs w:val="1"/>
          <w:color w:val="auto"/>
        </w:rPr>
        <w:t xml:space="preserve">Loss Reserves </w:t>
      </w:r>
      <w:r>
        <w:rPr>
          <w:rFonts w:ascii="Arial" w:cs="Arial" w:eastAsia="Arial" w:hAnsi="Arial"/>
          <w:sz w:val="18"/>
          <w:szCs w:val="18"/>
          <w:color w:val="auto"/>
        </w:rPr>
        <w:t>– We have a number of other potential loss exposures incurred in the ordinary course of business such as environmental claims, product liability,</w:t>
      </w:r>
      <w:r>
        <w:rPr>
          <w:rFonts w:ascii="Arial" w:cs="Arial" w:eastAsia="Arial" w:hAnsi="Arial"/>
          <w:sz w:val="18"/>
          <w:szCs w:val="18"/>
          <w:i w:val="1"/>
          <w:iCs w:val="1"/>
          <w:color w:val="auto"/>
        </w:rPr>
        <w:t xml:space="preserve"> </w:t>
      </w:r>
      <w:r>
        <w:rPr>
          <w:rFonts w:ascii="Arial" w:cs="Arial" w:eastAsia="Arial" w:hAnsi="Arial"/>
          <w:sz w:val="18"/>
          <w:szCs w:val="18"/>
          <w:color w:val="auto"/>
        </w:rPr>
        <w:t>litigation, restructuring charges, and the recoverability of deferred income tax benefits. Establishing loss reserves for these matters requires estimates and judgment with regard to maximum risk exposure and ultimate liability or realization. As a result, these estimates are often developed with the assistance of appropriate advisors, and are based on our current understanding of the underlying facts and circumstances. Because of uncertainties related to the ultimate outcomes of these issues or the possibilities of changes in the underlying facts and circumstances, additional charges related to these issues could be required in the future.</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Fiscal 2006 Compared to Fiscal 2005 (as restated)</w:t>
      </w:r>
    </w:p>
    <w:p>
      <w:pPr>
        <w:spacing w:after="0" w:line="96" w:lineRule="exact"/>
        <w:rPr>
          <w:sz w:val="20"/>
          <w:szCs w:val="20"/>
          <w:color w:val="auto"/>
        </w:rPr>
      </w:pPr>
    </w:p>
    <w:p>
      <w:pPr>
        <w:ind w:right="300"/>
        <w:spacing w:after="0" w:line="268" w:lineRule="auto"/>
        <w:rPr>
          <w:sz w:val="20"/>
          <w:szCs w:val="20"/>
          <w:color w:val="auto"/>
        </w:rPr>
      </w:pPr>
      <w:r>
        <w:rPr>
          <w:rFonts w:ascii="Arial" w:cs="Arial" w:eastAsia="Arial" w:hAnsi="Arial"/>
          <w:sz w:val="18"/>
          <w:szCs w:val="18"/>
          <w:color w:val="auto"/>
        </w:rPr>
        <w:t>Net sales, gross margin, selling, general and administrative (SG&amp;A) expenses, and operating income (loss) were as follows for the years ended November 25, 2006, and November 26, 2005 (restated):</w:t>
      </w:r>
    </w:p>
    <w:p>
      <w:pPr>
        <w:spacing w:after="0" w:line="156"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4520" w:type="dxa"/>
            <w:vAlign w:val="bottom"/>
          </w:tcPr>
          <w:p>
            <w:pPr>
              <w:spacing w:after="0"/>
              <w:rPr>
                <w:sz w:val="14"/>
                <w:szCs w:val="14"/>
                <w:color w:val="auto"/>
              </w:rPr>
            </w:pPr>
          </w:p>
        </w:tc>
        <w:tc>
          <w:tcPr>
            <w:tcW w:w="2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80" w:type="dxa"/>
            <w:vAlign w:val="bottom"/>
            <w:gridSpan w:val="4"/>
          </w:tcPr>
          <w:p>
            <w:pPr>
              <w:jc w:val="right"/>
              <w:ind w:right="540"/>
              <w:spacing w:after="0"/>
              <w:rPr>
                <w:sz w:val="20"/>
                <w:szCs w:val="20"/>
                <w:color w:val="auto"/>
              </w:rPr>
            </w:pPr>
            <w:r>
              <w:rPr>
                <w:rFonts w:ascii="Arial" w:cs="Arial" w:eastAsia="Arial" w:hAnsi="Arial"/>
                <w:sz w:val="14"/>
                <w:szCs w:val="14"/>
                <w:b w:val="1"/>
                <w:bCs w:val="1"/>
                <w:color w:val="auto"/>
              </w:rPr>
              <w:t>As restated</w:t>
            </w:r>
          </w:p>
        </w:tc>
        <w:tc>
          <w:tcPr>
            <w:tcW w:w="0" w:type="dxa"/>
            <w:vAlign w:val="bottom"/>
          </w:tcPr>
          <w:p>
            <w:pPr>
              <w:spacing w:after="0"/>
              <w:rPr>
                <w:sz w:val="1"/>
                <w:szCs w:val="1"/>
                <w:color w:val="auto"/>
              </w:rPr>
            </w:pPr>
          </w:p>
        </w:tc>
      </w:tr>
      <w:tr>
        <w:trPr>
          <w:trHeight w:val="175"/>
        </w:trPr>
        <w:tc>
          <w:tcPr>
            <w:tcW w:w="4520" w:type="dxa"/>
            <w:vAlign w:val="bottom"/>
          </w:tcPr>
          <w:p>
            <w:pPr>
              <w:spacing w:after="0"/>
              <w:rPr>
                <w:sz w:val="15"/>
                <w:szCs w:val="15"/>
                <w:color w:val="auto"/>
              </w:rPr>
            </w:pPr>
          </w:p>
        </w:tc>
        <w:tc>
          <w:tcPr>
            <w:tcW w:w="248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gridSpan w:val="2"/>
          </w:tcPr>
          <w:p>
            <w:pPr>
              <w:jc w:val="right"/>
              <w:ind w:right="200"/>
              <w:spacing w:after="0"/>
              <w:rPr>
                <w:sz w:val="20"/>
                <w:szCs w:val="20"/>
                <w:color w:val="auto"/>
              </w:rPr>
            </w:pPr>
            <w:r>
              <w:rPr>
                <w:rFonts w:ascii="Arial" w:cs="Arial" w:eastAsia="Arial" w:hAnsi="Arial"/>
                <w:sz w:val="14"/>
                <w:szCs w:val="14"/>
                <w:b w:val="1"/>
                <w:bCs w:val="1"/>
                <w:color w:val="auto"/>
              </w:rPr>
              <w:t>2006</w:t>
            </w:r>
          </w:p>
        </w:tc>
        <w:tc>
          <w:tcPr>
            <w:tcW w:w="400" w:type="dxa"/>
            <w:vAlign w:val="bottom"/>
            <w:tcBorders>
              <w:bottom w:val="single" w:sz="8" w:color="auto"/>
            </w:tcBorders>
          </w:tcPr>
          <w:p>
            <w:pPr>
              <w:spacing w:after="0"/>
              <w:rPr>
                <w:sz w:val="15"/>
                <w:szCs w:val="15"/>
                <w:color w:val="auto"/>
              </w:rPr>
            </w:pPr>
          </w:p>
        </w:tc>
        <w:tc>
          <w:tcPr>
            <w:tcW w:w="3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4"/>
                <w:szCs w:val="14"/>
                <w:b w:val="1"/>
                <w:bCs w:val="1"/>
                <w:color w:val="auto"/>
              </w:rPr>
              <w:t>2005</w:t>
            </w:r>
          </w:p>
        </w:tc>
        <w:tc>
          <w:tcPr>
            <w:tcW w:w="42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2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328,214</w:t>
            </w:r>
          </w:p>
        </w:tc>
        <w:tc>
          <w:tcPr>
            <w:tcW w:w="3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8"/>
              </w:rPr>
              <w:t>100.0%</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6"/>
              </w:rPr>
              <w:t>335,207</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8"/>
              </w:rPr>
              <w:t>100.0%</w:t>
            </w:r>
          </w:p>
        </w:tc>
        <w:tc>
          <w:tcPr>
            <w:tcW w:w="0" w:type="dxa"/>
            <w:vAlign w:val="bottom"/>
          </w:tcPr>
          <w:p>
            <w:pPr>
              <w:spacing w:after="0"/>
              <w:rPr>
                <w:sz w:val="1"/>
                <w:szCs w:val="1"/>
                <w:color w:val="auto"/>
              </w:rPr>
            </w:pPr>
          </w:p>
        </w:tc>
      </w:tr>
      <w:tr>
        <w:trPr>
          <w:trHeight w:val="216"/>
        </w:trPr>
        <w:tc>
          <w:tcPr>
            <w:tcW w:w="4520" w:type="dxa"/>
            <w:vAlign w:val="bottom"/>
          </w:tcPr>
          <w:p>
            <w:pPr>
              <w:spacing w:after="0"/>
              <w:rPr>
                <w:sz w:val="20"/>
                <w:szCs w:val="20"/>
                <w:color w:val="auto"/>
              </w:rPr>
            </w:pPr>
            <w:r>
              <w:rPr>
                <w:rFonts w:ascii="Arial" w:cs="Arial" w:eastAsia="Arial" w:hAnsi="Arial"/>
                <w:sz w:val="18"/>
                <w:szCs w:val="18"/>
                <w:color w:val="auto"/>
              </w:rPr>
              <w:t>Gross margin</w:t>
            </w:r>
          </w:p>
        </w:tc>
        <w:tc>
          <w:tcPr>
            <w:tcW w:w="2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5"/>
              </w:rPr>
              <w:t>102,895</w:t>
            </w:r>
          </w:p>
        </w:tc>
        <w:tc>
          <w:tcPr>
            <w:tcW w:w="340" w:type="dxa"/>
            <w:vAlign w:val="bottom"/>
          </w:tcPr>
          <w:p>
            <w:pPr>
              <w:spacing w:after="0"/>
              <w:rPr>
                <w:sz w:val="18"/>
                <w:szCs w:val="18"/>
                <w:color w:val="auto"/>
              </w:rPr>
            </w:pPr>
          </w:p>
        </w:tc>
        <w:tc>
          <w:tcPr>
            <w:tcW w:w="700" w:type="dxa"/>
            <w:vAlign w:val="bottom"/>
            <w:gridSpan w:val="2"/>
          </w:tcPr>
          <w:p>
            <w:pPr>
              <w:jc w:val="right"/>
              <w:ind w:right="300"/>
              <w:spacing w:after="0"/>
              <w:rPr>
                <w:sz w:val="20"/>
                <w:szCs w:val="20"/>
                <w:color w:val="auto"/>
              </w:rPr>
            </w:pPr>
            <w:r>
              <w:rPr>
                <w:rFonts w:ascii="Arial" w:cs="Arial" w:eastAsia="Arial" w:hAnsi="Arial"/>
                <w:sz w:val="18"/>
                <w:szCs w:val="18"/>
                <w:color w:val="auto"/>
              </w:rPr>
              <w:t>31.3</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340"/>
              <w:spacing w:after="0"/>
              <w:rPr>
                <w:sz w:val="20"/>
                <w:szCs w:val="20"/>
                <w:color w:val="auto"/>
              </w:rPr>
            </w:pPr>
            <w:r>
              <w:rPr>
                <w:rFonts w:ascii="Arial" w:cs="Arial" w:eastAsia="Arial" w:hAnsi="Arial"/>
                <w:sz w:val="18"/>
                <w:szCs w:val="18"/>
                <w:color w:val="auto"/>
              </w:rPr>
              <w:t>98,364</w:t>
            </w:r>
          </w:p>
        </w:tc>
        <w:tc>
          <w:tcPr>
            <w:tcW w:w="420" w:type="dxa"/>
            <w:vAlign w:val="bottom"/>
          </w:tcPr>
          <w:p>
            <w:pPr>
              <w:jc w:val="right"/>
              <w:spacing w:after="0"/>
              <w:rPr>
                <w:sz w:val="20"/>
                <w:szCs w:val="20"/>
                <w:color w:val="auto"/>
              </w:rPr>
            </w:pPr>
            <w:r>
              <w:rPr>
                <w:rFonts w:ascii="Arial" w:cs="Arial" w:eastAsia="Arial" w:hAnsi="Arial"/>
                <w:sz w:val="18"/>
                <w:szCs w:val="18"/>
                <w:color w:val="auto"/>
              </w:rPr>
              <w:t>29.3</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SG&amp;A</w:t>
            </w:r>
          </w:p>
        </w:tc>
        <w:tc>
          <w:tcPr>
            <w:tcW w:w="2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88"/>
              </w:rPr>
              <w:t>(103,551)</w:t>
            </w:r>
          </w:p>
        </w:tc>
        <w:tc>
          <w:tcPr>
            <w:tcW w:w="7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2"/>
              </w:rPr>
              <w:t>-31.5</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2"/>
              </w:rPr>
              <w:t>(91,270)</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-27.2</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20" w:type="dxa"/>
            <w:vAlign w:val="bottom"/>
          </w:tcPr>
          <w:p>
            <w:pPr>
              <w:spacing w:after="0"/>
              <w:rPr>
                <w:sz w:val="20"/>
                <w:szCs w:val="20"/>
                <w:color w:val="auto"/>
              </w:rPr>
            </w:pPr>
            <w:r>
              <w:rPr>
                <w:rFonts w:ascii="Arial" w:cs="Arial" w:eastAsia="Arial" w:hAnsi="Arial"/>
                <w:sz w:val="18"/>
                <w:szCs w:val="18"/>
                <w:color w:val="auto"/>
              </w:rPr>
              <w:t>Income from Continued Dumping &amp; Subsidy Offset Act</w:t>
            </w:r>
          </w:p>
        </w:tc>
        <w:tc>
          <w:tcPr>
            <w:tcW w:w="2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1,549</w:t>
            </w:r>
          </w:p>
        </w:tc>
        <w:tc>
          <w:tcPr>
            <w:tcW w:w="340" w:type="dxa"/>
            <w:vAlign w:val="bottom"/>
          </w:tcPr>
          <w:p>
            <w:pPr>
              <w:spacing w:after="0"/>
              <w:rPr>
                <w:sz w:val="18"/>
                <w:szCs w:val="18"/>
                <w:color w:val="auto"/>
              </w:rPr>
            </w:pPr>
          </w:p>
        </w:tc>
        <w:tc>
          <w:tcPr>
            <w:tcW w:w="700" w:type="dxa"/>
            <w:vAlign w:val="bottom"/>
            <w:gridSpan w:val="2"/>
          </w:tcPr>
          <w:p>
            <w:pPr>
              <w:jc w:val="right"/>
              <w:ind w:right="300"/>
              <w:spacing w:after="0"/>
              <w:rPr>
                <w:sz w:val="20"/>
                <w:szCs w:val="20"/>
                <w:color w:val="auto"/>
              </w:rPr>
            </w:pPr>
            <w:r>
              <w:rPr>
                <w:rFonts w:ascii="Arial" w:cs="Arial" w:eastAsia="Arial" w:hAnsi="Arial"/>
                <w:sz w:val="18"/>
                <w:szCs w:val="18"/>
                <w:color w:val="auto"/>
              </w:rPr>
              <w:t>0.5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420" w:type="dxa"/>
            <w:vAlign w:val="bottom"/>
          </w:tcPr>
          <w:p>
            <w:pPr>
              <w:jc w:val="right"/>
              <w:spacing w:after="0"/>
              <w:rPr>
                <w:sz w:val="20"/>
                <w:szCs w:val="20"/>
                <w:color w:val="auto"/>
              </w:rPr>
            </w:pPr>
            <w:r>
              <w:rPr>
                <w:rFonts w:ascii="Arial" w:cs="Arial" w:eastAsia="Arial" w:hAnsi="Arial"/>
                <w:sz w:val="18"/>
                <w:szCs w:val="18"/>
                <w:color w:val="auto"/>
              </w:rPr>
              <w:t>0.0</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Impairment and restructuring charges</w:t>
            </w:r>
          </w:p>
        </w:tc>
        <w:tc>
          <w:tcPr>
            <w:tcW w:w="2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(1,359)</w:t>
            </w:r>
          </w:p>
        </w:tc>
        <w:tc>
          <w:tcPr>
            <w:tcW w:w="7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0.4</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(1,960)</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520" w:type="dxa"/>
            <w:vAlign w:val="bottom"/>
            <w:vMerge w:val="restart"/>
          </w:tcPr>
          <w:p>
            <w:pPr>
              <w:spacing w:after="0"/>
              <w:rPr>
                <w:sz w:val="20"/>
                <w:szCs w:val="20"/>
                <w:color w:val="auto"/>
              </w:rPr>
            </w:pPr>
            <w:r>
              <w:rPr>
                <w:rFonts w:ascii="Arial" w:cs="Arial" w:eastAsia="Arial" w:hAnsi="Arial"/>
                <w:sz w:val="18"/>
                <w:szCs w:val="18"/>
                <w:color w:val="auto"/>
              </w:rPr>
              <w:t>Income (loss) from operations</w:t>
            </w:r>
          </w:p>
        </w:tc>
        <w:tc>
          <w:tcPr>
            <w:tcW w:w="24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4520" w:type="dxa"/>
            <w:vAlign w:val="bottom"/>
            <w:vMerge w:val="continue"/>
          </w:tcPr>
          <w:p>
            <w:pPr>
              <w:spacing w:after="0"/>
              <w:rPr>
                <w:sz w:val="19"/>
                <w:szCs w:val="19"/>
                <w:color w:val="auto"/>
              </w:rPr>
            </w:pPr>
          </w:p>
        </w:tc>
        <w:tc>
          <w:tcPr>
            <w:tcW w:w="248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280"/>
              <w:spacing w:after="0"/>
              <w:rPr>
                <w:sz w:val="20"/>
                <w:szCs w:val="20"/>
                <w:color w:val="auto"/>
              </w:rPr>
            </w:pPr>
            <w:r>
              <w:rPr>
                <w:rFonts w:ascii="Arial" w:cs="Arial" w:eastAsia="Arial" w:hAnsi="Arial"/>
                <w:sz w:val="18"/>
                <w:szCs w:val="18"/>
                <w:color w:val="auto"/>
              </w:rPr>
              <w:t>(466)</w:t>
            </w: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-0.1%</w:t>
            </w:r>
          </w:p>
        </w:tc>
        <w:tc>
          <w:tcPr>
            <w:tcW w:w="2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340"/>
              <w:spacing w:after="0"/>
              <w:rPr>
                <w:sz w:val="20"/>
                <w:szCs w:val="20"/>
                <w:color w:val="auto"/>
              </w:rPr>
            </w:pPr>
            <w:r>
              <w:rPr>
                <w:rFonts w:ascii="Arial" w:cs="Arial" w:eastAsia="Arial" w:hAnsi="Arial"/>
                <w:sz w:val="18"/>
                <w:szCs w:val="18"/>
                <w:color w:val="auto"/>
              </w:rPr>
              <w:t>5,134</w:t>
            </w: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0"/>
        </w:trPr>
        <w:tc>
          <w:tcPr>
            <w:tcW w:w="452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4520" w:type="dxa"/>
            <w:vAlign w:val="bottom"/>
          </w:tcPr>
          <w:p>
            <w:pPr>
              <w:spacing w:after="0"/>
              <w:rPr>
                <w:sz w:val="24"/>
                <w:szCs w:val="24"/>
                <w:color w:val="auto"/>
              </w:rPr>
            </w:pPr>
          </w:p>
        </w:tc>
        <w:tc>
          <w:tcPr>
            <w:tcW w:w="2580" w:type="dxa"/>
            <w:vAlign w:val="bottom"/>
            <w:gridSpan w:val="2"/>
          </w:tcPr>
          <w:p>
            <w:pPr>
              <w:jc w:val="right"/>
              <w:ind w:right="1592"/>
              <w:spacing w:after="0"/>
              <w:rPr>
                <w:sz w:val="20"/>
                <w:szCs w:val="20"/>
                <w:color w:val="auto"/>
              </w:rPr>
            </w:pPr>
            <w:r>
              <w:rPr>
                <w:rFonts w:ascii="Arial" w:cs="Arial" w:eastAsia="Arial" w:hAnsi="Arial"/>
                <w:sz w:val="18"/>
                <w:szCs w:val="18"/>
                <w:color w:val="auto"/>
              </w:rPr>
              <w:t>F - 6</w:t>
            </w:r>
          </w:p>
        </w:tc>
        <w:tc>
          <w:tcPr>
            <w:tcW w:w="6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00"/>
          </w:cols>
          <w:pgMar w:left="240" w:top="459" w:right="2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860"/>
        <w:spacing w:after="0" w:line="262" w:lineRule="auto"/>
        <w:rPr>
          <w:sz w:val="20"/>
          <w:szCs w:val="20"/>
          <w:color w:val="auto"/>
        </w:rPr>
      </w:pPr>
      <w:r>
        <w:rPr>
          <w:rFonts w:ascii="Arial" w:cs="Arial" w:eastAsia="Arial" w:hAnsi="Arial"/>
          <w:sz w:val="18"/>
          <w:szCs w:val="18"/>
          <w:b w:val="1"/>
          <w:bCs w:val="1"/>
          <w:color w:val="auto"/>
        </w:rPr>
        <w:t xml:space="preserve">Management’s Discussion and Analysis of Financial Condition and Results of Operations - </w:t>
      </w:r>
      <w:r>
        <w:rPr>
          <w:rFonts w:ascii="Arial" w:cs="Arial" w:eastAsia="Arial" w:hAnsi="Arial"/>
          <w:sz w:val="18"/>
          <w:szCs w:val="18"/>
          <w:color w:val="auto"/>
        </w:rPr>
        <w:t>Continued</w:t>
      </w:r>
      <w:r>
        <w:rPr>
          <w:rFonts w:ascii="Arial" w:cs="Arial" w:eastAsia="Arial" w:hAnsi="Arial"/>
          <w:sz w:val="18"/>
          <w:szCs w:val="18"/>
          <w:b w:val="1"/>
          <w:bCs w:val="1"/>
          <w:color w:val="auto"/>
        </w:rPr>
        <w:t xml:space="preserve"> </w:t>
      </w:r>
      <w:r>
        <w:rPr>
          <w:rFonts w:ascii="Arial" w:cs="Arial" w:eastAsia="Arial" w:hAnsi="Arial"/>
          <w:sz w:val="18"/>
          <w:szCs w:val="18"/>
          <w:color w:val="auto"/>
        </w:rPr>
        <w:t>Bassett Furniture Industries, Incorporated and Subsidiaries (dollars in thousands except share and per share data)</w:t>
      </w:r>
    </w:p>
    <w:p>
      <w:pPr>
        <w:spacing w:after="0" w:line="138" w:lineRule="exact"/>
        <w:rPr>
          <w:sz w:val="20"/>
          <w:szCs w:val="20"/>
          <w:color w:val="auto"/>
        </w:rPr>
      </w:pPr>
    </w:p>
    <w:p>
      <w:pPr>
        <w:ind w:right="160"/>
        <w:spacing w:after="0" w:line="254" w:lineRule="auto"/>
        <w:rPr>
          <w:sz w:val="20"/>
          <w:szCs w:val="20"/>
          <w:color w:val="auto"/>
        </w:rPr>
      </w:pPr>
      <w:r>
        <w:rPr>
          <w:rFonts w:ascii="Arial" w:cs="Arial" w:eastAsia="Arial" w:hAnsi="Arial"/>
          <w:sz w:val="18"/>
          <w:szCs w:val="18"/>
          <w:color w:val="auto"/>
        </w:rPr>
        <w:t>On a consolidated basis, we reported net sales for 2006 of $328,214, a decrease of $6,993 or 2% from sales levels attained in fiscal 2005. This decrease was due to a $20,914 decrease in external wholesale shipments, partially offset by a $13,921 increase in retail</w:t>
      </w:r>
    </w:p>
    <w:p>
      <w:pPr>
        <w:ind w:right="100"/>
        <w:spacing w:after="0" w:line="255" w:lineRule="auto"/>
        <w:rPr>
          <w:sz w:val="20"/>
          <w:szCs w:val="20"/>
          <w:color w:val="auto"/>
        </w:rPr>
      </w:pPr>
      <w:r>
        <w:rPr>
          <w:rFonts w:ascii="Arial" w:cs="Arial" w:eastAsia="Arial" w:hAnsi="Arial"/>
          <w:sz w:val="18"/>
          <w:szCs w:val="18"/>
          <w:color w:val="auto"/>
        </w:rPr>
        <w:t>sales. The wholesale decrease was primarily due to the expected further attrition in our non-BFD distribution channels, combined with sluggish retail sales and partially due to the sale of our Weiman division in the second quarter of 2006. The increase in retail sales was entirely due to a full year of sales for the stores we acquired during 2005.</w:t>
      </w:r>
    </w:p>
    <w:p>
      <w:pPr>
        <w:spacing w:after="0" w:line="144"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color w:val="auto"/>
        </w:rPr>
        <w:t>Gross margin increased in 2006 largely due to the inclusion of more retail stores during 2006 and an increased sales mix of imported product. Our retail segment typically has both higher gross margins and higher SG&amp;A expenses than our wholesale operations, therefore with our 2006 retail sales being a larger percentage of our total sales, our blended margins are higher. Improved retail acceptance of both wood and upholstery imported products also favorably impacted our margins in 2006. Additionally, 2006 and 2005 margins were positively impacted by lower domestic wood inventory levels which led to reductions in accompanying LIFO inventory reserves.</w:t>
      </w:r>
    </w:p>
    <w:p>
      <w:pPr>
        <w:spacing w:after="0" w:line="143" w:lineRule="exact"/>
        <w:rPr>
          <w:sz w:val="20"/>
          <w:szCs w:val="20"/>
          <w:color w:val="auto"/>
        </w:rPr>
      </w:pPr>
    </w:p>
    <w:p>
      <w:pPr>
        <w:ind w:right="100"/>
        <w:spacing w:after="0" w:line="298" w:lineRule="auto"/>
        <w:rPr>
          <w:sz w:val="20"/>
          <w:szCs w:val="20"/>
          <w:color w:val="auto"/>
        </w:rPr>
      </w:pPr>
      <w:r>
        <w:rPr>
          <w:rFonts w:ascii="Arial" w:cs="Arial" w:eastAsia="Arial" w:hAnsi="Arial"/>
          <w:sz w:val="16"/>
          <w:szCs w:val="16"/>
          <w:color w:val="auto"/>
        </w:rPr>
        <w:t>SG&amp;A expenses in 2006 increased by $12,281 from 2005 to $103,551. As a percentage of sales, SG&amp;A increased 4.3 points from 27.2% in 2005 to 31.5% in 2006. Wholesale SG&amp;A decreased approximately $2,800 from 2005. The Company added approximately $15,000 of retail segment SG&amp;A due primarily to the BFDs acquired in 2005. Although we anticipated an increase in SG&amp;A as a percentage of net sales as we consolidated a complete year of the Dallas, Atlanta and upstate New York retail operations, we expected higher sales levels to reduce the anticipated increase.</w:t>
      </w:r>
    </w:p>
    <w:p>
      <w:pPr>
        <w:spacing w:after="0" w:line="113" w:lineRule="exact"/>
        <w:rPr>
          <w:sz w:val="20"/>
          <w:szCs w:val="20"/>
          <w:color w:val="auto"/>
        </w:rPr>
      </w:pPr>
    </w:p>
    <w:p>
      <w:pPr>
        <w:ind w:right="40"/>
        <w:spacing w:after="0" w:line="298" w:lineRule="auto"/>
        <w:rPr>
          <w:sz w:val="20"/>
          <w:szCs w:val="20"/>
          <w:color w:val="auto"/>
        </w:rPr>
      </w:pPr>
      <w:r>
        <w:rPr>
          <w:rFonts w:ascii="Arial" w:cs="Arial" w:eastAsia="Arial" w:hAnsi="Arial"/>
          <w:sz w:val="16"/>
          <w:szCs w:val="16"/>
          <w:color w:val="auto"/>
        </w:rPr>
        <w:t>During 2006, current year traffic and retail sales trends have negatively impacted our licensees’ cash flow and in turn the timing of our wholesale collections. These trends, if not reversed, could negatively impact future operating performance. Our allowance for doubtful accounts represents our best estimate of potential losses on our accounts and notes receivables and is adjusted accordingly based on historical experience, current developments and economic trends. We recorded $3,364 and $2,603 of provision for losses on accounts receivable during 2006 and 2005, respectively, to cover potential losses that may arise.</w:t>
      </w:r>
    </w:p>
    <w:p>
      <w:pPr>
        <w:spacing w:after="0" w:line="113" w:lineRule="exact"/>
        <w:rPr>
          <w:sz w:val="20"/>
          <w:szCs w:val="20"/>
          <w:color w:val="auto"/>
        </w:rPr>
      </w:pPr>
    </w:p>
    <w:p>
      <w:pPr>
        <w:ind w:right="140"/>
        <w:spacing w:after="0" w:line="294" w:lineRule="auto"/>
        <w:rPr>
          <w:sz w:val="20"/>
          <w:szCs w:val="20"/>
          <w:color w:val="auto"/>
        </w:rPr>
      </w:pPr>
      <w:r>
        <w:rPr>
          <w:rFonts w:ascii="Arial" w:cs="Arial" w:eastAsia="Arial" w:hAnsi="Arial"/>
          <w:sz w:val="16"/>
          <w:szCs w:val="16"/>
          <w:color w:val="auto"/>
        </w:rPr>
        <w:t>The Continued Dumping and Subsidy Offset Act of 2000 (CDSOA) provides for the distribution of monies collected by U.S. Customs and Border Protection from antidumping cases to qualified domestic producers, in cases where domestic producers have continued to invest in their technology, equipment and people. For the year ended November 25, 2006, the Company recorded $1,549 in CDSOA subsidies in connection with the case involving wooden bedroom furniture imported from China. Subsidies recorded in fiscal 2005 were insignificant. See Note 7 to the Consolidated Financial Statements. There is no guarantee the Company will receive this level of subsidy in the future. Current legislation repeals the Act after September 30, 2007.</w:t>
      </w:r>
    </w:p>
    <w:p>
      <w:pPr>
        <w:spacing w:after="0" w:line="116" w:lineRule="exact"/>
        <w:rPr>
          <w:sz w:val="20"/>
          <w:szCs w:val="20"/>
          <w:color w:val="auto"/>
        </w:rPr>
      </w:pPr>
    </w:p>
    <w:p>
      <w:pPr>
        <w:ind w:right="140"/>
        <w:spacing w:after="0" w:line="290" w:lineRule="auto"/>
        <w:rPr>
          <w:sz w:val="20"/>
          <w:szCs w:val="20"/>
          <w:color w:val="auto"/>
        </w:rPr>
      </w:pPr>
      <w:r>
        <w:rPr>
          <w:rFonts w:ascii="Arial" w:cs="Arial" w:eastAsia="Arial" w:hAnsi="Arial"/>
          <w:sz w:val="16"/>
          <w:szCs w:val="16"/>
          <w:color w:val="auto"/>
        </w:rPr>
        <w:t>During 2006, we recorded an impairment charge of $1,359 to write-off our goodwill associated with the retail reporting unit. The overall retail environment and, in particular, the markets in which our Company-owned stores operated, softened during 2006 considerably more than we had anticipated. In addition, our strategy to streamline and standardize operations to reduce overhead and other costs has taken more time than we expected to implement. High gasoline costs, rising interest rates and decreased housing starts contributed to the difficult furniture retail environment. These factors led to increased promotional discounts on our products in an attempt to maintain sales volumes and resulted in a significant increase in the operating losses for our Company-owned stores. We do believe that our retail operations will improve and that operating losses will be reduced in 2007. Our plan is to achieve a break-even level by 2009. However, because of the magnitude of the losses expected in 2007 and 2008, our discounted cash flow analysis indicates that the retail goodwill is impaired.</w:t>
      </w:r>
    </w:p>
    <w:p>
      <w:pPr>
        <w:spacing w:after="0" w:line="118"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Our discounted cash flow analysis of the goodwill associated with our wholesale reporting unit indicated that the carrying value was realizable from future cash flows and that the fair value of the reporting unit was in excess of 125% of the book value. This analysis was based primarily on our three-year operating plan that assumes slightly improved market conditions, a relatively healthy network of BFD stores and a more efficient operating model for our Company-owned stores. While we believe the assumptions are reasonable, the actual results may differ materially from the projected amounts. Even with a 10% decrease to the cash flow estimates, the fair value would still be in excess of 110% of the book value. Our wholesale segment which has a long and profitable history, is increasingly dependent on the health of our overall BFD network. As previously mentioned, we recently hired a new executive with significant retail experience to lead our retail organization.</w:t>
      </w:r>
    </w:p>
    <w:p>
      <w:pPr>
        <w:spacing w:after="0" w:line="147" w:lineRule="exact"/>
        <w:rPr>
          <w:sz w:val="20"/>
          <w:szCs w:val="20"/>
          <w:color w:val="auto"/>
        </w:rPr>
      </w:pPr>
    </w:p>
    <w:p>
      <w:pPr>
        <w:ind w:right="200"/>
        <w:spacing w:after="0" w:line="298" w:lineRule="auto"/>
        <w:rPr>
          <w:sz w:val="20"/>
          <w:szCs w:val="20"/>
          <w:color w:val="auto"/>
        </w:rPr>
      </w:pPr>
      <w:r>
        <w:rPr>
          <w:rFonts w:ascii="Arial" w:cs="Arial" w:eastAsia="Arial" w:hAnsi="Arial"/>
          <w:sz w:val="16"/>
          <w:szCs w:val="16"/>
          <w:color w:val="auto"/>
        </w:rPr>
        <w:t>The Company has non-operating income primarily from its investments and unconsolidated affiliated companies. Income from investments increased due to slightly better returns on our investment portfolios as compared to 2005. Income from unconsolidated affiliated companies which includes income from IHFC, decreased due to losses related to BFD Northeast, LLC (“BFDNE”) and Zenith Freight Lines, LLC (“Zenith”). The losses incurred by BFDNE and Zenith were due largely to lower sales levels caused by the challenging furniture retail environment.</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- 7</w:t>
      </w:r>
    </w:p>
    <w:p>
      <w:pPr>
        <w:sectPr>
          <w:pgSz w:w="11900" w:h="16838" w:orient="portrait"/>
          <w:cols w:equalWidth="0" w:num="1">
            <w:col w:w="11420"/>
          </w:cols>
          <w:pgMar w:left="240" w:top="459" w:right="23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860"/>
        <w:spacing w:after="0" w:line="262" w:lineRule="auto"/>
        <w:rPr>
          <w:sz w:val="20"/>
          <w:szCs w:val="20"/>
          <w:color w:val="auto"/>
        </w:rPr>
      </w:pPr>
      <w:r>
        <w:rPr>
          <w:rFonts w:ascii="Arial" w:cs="Arial" w:eastAsia="Arial" w:hAnsi="Arial"/>
          <w:sz w:val="18"/>
          <w:szCs w:val="18"/>
          <w:b w:val="1"/>
          <w:bCs w:val="1"/>
          <w:color w:val="auto"/>
        </w:rPr>
        <w:t xml:space="preserve">Management’s Discussion and Analysis of Financial Condition and Results of Operations - </w:t>
      </w:r>
      <w:r>
        <w:rPr>
          <w:rFonts w:ascii="Arial" w:cs="Arial" w:eastAsia="Arial" w:hAnsi="Arial"/>
          <w:sz w:val="18"/>
          <w:szCs w:val="18"/>
          <w:color w:val="auto"/>
        </w:rPr>
        <w:t>Continued</w:t>
      </w:r>
      <w:r>
        <w:rPr>
          <w:rFonts w:ascii="Arial" w:cs="Arial" w:eastAsia="Arial" w:hAnsi="Arial"/>
          <w:sz w:val="18"/>
          <w:szCs w:val="18"/>
          <w:b w:val="1"/>
          <w:bCs w:val="1"/>
          <w:color w:val="auto"/>
        </w:rPr>
        <w:t xml:space="preserve"> </w:t>
      </w:r>
      <w:r>
        <w:rPr>
          <w:rFonts w:ascii="Arial" w:cs="Arial" w:eastAsia="Arial" w:hAnsi="Arial"/>
          <w:sz w:val="18"/>
          <w:szCs w:val="18"/>
          <w:color w:val="auto"/>
        </w:rPr>
        <w:t>Bassett Furniture Industries, Incorporated and Subsidiaries (dollars in thousands except share and per share data)</w:t>
      </w:r>
    </w:p>
    <w:p>
      <w:pPr>
        <w:spacing w:after="0" w:line="138" w:lineRule="exact"/>
        <w:rPr>
          <w:sz w:val="20"/>
          <w:szCs w:val="20"/>
          <w:color w:val="auto"/>
        </w:rPr>
      </w:pPr>
    </w:p>
    <w:p>
      <w:pPr>
        <w:ind w:right="600"/>
        <w:spacing w:after="0" w:line="259" w:lineRule="auto"/>
        <w:rPr>
          <w:sz w:val="20"/>
          <w:szCs w:val="20"/>
          <w:color w:val="auto"/>
        </w:rPr>
      </w:pPr>
      <w:r>
        <w:rPr>
          <w:rFonts w:ascii="Arial" w:cs="Arial" w:eastAsia="Arial" w:hAnsi="Arial"/>
          <w:sz w:val="18"/>
          <w:szCs w:val="18"/>
          <w:color w:val="auto"/>
        </w:rPr>
        <w:t>The effective income tax rate was 15.9% in 2006 and 25.7% in 2005. The effective rate in 2006 and 2005 was lower than statutory rates primarily due to exclusions for tax-exempt income and dividends received from our investment in the IHFC. Our 2006 rate also was increased by the write-off of goodwill associated with our retail segment as it is not tax-deductible.</w:t>
      </w:r>
    </w:p>
    <w:p>
      <w:pPr>
        <w:spacing w:after="0" w:line="140" w:lineRule="exact"/>
        <w:rPr>
          <w:sz w:val="20"/>
          <w:szCs w:val="20"/>
          <w:color w:val="auto"/>
        </w:rPr>
      </w:pPr>
    </w:p>
    <w:p>
      <w:pPr>
        <w:ind w:right="360"/>
        <w:spacing w:after="0" w:line="268" w:lineRule="auto"/>
        <w:rPr>
          <w:sz w:val="20"/>
          <w:szCs w:val="20"/>
          <w:color w:val="auto"/>
        </w:rPr>
      </w:pPr>
      <w:r>
        <w:rPr>
          <w:rFonts w:ascii="Arial" w:cs="Arial" w:eastAsia="Arial" w:hAnsi="Arial"/>
          <w:sz w:val="18"/>
          <w:szCs w:val="18"/>
          <w:color w:val="auto"/>
        </w:rPr>
        <w:t>Net income for the year ended November 25, 2006, was $5,429 or $0.46 per diluted share. Net income for the year ended November 26, 2005, was $9,814 or $0.82 per diluted share.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Fiscal 2005 (as restated) Compared to Fiscal 2004</w:t>
      </w:r>
    </w:p>
    <w:p>
      <w:pPr>
        <w:spacing w:after="0" w:line="96" w:lineRule="exact"/>
        <w:rPr>
          <w:sz w:val="20"/>
          <w:szCs w:val="20"/>
          <w:color w:val="auto"/>
        </w:rPr>
      </w:pPr>
    </w:p>
    <w:p>
      <w:pPr>
        <w:ind w:right="360"/>
        <w:spacing w:after="0" w:line="268" w:lineRule="auto"/>
        <w:rPr>
          <w:sz w:val="20"/>
          <w:szCs w:val="20"/>
          <w:color w:val="auto"/>
        </w:rPr>
      </w:pPr>
      <w:r>
        <w:rPr>
          <w:rFonts w:ascii="Arial" w:cs="Arial" w:eastAsia="Arial" w:hAnsi="Arial"/>
          <w:sz w:val="18"/>
          <w:szCs w:val="18"/>
          <w:color w:val="auto"/>
        </w:rPr>
        <w:t>Net sales, gross margin, selling, general and administrative (SG&amp;A) expenses, and operating income were as follows for the years ended November 26, 2005 (restated), and November 27, 2004:</w:t>
      </w:r>
    </w:p>
    <w:p>
      <w:pPr>
        <w:spacing w:after="0" w:line="156"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7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jc w:val="right"/>
              <w:spacing w:after="0"/>
              <w:rPr>
                <w:sz w:val="20"/>
                <w:szCs w:val="20"/>
                <w:color w:val="auto"/>
              </w:rPr>
            </w:pPr>
            <w:r>
              <w:rPr>
                <w:rFonts w:ascii="Arial" w:cs="Arial" w:eastAsia="Arial" w:hAnsi="Arial"/>
                <w:sz w:val="14"/>
                <w:szCs w:val="14"/>
                <w:b w:val="1"/>
                <w:bCs w:val="1"/>
                <w:color w:val="auto"/>
              </w:rPr>
              <w:t>As restated</w:t>
            </w: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702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gridSpan w:val="2"/>
          </w:tcPr>
          <w:p>
            <w:pPr>
              <w:jc w:val="right"/>
              <w:ind w:right="180"/>
              <w:spacing w:after="0"/>
              <w:rPr>
                <w:sz w:val="20"/>
                <w:szCs w:val="20"/>
                <w:color w:val="auto"/>
              </w:rPr>
            </w:pPr>
            <w:r>
              <w:rPr>
                <w:rFonts w:ascii="Arial" w:cs="Arial" w:eastAsia="Arial" w:hAnsi="Arial"/>
                <w:sz w:val="14"/>
                <w:szCs w:val="14"/>
                <w:b w:val="1"/>
                <w:bCs w:val="1"/>
                <w:color w:val="auto"/>
              </w:rPr>
              <w:t>2005</w:t>
            </w:r>
          </w:p>
        </w:tc>
        <w:tc>
          <w:tcPr>
            <w:tcW w:w="400" w:type="dxa"/>
            <w:vAlign w:val="bottom"/>
            <w:tcBorders>
              <w:bottom w:val="single" w:sz="8" w:color="auto"/>
            </w:tcBorders>
          </w:tcPr>
          <w:p>
            <w:pPr>
              <w:spacing w:after="0"/>
              <w:rPr>
                <w:sz w:val="15"/>
                <w:szCs w:val="15"/>
                <w:color w:val="auto"/>
              </w:rPr>
            </w:pPr>
          </w:p>
        </w:tc>
        <w:tc>
          <w:tcPr>
            <w:tcW w:w="44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gridSpan w:val="2"/>
          </w:tcPr>
          <w:p>
            <w:pPr>
              <w:jc w:val="right"/>
              <w:ind w:right="180"/>
              <w:spacing w:after="0"/>
              <w:rPr>
                <w:sz w:val="20"/>
                <w:szCs w:val="20"/>
                <w:color w:val="auto"/>
              </w:rPr>
            </w:pPr>
            <w:r>
              <w:rPr>
                <w:rFonts w:ascii="Arial" w:cs="Arial" w:eastAsia="Arial" w:hAnsi="Arial"/>
                <w:sz w:val="14"/>
                <w:szCs w:val="14"/>
                <w:b w:val="1"/>
                <w:bCs w:val="1"/>
                <w:color w:val="auto"/>
              </w:rPr>
              <w:t>2004</w:t>
            </w:r>
          </w:p>
        </w:tc>
        <w:tc>
          <w:tcPr>
            <w:tcW w:w="42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702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335,207</w:t>
            </w:r>
          </w:p>
        </w:tc>
        <w:tc>
          <w:tcPr>
            <w:tcW w:w="3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5"/>
              </w:rPr>
              <w:t>100.0%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315,654</w:t>
            </w:r>
          </w:p>
        </w:tc>
        <w:tc>
          <w:tcPr>
            <w:tcW w:w="36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8"/>
              </w:rPr>
              <w:t>100.0%</w:t>
            </w:r>
          </w:p>
        </w:tc>
        <w:tc>
          <w:tcPr>
            <w:tcW w:w="0" w:type="dxa"/>
            <w:vAlign w:val="bottom"/>
          </w:tcPr>
          <w:p>
            <w:pPr>
              <w:spacing w:after="0"/>
              <w:rPr>
                <w:sz w:val="1"/>
                <w:szCs w:val="1"/>
                <w:color w:val="auto"/>
              </w:rPr>
            </w:pPr>
          </w:p>
        </w:tc>
      </w:tr>
      <w:tr>
        <w:trPr>
          <w:trHeight w:val="221"/>
        </w:trPr>
        <w:tc>
          <w:tcPr>
            <w:tcW w:w="7020" w:type="dxa"/>
            <w:vAlign w:val="bottom"/>
          </w:tcPr>
          <w:p>
            <w:pPr>
              <w:spacing w:after="0"/>
              <w:rPr>
                <w:sz w:val="20"/>
                <w:szCs w:val="20"/>
                <w:color w:val="auto"/>
              </w:rPr>
            </w:pPr>
            <w:r>
              <w:rPr>
                <w:rFonts w:ascii="Arial" w:cs="Arial" w:eastAsia="Arial" w:hAnsi="Arial"/>
                <w:sz w:val="18"/>
                <w:szCs w:val="18"/>
                <w:color w:val="auto"/>
              </w:rPr>
              <w:t>Gross margin</w:t>
            </w: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98,364</w:t>
            </w:r>
          </w:p>
        </w:tc>
        <w:tc>
          <w:tcPr>
            <w:tcW w:w="360" w:type="dxa"/>
            <w:vAlign w:val="bottom"/>
          </w:tcPr>
          <w:p>
            <w:pPr>
              <w:spacing w:after="0"/>
              <w:rPr>
                <w:sz w:val="19"/>
                <w:szCs w:val="19"/>
                <w:color w:val="auto"/>
              </w:rPr>
            </w:pPr>
          </w:p>
        </w:tc>
        <w:tc>
          <w:tcPr>
            <w:tcW w:w="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29.3</w:t>
            </w:r>
          </w:p>
        </w:tc>
        <w:tc>
          <w:tcPr>
            <w:tcW w:w="4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81,042</w:t>
            </w:r>
          </w:p>
        </w:tc>
        <w:tc>
          <w:tcPr>
            <w:tcW w:w="360" w:type="dxa"/>
            <w:vAlign w:val="bottom"/>
          </w:tcPr>
          <w:p>
            <w:pPr>
              <w:spacing w:after="0"/>
              <w:rPr>
                <w:sz w:val="19"/>
                <w:szCs w:val="19"/>
                <w:color w:val="auto"/>
              </w:rPr>
            </w:pP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25.7</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7020" w:type="dxa"/>
            <w:vAlign w:val="bottom"/>
            <w:shd w:val="clear" w:color="auto" w:fill="CCEEFF"/>
          </w:tcPr>
          <w:p>
            <w:pPr>
              <w:spacing w:after="0"/>
              <w:rPr>
                <w:sz w:val="20"/>
                <w:szCs w:val="20"/>
                <w:color w:val="auto"/>
              </w:rPr>
            </w:pPr>
            <w:r>
              <w:rPr>
                <w:rFonts w:ascii="Arial" w:cs="Arial" w:eastAsia="Arial" w:hAnsi="Arial"/>
                <w:sz w:val="18"/>
                <w:szCs w:val="18"/>
                <w:color w:val="auto"/>
              </w:rPr>
              <w:t>SG&amp;A</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2"/>
              </w:rPr>
              <w:t>(91,270)</w:t>
            </w:r>
          </w:p>
        </w:tc>
        <w:tc>
          <w:tcPr>
            <w:tcW w:w="8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w w:val="92"/>
              </w:rPr>
              <w:t>-27.2</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2"/>
              </w:rPr>
              <w:t>(77,145)</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-24.4</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20" w:type="dxa"/>
            <w:vAlign w:val="bottom"/>
          </w:tcPr>
          <w:p>
            <w:pPr>
              <w:spacing w:after="0"/>
              <w:rPr>
                <w:sz w:val="20"/>
                <w:szCs w:val="20"/>
                <w:color w:val="auto"/>
              </w:rPr>
            </w:pPr>
            <w:r>
              <w:rPr>
                <w:rFonts w:ascii="Arial" w:cs="Arial" w:eastAsia="Arial" w:hAnsi="Arial"/>
                <w:sz w:val="18"/>
                <w:szCs w:val="18"/>
                <w:color w:val="auto"/>
              </w:rPr>
              <w:t>Gain on sale of property</w:t>
            </w:r>
          </w:p>
        </w:tc>
        <w:tc>
          <w:tcPr>
            <w:tcW w:w="100" w:type="dxa"/>
            <w:vAlign w:val="bottom"/>
          </w:tcPr>
          <w:p>
            <w:pPr>
              <w:spacing w:after="0"/>
              <w:rPr>
                <w:sz w:val="18"/>
                <w:szCs w:val="18"/>
                <w:color w:val="auto"/>
              </w:rPr>
            </w:pPr>
          </w:p>
        </w:tc>
        <w:tc>
          <w:tcPr>
            <w:tcW w:w="94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0.0</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3,890</w:t>
            </w:r>
          </w:p>
        </w:tc>
        <w:tc>
          <w:tcPr>
            <w:tcW w:w="3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1.2</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20" w:type="dxa"/>
            <w:vAlign w:val="bottom"/>
            <w:shd w:val="clear" w:color="auto" w:fill="CCEEFF"/>
          </w:tcPr>
          <w:p>
            <w:pPr>
              <w:spacing w:after="0"/>
              <w:rPr>
                <w:sz w:val="20"/>
                <w:szCs w:val="20"/>
                <w:color w:val="auto"/>
              </w:rPr>
            </w:pPr>
            <w:r>
              <w:rPr>
                <w:rFonts w:ascii="Arial" w:cs="Arial" w:eastAsia="Arial" w:hAnsi="Arial"/>
                <w:sz w:val="18"/>
                <w:szCs w:val="18"/>
                <w:color w:val="auto"/>
              </w:rPr>
              <w:t>Restructuring and impaired asset charges</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(1,960)</w:t>
            </w:r>
          </w:p>
        </w:tc>
        <w:tc>
          <w:tcPr>
            <w:tcW w:w="8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-0.6</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(4,060)</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020" w:type="dxa"/>
            <w:vAlign w:val="bottom"/>
            <w:vMerge w:val="restart"/>
          </w:tcPr>
          <w:p>
            <w:pPr>
              <w:spacing w:after="0"/>
              <w:rPr>
                <w:sz w:val="20"/>
                <w:szCs w:val="20"/>
                <w:color w:val="auto"/>
              </w:rPr>
            </w:pPr>
            <w:r>
              <w:rPr>
                <w:rFonts w:ascii="Arial" w:cs="Arial" w:eastAsia="Arial" w:hAnsi="Arial"/>
                <w:sz w:val="18"/>
                <w:szCs w:val="18"/>
                <w:color w:val="auto"/>
              </w:rPr>
              <w:t>Income from operations</w:t>
            </w: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7020" w:type="dxa"/>
            <w:vAlign w:val="bottom"/>
            <w:vMerge w:val="continue"/>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5,134</w:t>
            </w:r>
          </w:p>
        </w:tc>
        <w:tc>
          <w:tcPr>
            <w:tcW w:w="360" w:type="dxa"/>
            <w:vAlign w:val="bottom"/>
          </w:tcPr>
          <w:p>
            <w:pPr>
              <w:spacing w:after="0"/>
              <w:rPr>
                <w:sz w:val="19"/>
                <w:szCs w:val="19"/>
                <w:color w:val="auto"/>
              </w:rPr>
            </w:pPr>
          </w:p>
        </w:tc>
        <w:tc>
          <w:tcPr>
            <w:tcW w:w="840" w:type="dxa"/>
            <w:vAlign w:val="bottom"/>
            <w:gridSpan w:val="2"/>
          </w:tcPr>
          <w:p>
            <w:pPr>
              <w:jc w:val="right"/>
              <w:ind w:right="300"/>
              <w:spacing w:after="0"/>
              <w:rPr>
                <w:sz w:val="20"/>
                <w:szCs w:val="20"/>
                <w:color w:val="auto"/>
              </w:rPr>
            </w:pPr>
            <w:r>
              <w:rPr>
                <w:rFonts w:ascii="Arial" w:cs="Arial" w:eastAsia="Arial" w:hAnsi="Arial"/>
                <w:sz w:val="18"/>
                <w:szCs w:val="18"/>
                <w:color w:val="auto"/>
              </w:rPr>
              <w:t>1.5%</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3,727</w:t>
            </w:r>
          </w:p>
        </w:tc>
        <w:tc>
          <w:tcPr>
            <w:tcW w:w="360" w:type="dxa"/>
            <w:vAlign w:val="bottom"/>
          </w:tcPr>
          <w:p>
            <w:pPr>
              <w:spacing w:after="0"/>
              <w:rPr>
                <w:sz w:val="19"/>
                <w:szCs w:val="19"/>
                <w:color w:val="auto"/>
              </w:rPr>
            </w:pP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0"/>
        </w:trPr>
        <w:tc>
          <w:tcPr>
            <w:tcW w:w="70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right="160"/>
        <w:spacing w:after="0" w:line="255" w:lineRule="auto"/>
        <w:rPr>
          <w:sz w:val="20"/>
          <w:szCs w:val="20"/>
          <w:color w:val="auto"/>
        </w:rPr>
      </w:pPr>
      <w:r>
        <w:rPr>
          <w:rFonts w:ascii="Arial" w:cs="Arial" w:eastAsia="Arial" w:hAnsi="Arial"/>
          <w:sz w:val="18"/>
          <w:szCs w:val="18"/>
          <w:color w:val="auto"/>
        </w:rPr>
        <w:t>On a consolidated basis, we reported net sales for 2005 of $335,207, an increase of $19,553 or 6.2% from sales levels attained in fiscal 2004. This increase was partially due to a $32,514 increase in wholesale shipments to our BFDs, partially offset by $21,215 of attrition in wholesale shipments to traditional stores and other channels. Also our retail sales increased $21,586, primarily due to the acquisitions of 15 BFD stores in Dallas, Atlanta and upstate New York during 2005. The Dallas BFDs became Company-owned at the end of our second quarter, and the Atlanta and upstate New York stores became Company-owned late in our third quarter.</w:t>
      </w:r>
    </w:p>
    <w:p>
      <w:pPr>
        <w:spacing w:after="0" w:line="143"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Our BFD Store program has migrated toward more upscale and stylish product, coupled with design assistance, in-home selling, a high degree of customization, and quick delivery. This combination of features has attracted a solid backlog of potential dealers to our program. In 2005, our licensees opened 18 new BFDs and we opened one new Company-owned store for a total of 19 new stores. We terminated licenses with five BFD stores in 2005, due to dealers choosing to pursue selling strategies inconsistent with our BFD program. This resulted in a 14 store net increase in our BFD network for 2005. There were 130 stores in operation at November 26, 2005, 27 of which we own and consolidate. New licensee candidates continue to be required to meet rigorous financial and operational requirements before being approved as licensees.</w:t>
      </w:r>
    </w:p>
    <w:p>
      <w:pPr>
        <w:spacing w:after="0" w:line="144"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color w:val="auto"/>
        </w:rPr>
        <w:t>Gross margin increased in 2005 largely due to the inclusion of more retail stores during 2005 and an increased sales mix of imported product. Our retail segment typically has both higher gross margins and higher SG&amp;A expenses than our wholesale operations, therefore with our 2005 retail sales being a larger percentage of our total sales, our blended margins are higher. Improved retail acceptance of both wood and upholstery imported products also favorably impacted our margins in 2005. Additionally, 2005 margins were positively impacted by lower domestic wood inventory levels which led to reductions in accompanying LIFO inventory reserves.</w:t>
      </w:r>
    </w:p>
    <w:p>
      <w:pPr>
        <w:spacing w:after="0" w:line="143"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SG&amp;A expenses in 2005 increased by $14,125 from 2004 to $91,270. As a percentage of sales, SG&amp;A increased 2.8 points from 24.4% in 2004 to 27.2% in 2005. Approximately $9,600 of this increase is due to the BFDs acquired in 2005. This increase in SG&amp;A as a percentage of net sales was anticipated and is expected to increase in 2006 as we will consolidate a complete year of the Dallas, Atlanta and upstate New York retail operations. In addition to increased SG&amp;A due to more Company-owned BFDs, wholesale SG&amp;A increased to support marketing programs targeted to new product introductions, consumer research and building our brand.</w:t>
      </w:r>
    </w:p>
    <w:p>
      <w:pPr>
        <w:spacing w:after="0" w:line="143" w:lineRule="exact"/>
        <w:rPr>
          <w:sz w:val="20"/>
          <w:szCs w:val="20"/>
          <w:color w:val="auto"/>
        </w:rPr>
      </w:pPr>
    </w:p>
    <w:p>
      <w:pPr>
        <w:spacing w:after="0" w:line="294" w:lineRule="auto"/>
        <w:rPr>
          <w:sz w:val="20"/>
          <w:szCs w:val="20"/>
          <w:color w:val="auto"/>
        </w:rPr>
      </w:pPr>
      <w:r>
        <w:rPr>
          <w:rFonts w:ascii="Arial" w:cs="Arial" w:eastAsia="Arial" w:hAnsi="Arial"/>
          <w:sz w:val="16"/>
          <w:szCs w:val="16"/>
          <w:color w:val="auto"/>
        </w:rPr>
        <w:t>At the end of the second quarter of 2005, we acquired a 76% ownership interest in BFD-Dallas, an eight store operation in the greater Dallas, Texas metropolitan area. We accounted for this transaction using the purchase method of accounting. During the third quarter of 2005, we consummated two transactions to acquire seven BFD stores. At the beginning of August, we acquired assets of a licensed three store BFD operation in upstate New York (“BFD-UNY”). At the end of August, we acquired an additional 36% ownership interest in BFD-Atlanta, a four store operation in Atlanta, Ga., bringing our total ownership percentage to 66%. We accounted for these transactions using the purchase method of accounting. See Note 15 for a further discussion of these transactions.</w:t>
      </w:r>
    </w:p>
    <w:p>
      <w:pPr>
        <w:spacing w:after="0" w:line="1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- 8</w:t>
      </w:r>
    </w:p>
    <w:p>
      <w:pPr>
        <w:sectPr>
          <w:pgSz w:w="11900" w:h="16838" w:orient="portrait"/>
          <w:cols w:equalWidth="0" w:num="1">
            <w:col w:w="11420"/>
          </w:cols>
          <w:pgMar w:left="240" w:top="459" w:right="23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840"/>
        <w:spacing w:after="0" w:line="262" w:lineRule="auto"/>
        <w:rPr>
          <w:sz w:val="20"/>
          <w:szCs w:val="20"/>
          <w:color w:val="auto"/>
        </w:rPr>
      </w:pPr>
      <w:r>
        <w:rPr>
          <w:rFonts w:ascii="Arial" w:cs="Arial" w:eastAsia="Arial" w:hAnsi="Arial"/>
          <w:sz w:val="18"/>
          <w:szCs w:val="18"/>
          <w:b w:val="1"/>
          <w:bCs w:val="1"/>
          <w:color w:val="auto"/>
        </w:rPr>
        <w:t xml:space="preserve">Management’s Discussion and Analysis of Financial Condition and Results of Operations - </w:t>
      </w:r>
      <w:r>
        <w:rPr>
          <w:rFonts w:ascii="Arial" w:cs="Arial" w:eastAsia="Arial" w:hAnsi="Arial"/>
          <w:sz w:val="18"/>
          <w:szCs w:val="18"/>
          <w:color w:val="auto"/>
        </w:rPr>
        <w:t>Continued</w:t>
      </w:r>
      <w:r>
        <w:rPr>
          <w:rFonts w:ascii="Arial" w:cs="Arial" w:eastAsia="Arial" w:hAnsi="Arial"/>
          <w:sz w:val="18"/>
          <w:szCs w:val="18"/>
          <w:b w:val="1"/>
          <w:bCs w:val="1"/>
          <w:color w:val="auto"/>
        </w:rPr>
        <w:t xml:space="preserve"> </w:t>
      </w:r>
      <w:r>
        <w:rPr>
          <w:rFonts w:ascii="Arial" w:cs="Arial" w:eastAsia="Arial" w:hAnsi="Arial"/>
          <w:sz w:val="18"/>
          <w:szCs w:val="18"/>
          <w:color w:val="auto"/>
        </w:rPr>
        <w:t>Bassett Furniture Industries, Incorporated and Subsidiaries (dollars in thousands except share and per share data)</w:t>
      </w:r>
    </w:p>
    <w:p>
      <w:pPr>
        <w:spacing w:after="0" w:line="138"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In the fourth quarter of 2005, we made the decision to cease operations at our wood manufacturing facility in Mt. Airy, N.C., and move production of certain products from the Mt. Airy facility to our wood facility in Bassett, Va., with certain other products shifted to imports. Related to this action, we recorded $1,960 in restructuring charges in the fourth quarter of 2005, of which $920 represents an estimate of the impaired asset write-down of the facility. The remaining $1,040 represents severance and employee benefits for approximately 300 employees associated with the closure of the plant. See Note 14 to the Consolidated Financial Statements.</w:t>
      </w:r>
    </w:p>
    <w:p>
      <w:pPr>
        <w:spacing w:after="0" w:line="143" w:lineRule="exact"/>
        <w:rPr>
          <w:sz w:val="20"/>
          <w:szCs w:val="20"/>
          <w:color w:val="auto"/>
        </w:rPr>
      </w:pPr>
    </w:p>
    <w:p>
      <w:pPr>
        <w:ind w:right="260"/>
        <w:spacing w:after="0" w:line="268" w:lineRule="auto"/>
        <w:rPr>
          <w:sz w:val="20"/>
          <w:szCs w:val="20"/>
          <w:color w:val="auto"/>
        </w:rPr>
      </w:pPr>
      <w:r>
        <w:rPr>
          <w:rFonts w:ascii="Arial" w:cs="Arial" w:eastAsia="Arial" w:hAnsi="Arial"/>
          <w:sz w:val="18"/>
          <w:szCs w:val="18"/>
          <w:color w:val="auto"/>
        </w:rPr>
        <w:t>The effective income tax provision rate was 25.7% in 2005 and 24.3% in 2004. The income tax provision rate in 2005 and 2004 was lower than statutory rates primarily due to exclusions for tax-exempt income and dividends received from our investment in the IHFC.</w:t>
      </w:r>
    </w:p>
    <w:p>
      <w:pPr>
        <w:spacing w:after="0" w:line="132" w:lineRule="exact"/>
        <w:rPr>
          <w:sz w:val="20"/>
          <w:szCs w:val="20"/>
          <w:color w:val="auto"/>
        </w:rPr>
      </w:pPr>
    </w:p>
    <w:p>
      <w:pPr>
        <w:ind w:right="340"/>
        <w:spacing w:after="0" w:line="268" w:lineRule="auto"/>
        <w:rPr>
          <w:sz w:val="20"/>
          <w:szCs w:val="20"/>
          <w:color w:val="auto"/>
        </w:rPr>
      </w:pPr>
      <w:r>
        <w:rPr>
          <w:rFonts w:ascii="Arial" w:cs="Arial" w:eastAsia="Arial" w:hAnsi="Arial"/>
          <w:sz w:val="18"/>
          <w:szCs w:val="18"/>
          <w:color w:val="auto"/>
        </w:rPr>
        <w:t>Net income for the year ended November 26, 2005, was $9,814 or $0.82 per diluted share. Net income for the year ended November 27, 2004, was $8,209 or $0.69 per diluted share.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Segment Information</w:t>
      </w:r>
    </w:p>
    <w:p>
      <w:pPr>
        <w:spacing w:after="0" w:line="96" w:lineRule="exact"/>
        <w:rPr>
          <w:sz w:val="20"/>
          <w:szCs w:val="20"/>
          <w:color w:val="auto"/>
        </w:rPr>
      </w:pPr>
    </w:p>
    <w:p>
      <w:pPr>
        <w:spacing w:after="0" w:line="308" w:lineRule="auto"/>
        <w:rPr>
          <w:sz w:val="20"/>
          <w:szCs w:val="20"/>
          <w:color w:val="auto"/>
        </w:rPr>
      </w:pPr>
      <w:r>
        <w:rPr>
          <w:rFonts w:ascii="Arial" w:cs="Arial" w:eastAsia="Arial" w:hAnsi="Arial"/>
          <w:sz w:val="15"/>
          <w:szCs w:val="15"/>
          <w:color w:val="auto"/>
        </w:rPr>
        <w:t>We have strategically aligned our business into three reportable segments: Wholesale, Retail and Investments/Real Estate. The wholesale home furnishings segment is involved principally in the design, manufacture, sourcing, sale and distribution of furniture products to a network of BFD stores (independently-owned stores, Company-owned retail stores and partnership licensees) and independent furniture retailers. Our wholesale segment includes our wood and upholstery operations as well as all corporate selling, general and administrative expenses. During the second quarter of 2006, we sold our contemporary furniture business (Weiman), which was previously included in this segment. Our retail segment consists of Company-owned BFD stores. Our retail segment includes the revenues, expenses, assets and liabilities (including real estate) and capital expenditures directly related to these stores. Our investments/real estate segment consists of our investments (Alternative Asset Fund and marketable securities), distributions in excess of affiliate earnings (IHFC) and retail real estate related to licensee BFD stores. Although this segment does not have operating earnings, income from the segment is included in income from investments in our condensed consolidated statements of income and retained earnings. Our equity investment in IHFC is not included in the identifiable assets of this segment since it has a negative book value and is therefore included in the long-term liabilities section of our condensed consolidated balance sheet. See Note 9 for a further discussion of IHFC.</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Wholesale Segment</w:t>
      </w:r>
    </w:p>
    <w:p>
      <w:pPr>
        <w:spacing w:after="0" w:line="79"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5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00" w:type="dxa"/>
            <w:vAlign w:val="bottom"/>
            <w:gridSpan w:val="4"/>
          </w:tcPr>
          <w:p>
            <w:pPr>
              <w:jc w:val="right"/>
              <w:ind w:right="600"/>
              <w:spacing w:after="0"/>
              <w:rPr>
                <w:sz w:val="20"/>
                <w:szCs w:val="20"/>
                <w:color w:val="auto"/>
              </w:rPr>
            </w:pPr>
            <w:r>
              <w:rPr>
                <w:rFonts w:ascii="Arial" w:cs="Arial" w:eastAsia="Arial" w:hAnsi="Arial"/>
                <w:sz w:val="14"/>
                <w:szCs w:val="14"/>
                <w:b w:val="1"/>
                <w:bCs w:val="1"/>
                <w:color w:val="auto"/>
              </w:rPr>
              <w:t>As restated</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560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4"/>
                <w:szCs w:val="14"/>
                <w:b w:val="1"/>
                <w:bCs w:val="1"/>
                <w:color w:val="auto"/>
              </w:rPr>
              <w:t>2006</w:t>
            </w:r>
          </w:p>
        </w:tc>
        <w:tc>
          <w:tcPr>
            <w:tcW w:w="400" w:type="dxa"/>
            <w:vAlign w:val="bottom"/>
            <w:tcBorders>
              <w:bottom w:val="single" w:sz="8" w:color="auto"/>
            </w:tcBorders>
          </w:tcPr>
          <w:p>
            <w:pPr>
              <w:spacing w:after="0"/>
              <w:rPr>
                <w:sz w:val="15"/>
                <w:szCs w:val="15"/>
                <w:color w:val="auto"/>
              </w:rPr>
            </w:pP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gridSpan w:val="2"/>
          </w:tcPr>
          <w:p>
            <w:pPr>
              <w:jc w:val="right"/>
              <w:ind w:right="120"/>
              <w:spacing w:after="0"/>
              <w:rPr>
                <w:sz w:val="20"/>
                <w:szCs w:val="20"/>
                <w:color w:val="auto"/>
              </w:rPr>
            </w:pPr>
            <w:r>
              <w:rPr>
                <w:rFonts w:ascii="Arial" w:cs="Arial" w:eastAsia="Arial" w:hAnsi="Arial"/>
                <w:sz w:val="14"/>
                <w:szCs w:val="14"/>
                <w:b w:val="1"/>
                <w:bCs w:val="1"/>
                <w:color w:val="auto"/>
              </w:rPr>
              <w:t>2005</w:t>
            </w:r>
          </w:p>
        </w:tc>
        <w:tc>
          <w:tcPr>
            <w:tcW w:w="420" w:type="dxa"/>
            <w:vAlign w:val="bottom"/>
            <w:tcBorders>
              <w:bottom w:val="single" w:sz="8" w:color="auto"/>
            </w:tcBorders>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gridSpan w:val="2"/>
          </w:tcPr>
          <w:p>
            <w:pPr>
              <w:jc w:val="right"/>
              <w:ind w:right="120"/>
              <w:spacing w:after="0"/>
              <w:rPr>
                <w:sz w:val="20"/>
                <w:szCs w:val="20"/>
                <w:color w:val="auto"/>
              </w:rPr>
            </w:pPr>
            <w:r>
              <w:rPr>
                <w:rFonts w:ascii="Arial" w:cs="Arial" w:eastAsia="Arial" w:hAnsi="Arial"/>
                <w:sz w:val="14"/>
                <w:szCs w:val="14"/>
                <w:b w:val="1"/>
                <w:bCs w:val="1"/>
                <w:color w:val="auto"/>
              </w:rPr>
              <w:t>2004</w:t>
            </w:r>
          </w:p>
        </w:tc>
        <w:tc>
          <w:tcPr>
            <w:tcW w:w="42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560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284,803</w:t>
            </w:r>
          </w:p>
        </w:tc>
        <w:tc>
          <w:tcPr>
            <w:tcW w:w="26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100.0%</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6"/>
              </w:rPr>
              <w:t>301,250</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100.0%</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6"/>
              </w:rPr>
              <w:t>289,953</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8"/>
              </w:rPr>
              <w:t>100.0%</w:t>
            </w:r>
          </w:p>
        </w:tc>
        <w:tc>
          <w:tcPr>
            <w:tcW w:w="0" w:type="dxa"/>
            <w:vAlign w:val="bottom"/>
          </w:tcPr>
          <w:p>
            <w:pPr>
              <w:spacing w:after="0"/>
              <w:rPr>
                <w:sz w:val="1"/>
                <w:szCs w:val="1"/>
                <w:color w:val="auto"/>
              </w:rPr>
            </w:pPr>
          </w:p>
        </w:tc>
      </w:tr>
      <w:tr>
        <w:trPr>
          <w:trHeight w:val="20"/>
        </w:trPr>
        <w:tc>
          <w:tcPr>
            <w:tcW w:w="5600" w:type="dxa"/>
            <w:vAlign w:val="bottom"/>
            <w:vMerge w:val="restart"/>
          </w:tcPr>
          <w:p>
            <w:pPr>
              <w:spacing w:after="0"/>
              <w:rPr>
                <w:sz w:val="20"/>
                <w:szCs w:val="20"/>
                <w:color w:val="auto"/>
              </w:rPr>
            </w:pPr>
            <w:r>
              <w:rPr>
                <w:rFonts w:ascii="Arial" w:cs="Arial" w:eastAsia="Arial" w:hAnsi="Arial"/>
                <w:sz w:val="18"/>
                <w:szCs w:val="18"/>
                <w:color w:val="auto"/>
              </w:rPr>
              <w:t>Gross profit</w:t>
            </w: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560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68,374</w:t>
            </w:r>
          </w:p>
        </w:tc>
        <w:tc>
          <w:tcPr>
            <w:tcW w:w="260" w:type="dxa"/>
            <w:vAlign w:val="bottom"/>
          </w:tcPr>
          <w:p>
            <w:pPr>
              <w:spacing w:after="0"/>
              <w:rPr>
                <w:sz w:val="19"/>
                <w:szCs w:val="19"/>
                <w:color w:val="auto"/>
              </w:rPr>
            </w:pPr>
          </w:p>
        </w:tc>
        <w:tc>
          <w:tcPr>
            <w:tcW w:w="660" w:type="dxa"/>
            <w:vAlign w:val="bottom"/>
            <w:gridSpan w:val="2"/>
          </w:tcPr>
          <w:p>
            <w:pPr>
              <w:jc w:val="right"/>
              <w:ind w:right="260"/>
              <w:spacing w:after="0"/>
              <w:rPr>
                <w:sz w:val="20"/>
                <w:szCs w:val="20"/>
                <w:color w:val="auto"/>
              </w:rPr>
            </w:pPr>
            <w:r>
              <w:rPr>
                <w:rFonts w:ascii="Arial" w:cs="Arial" w:eastAsia="Arial" w:hAnsi="Arial"/>
                <w:sz w:val="18"/>
                <w:szCs w:val="18"/>
                <w:color w:val="auto"/>
              </w:rPr>
              <w:t>24.0</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rPr>
              <w:t>68,646</w:t>
            </w:r>
          </w:p>
        </w:tc>
        <w:tc>
          <w:tcPr>
            <w:tcW w:w="660" w:type="dxa"/>
            <w:vAlign w:val="bottom"/>
            <w:gridSpan w:val="2"/>
          </w:tcPr>
          <w:p>
            <w:pPr>
              <w:jc w:val="right"/>
              <w:ind w:right="240"/>
              <w:spacing w:after="0"/>
              <w:rPr>
                <w:sz w:val="20"/>
                <w:szCs w:val="20"/>
                <w:color w:val="auto"/>
              </w:rPr>
            </w:pPr>
            <w:r>
              <w:rPr>
                <w:rFonts w:ascii="Arial" w:cs="Arial" w:eastAsia="Arial" w:hAnsi="Arial"/>
                <w:sz w:val="18"/>
                <w:szCs w:val="18"/>
                <w:color w:val="auto"/>
              </w:rPr>
              <w:t>22.8</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rPr>
              <w:t>58,447</w:t>
            </w:r>
          </w:p>
        </w:tc>
        <w:tc>
          <w:tcPr>
            <w:tcW w:w="420" w:type="dxa"/>
            <w:vAlign w:val="bottom"/>
          </w:tcPr>
          <w:p>
            <w:pPr>
              <w:jc w:val="right"/>
              <w:spacing w:after="0"/>
              <w:rPr>
                <w:sz w:val="20"/>
                <w:szCs w:val="20"/>
                <w:color w:val="auto"/>
              </w:rPr>
            </w:pPr>
            <w:r>
              <w:rPr>
                <w:rFonts w:ascii="Arial" w:cs="Arial" w:eastAsia="Arial" w:hAnsi="Arial"/>
                <w:sz w:val="18"/>
                <w:szCs w:val="18"/>
                <w:color w:val="auto"/>
              </w:rPr>
              <w:t>20.2</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5600" w:type="dxa"/>
            <w:vAlign w:val="bottom"/>
            <w:shd w:val="clear" w:color="auto" w:fill="CCEEFF"/>
          </w:tcPr>
          <w:p>
            <w:pPr>
              <w:spacing w:after="0"/>
              <w:rPr>
                <w:sz w:val="20"/>
                <w:szCs w:val="20"/>
                <w:color w:val="auto"/>
              </w:rPr>
            </w:pPr>
            <w:r>
              <w:rPr>
                <w:rFonts w:ascii="Arial" w:cs="Arial" w:eastAsia="Arial" w:hAnsi="Arial"/>
                <w:sz w:val="18"/>
                <w:szCs w:val="18"/>
                <w:color w:val="auto"/>
              </w:rPr>
              <w:t>SG&amp;A</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2"/>
              </w:rPr>
              <w:t>(56,278)</w:t>
            </w:r>
          </w:p>
        </w:tc>
        <w:tc>
          <w:tcPr>
            <w:tcW w:w="6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2"/>
              </w:rPr>
              <w:t>-19.8</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2"/>
              </w:rPr>
              <w:t>(59,099)</w:t>
            </w:r>
          </w:p>
        </w:tc>
        <w:tc>
          <w:tcPr>
            <w:tcW w:w="6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7"/>
              </w:rPr>
              <w:t>-19.6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2"/>
              </w:rPr>
              <w:t>(54,744)</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-18.9</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600" w:type="dxa"/>
            <w:vAlign w:val="bottom"/>
            <w:vMerge w:val="restart"/>
          </w:tcPr>
          <w:p>
            <w:pPr>
              <w:spacing w:after="0"/>
              <w:rPr>
                <w:sz w:val="20"/>
                <w:szCs w:val="20"/>
                <w:color w:val="auto"/>
              </w:rPr>
            </w:pPr>
            <w:r>
              <w:rPr>
                <w:rFonts w:ascii="Arial" w:cs="Arial" w:eastAsia="Arial" w:hAnsi="Arial"/>
                <w:sz w:val="18"/>
                <w:szCs w:val="18"/>
                <w:color w:val="auto"/>
              </w:rPr>
              <w:t>Operating Earnings</w:t>
            </w: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5600" w:type="dxa"/>
            <w:vAlign w:val="bottom"/>
            <w:vMerge w:val="continue"/>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12,096</w:t>
            </w:r>
          </w:p>
        </w:tc>
        <w:tc>
          <w:tcPr>
            <w:tcW w:w="260" w:type="dxa"/>
            <w:vAlign w:val="bottom"/>
          </w:tcPr>
          <w:p>
            <w:pPr>
              <w:spacing w:after="0"/>
              <w:rPr>
                <w:sz w:val="19"/>
                <w:szCs w:val="19"/>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4.2%</w:t>
            </w:r>
          </w:p>
        </w:tc>
        <w:tc>
          <w:tcPr>
            <w:tcW w:w="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rPr>
              <w:t>9,547</w:t>
            </w: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3.2%</w:t>
            </w:r>
          </w:p>
        </w:tc>
        <w:tc>
          <w:tcPr>
            <w:tcW w:w="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rPr>
              <w:t>3,703</w:t>
            </w: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0"/>
        </w:trPr>
        <w:tc>
          <w:tcPr>
            <w:tcW w:w="56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right="120"/>
        <w:spacing w:after="0" w:line="294" w:lineRule="auto"/>
        <w:rPr>
          <w:sz w:val="20"/>
          <w:szCs w:val="20"/>
          <w:color w:val="auto"/>
        </w:rPr>
      </w:pPr>
      <w:r>
        <w:rPr>
          <w:rFonts w:ascii="Arial" w:cs="Arial" w:eastAsia="Arial" w:hAnsi="Arial"/>
          <w:sz w:val="16"/>
          <w:szCs w:val="16"/>
          <w:color w:val="auto"/>
        </w:rPr>
        <w:t>Our wholesale segment had net sales of $284,803, which represents a decrease of $16,447, or 5.5% from sales levels attained in fiscal 2005. This decrease was primarily due to expected attrition totaling approximately $8,500 in sales to regional furniture chains, independent furniture retailers and other non-BFD customers. Additionally, we experienced an approximate $3,800 reduction in sales due to the sale of our Weiman division in the second quarter of 2006. Sales to BFDs decreased approximately $3,700 due to overall retail conditions. In 2006, 72% of wholesale shipments were made to BFDs compared to 68% in 2005. In 2007, we expect retail conditions to continue to be challenging and the Company’s percentage of BFD sales to be in the range of 72-75%.</w:t>
      </w:r>
    </w:p>
    <w:p>
      <w:pPr>
        <w:spacing w:after="0" w:line="116" w:lineRule="exact"/>
        <w:rPr>
          <w:sz w:val="20"/>
          <w:szCs w:val="20"/>
          <w:color w:val="auto"/>
        </w:rPr>
      </w:pPr>
    </w:p>
    <w:p>
      <w:pPr>
        <w:ind w:right="20"/>
        <w:spacing w:after="0" w:line="306" w:lineRule="auto"/>
        <w:rPr>
          <w:sz w:val="20"/>
          <w:szCs w:val="20"/>
          <w:color w:val="auto"/>
        </w:rPr>
      </w:pPr>
      <w:r>
        <w:rPr>
          <w:rFonts w:ascii="Arial" w:cs="Arial" w:eastAsia="Arial" w:hAnsi="Arial"/>
          <w:sz w:val="16"/>
          <w:szCs w:val="16"/>
          <w:color w:val="auto"/>
        </w:rPr>
        <w:t>Over the past three years, our wholesale segment has closed three wood plants and one upholstery plant. At the end of 2006, four plants were in operation; one large wood manufacturing plant in Bassett, Va., one small wood assembly plant in Martinsville, Va., one fiberboard supply facility in Virginia, and one upholstery facility in North Carolina. We believe our manufacturing capacity is better aligned with our BFD business and current demand.</w:t>
      </w:r>
    </w:p>
    <w:p>
      <w:pPr>
        <w:spacing w:after="0" w:line="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- 9</w:t>
      </w:r>
    </w:p>
    <w:p>
      <w:pPr>
        <w:sectPr>
          <w:pgSz w:w="11900" w:h="16838" w:orient="portrait"/>
          <w:cols w:equalWidth="0" w:num="1">
            <w:col w:w="11400"/>
          </w:cols>
          <w:pgMar w:left="240" w:top="459" w:right="25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840"/>
        <w:spacing w:after="0" w:line="262" w:lineRule="auto"/>
        <w:rPr>
          <w:sz w:val="20"/>
          <w:szCs w:val="20"/>
          <w:color w:val="auto"/>
        </w:rPr>
      </w:pPr>
      <w:r>
        <w:rPr>
          <w:rFonts w:ascii="Arial" w:cs="Arial" w:eastAsia="Arial" w:hAnsi="Arial"/>
          <w:sz w:val="18"/>
          <w:szCs w:val="18"/>
          <w:b w:val="1"/>
          <w:bCs w:val="1"/>
          <w:color w:val="auto"/>
        </w:rPr>
        <w:t xml:space="preserve">Management’s Discussion and Analysis of Financial Condition and Results of Operations - </w:t>
      </w:r>
      <w:r>
        <w:rPr>
          <w:rFonts w:ascii="Arial" w:cs="Arial" w:eastAsia="Arial" w:hAnsi="Arial"/>
          <w:sz w:val="18"/>
          <w:szCs w:val="18"/>
          <w:color w:val="auto"/>
        </w:rPr>
        <w:t>Continued</w:t>
      </w:r>
      <w:r>
        <w:rPr>
          <w:rFonts w:ascii="Arial" w:cs="Arial" w:eastAsia="Arial" w:hAnsi="Arial"/>
          <w:sz w:val="18"/>
          <w:szCs w:val="18"/>
          <w:b w:val="1"/>
          <w:bCs w:val="1"/>
          <w:color w:val="auto"/>
        </w:rPr>
        <w:t xml:space="preserve"> </w:t>
      </w:r>
      <w:r>
        <w:rPr>
          <w:rFonts w:ascii="Arial" w:cs="Arial" w:eastAsia="Arial" w:hAnsi="Arial"/>
          <w:sz w:val="18"/>
          <w:szCs w:val="18"/>
          <w:color w:val="auto"/>
        </w:rPr>
        <w:t>Bassett Furniture Industries, Incorporated and Subsidiaries (dollars in thousands except share and per share data)</w:t>
      </w:r>
    </w:p>
    <w:p>
      <w:pPr>
        <w:spacing w:after="0" w:line="17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5800" w:type="dxa"/>
            <w:vAlign w:val="bottom"/>
          </w:tcPr>
          <w:p>
            <w:pPr>
              <w:spacing w:after="0"/>
              <w:rPr>
                <w:sz w:val="20"/>
                <w:szCs w:val="20"/>
                <w:color w:val="auto"/>
              </w:rPr>
            </w:pPr>
            <w:r>
              <w:rPr>
                <w:rFonts w:ascii="Arial" w:cs="Arial" w:eastAsia="Arial" w:hAnsi="Arial"/>
                <w:sz w:val="14"/>
                <w:szCs w:val="14"/>
                <w:b w:val="1"/>
                <w:bCs w:val="1"/>
                <w:color w:val="auto"/>
              </w:rPr>
              <w:t>Wholesale shipments</w:t>
            </w:r>
          </w:p>
        </w:tc>
        <w:tc>
          <w:tcPr>
            <w:tcW w:w="880" w:type="dxa"/>
            <w:vAlign w:val="bottom"/>
            <w:tcBorders>
              <w:bottom w:val="single" w:sz="8" w:color="auto"/>
            </w:tcBorders>
            <w:gridSpan w:val="2"/>
          </w:tcPr>
          <w:p>
            <w:pPr>
              <w:jc w:val="right"/>
              <w:ind w:right="100"/>
              <w:spacing w:after="0"/>
              <w:rPr>
                <w:sz w:val="20"/>
                <w:szCs w:val="20"/>
                <w:color w:val="auto"/>
              </w:rPr>
            </w:pPr>
            <w:r>
              <w:rPr>
                <w:rFonts w:ascii="Arial" w:cs="Arial" w:eastAsia="Arial" w:hAnsi="Arial"/>
                <w:sz w:val="14"/>
                <w:szCs w:val="14"/>
                <w:b w:val="1"/>
                <w:bCs w:val="1"/>
                <w:color w:val="auto"/>
              </w:rPr>
              <w:t>2006</w:t>
            </w:r>
          </w:p>
        </w:tc>
        <w:tc>
          <w:tcPr>
            <w:tcW w:w="40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tcBorders>
              <w:bottom w:val="single" w:sz="8" w:color="auto"/>
            </w:tcBorders>
            <w:gridSpan w:val="2"/>
          </w:tcPr>
          <w:p>
            <w:pPr>
              <w:jc w:val="right"/>
              <w:ind w:right="100"/>
              <w:spacing w:after="0"/>
              <w:rPr>
                <w:sz w:val="20"/>
                <w:szCs w:val="20"/>
                <w:color w:val="auto"/>
              </w:rPr>
            </w:pPr>
            <w:r>
              <w:rPr>
                <w:rFonts w:ascii="Arial" w:cs="Arial" w:eastAsia="Arial" w:hAnsi="Arial"/>
                <w:sz w:val="14"/>
                <w:szCs w:val="14"/>
                <w:b w:val="1"/>
                <w:bCs w:val="1"/>
                <w:color w:val="auto"/>
              </w:rPr>
              <w:t>2005</w:t>
            </w:r>
          </w:p>
        </w:tc>
        <w:tc>
          <w:tcPr>
            <w:tcW w:w="400" w:type="dxa"/>
            <w:vAlign w:val="bottom"/>
            <w:tcBorders>
              <w:bottom w:val="single" w:sz="8" w:color="auto"/>
            </w:tcBorders>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tcBorders>
              <w:bottom w:val="single" w:sz="8" w:color="auto"/>
            </w:tcBorders>
            <w:gridSpan w:val="2"/>
          </w:tcPr>
          <w:p>
            <w:pPr>
              <w:jc w:val="right"/>
              <w:ind w:right="100"/>
              <w:spacing w:after="0"/>
              <w:rPr>
                <w:sz w:val="20"/>
                <w:szCs w:val="20"/>
                <w:color w:val="auto"/>
              </w:rPr>
            </w:pPr>
            <w:r>
              <w:rPr>
                <w:rFonts w:ascii="Arial" w:cs="Arial" w:eastAsia="Arial" w:hAnsi="Arial"/>
                <w:sz w:val="14"/>
                <w:szCs w:val="14"/>
                <w:b w:val="1"/>
                <w:bCs w:val="1"/>
                <w:color w:val="auto"/>
              </w:rPr>
              <w:t>2004</w:t>
            </w:r>
          </w:p>
        </w:tc>
        <w:tc>
          <w:tcPr>
            <w:tcW w:w="42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800" w:type="dxa"/>
            <w:vAlign w:val="bottom"/>
            <w:shd w:val="clear" w:color="auto" w:fill="CCEEFF"/>
          </w:tcPr>
          <w:p>
            <w:pPr>
              <w:spacing w:after="0"/>
              <w:rPr>
                <w:sz w:val="20"/>
                <w:szCs w:val="20"/>
                <w:color w:val="auto"/>
              </w:rPr>
            </w:pPr>
            <w:r>
              <w:rPr>
                <w:rFonts w:ascii="Arial" w:cs="Arial" w:eastAsia="Arial" w:hAnsi="Arial"/>
                <w:sz w:val="18"/>
                <w:szCs w:val="18"/>
                <w:color w:val="auto"/>
              </w:rPr>
              <w:t>Wood</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$164,030</w:t>
            </w:r>
          </w:p>
        </w:tc>
        <w:tc>
          <w:tcPr>
            <w:tcW w:w="2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57.6%</w:t>
            </w:r>
          </w:p>
        </w:tc>
        <w:tc>
          <w:tcPr>
            <w:tcW w:w="98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$179,786</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59.7%</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$177,784</w:t>
            </w:r>
          </w:p>
        </w:tc>
        <w:tc>
          <w:tcPr>
            <w:tcW w:w="2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61.3%</w:t>
            </w:r>
          </w:p>
        </w:tc>
        <w:tc>
          <w:tcPr>
            <w:tcW w:w="0" w:type="dxa"/>
            <w:vAlign w:val="bottom"/>
          </w:tcPr>
          <w:p>
            <w:pPr>
              <w:spacing w:after="0"/>
              <w:rPr>
                <w:sz w:val="1"/>
                <w:szCs w:val="1"/>
                <w:color w:val="auto"/>
              </w:rPr>
            </w:pPr>
          </w:p>
        </w:tc>
      </w:tr>
      <w:tr>
        <w:trPr>
          <w:trHeight w:val="216"/>
        </w:trPr>
        <w:tc>
          <w:tcPr>
            <w:tcW w:w="5800" w:type="dxa"/>
            <w:vAlign w:val="bottom"/>
          </w:tcPr>
          <w:p>
            <w:pPr>
              <w:spacing w:after="0"/>
              <w:rPr>
                <w:sz w:val="20"/>
                <w:szCs w:val="20"/>
                <w:color w:val="auto"/>
              </w:rPr>
            </w:pPr>
            <w:r>
              <w:rPr>
                <w:rFonts w:ascii="Arial" w:cs="Arial" w:eastAsia="Arial" w:hAnsi="Arial"/>
                <w:sz w:val="18"/>
                <w:szCs w:val="18"/>
                <w:color w:val="auto"/>
              </w:rPr>
              <w:t>Upholstery</w:t>
            </w:r>
          </w:p>
        </w:tc>
        <w:tc>
          <w:tcPr>
            <w:tcW w:w="680" w:type="dxa"/>
            <w:vAlign w:val="bottom"/>
          </w:tcPr>
          <w:p>
            <w:pPr>
              <w:jc w:val="right"/>
              <w:spacing w:after="0"/>
              <w:rPr>
                <w:sz w:val="20"/>
                <w:szCs w:val="20"/>
                <w:color w:val="auto"/>
              </w:rPr>
            </w:pPr>
            <w:r>
              <w:rPr>
                <w:rFonts w:ascii="Arial" w:cs="Arial" w:eastAsia="Arial" w:hAnsi="Arial"/>
                <w:sz w:val="18"/>
                <w:szCs w:val="18"/>
                <w:color w:val="auto"/>
              </w:rPr>
              <w:t>117,668</w:t>
            </w:r>
          </w:p>
        </w:tc>
        <w:tc>
          <w:tcPr>
            <w:tcW w:w="200" w:type="dxa"/>
            <w:vAlign w:val="bottom"/>
          </w:tcPr>
          <w:p>
            <w:pPr>
              <w:spacing w:after="0"/>
              <w:rPr>
                <w:sz w:val="18"/>
                <w:szCs w:val="18"/>
                <w:color w:val="auto"/>
              </w:rPr>
            </w:pPr>
          </w:p>
        </w:tc>
        <w:tc>
          <w:tcPr>
            <w:tcW w:w="660" w:type="dxa"/>
            <w:vAlign w:val="bottom"/>
            <w:gridSpan w:val="2"/>
          </w:tcPr>
          <w:p>
            <w:pPr>
              <w:jc w:val="right"/>
              <w:ind w:right="260"/>
              <w:spacing w:after="0"/>
              <w:rPr>
                <w:sz w:val="20"/>
                <w:szCs w:val="20"/>
                <w:color w:val="auto"/>
              </w:rPr>
            </w:pPr>
            <w:r>
              <w:rPr>
                <w:rFonts w:ascii="Arial" w:cs="Arial" w:eastAsia="Arial" w:hAnsi="Arial"/>
                <w:sz w:val="18"/>
                <w:szCs w:val="18"/>
                <w:color w:val="auto"/>
              </w:rPr>
              <w:t>41.3</w:t>
            </w:r>
          </w:p>
        </w:tc>
        <w:tc>
          <w:tcPr>
            <w:tcW w:w="980" w:type="dxa"/>
            <w:vAlign w:val="bottom"/>
            <w:gridSpan w:val="3"/>
          </w:tcPr>
          <w:p>
            <w:pPr>
              <w:jc w:val="right"/>
              <w:ind w:right="200"/>
              <w:spacing w:after="0"/>
              <w:rPr>
                <w:sz w:val="20"/>
                <w:szCs w:val="20"/>
                <w:color w:val="auto"/>
              </w:rPr>
            </w:pPr>
            <w:r>
              <w:rPr>
                <w:rFonts w:ascii="Arial" w:cs="Arial" w:eastAsia="Arial" w:hAnsi="Arial"/>
                <w:sz w:val="18"/>
                <w:szCs w:val="18"/>
                <w:color w:val="auto"/>
              </w:rPr>
              <w:t>114,372</w:t>
            </w:r>
          </w:p>
        </w:tc>
        <w:tc>
          <w:tcPr>
            <w:tcW w:w="400" w:type="dxa"/>
            <w:vAlign w:val="bottom"/>
          </w:tcPr>
          <w:p>
            <w:pPr>
              <w:jc w:val="right"/>
              <w:spacing w:after="0"/>
              <w:rPr>
                <w:sz w:val="20"/>
                <w:szCs w:val="20"/>
                <w:color w:val="auto"/>
              </w:rPr>
            </w:pPr>
            <w:r>
              <w:rPr>
                <w:rFonts w:ascii="Arial" w:cs="Arial" w:eastAsia="Arial" w:hAnsi="Arial"/>
                <w:sz w:val="18"/>
                <w:szCs w:val="18"/>
                <w:color w:val="auto"/>
              </w:rPr>
              <w:t>38.0</w:t>
            </w:r>
          </w:p>
        </w:tc>
        <w:tc>
          <w:tcPr>
            <w:tcW w:w="240" w:type="dxa"/>
            <w:vAlign w:val="bottom"/>
          </w:tcPr>
          <w:p>
            <w:pPr>
              <w:spacing w:after="0"/>
              <w:rPr>
                <w:sz w:val="18"/>
                <w:szCs w:val="18"/>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103,478</w:t>
            </w:r>
          </w:p>
        </w:tc>
        <w:tc>
          <w:tcPr>
            <w:tcW w:w="20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35.7</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3,105</w:t>
            </w:r>
          </w:p>
        </w:tc>
        <w:tc>
          <w:tcPr>
            <w:tcW w:w="2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1.1</w:t>
            </w:r>
          </w:p>
        </w:tc>
        <w:tc>
          <w:tcPr>
            <w:tcW w:w="98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7,092</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2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8,691</w:t>
            </w: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800" w:type="dxa"/>
            <w:vAlign w:val="bottom"/>
            <w:vMerge w:val="restart"/>
          </w:tcPr>
          <w:p>
            <w:pPr>
              <w:spacing w:after="0"/>
              <w:rPr>
                <w:sz w:val="20"/>
                <w:szCs w:val="20"/>
                <w:color w:val="auto"/>
              </w:rPr>
            </w:pPr>
            <w:r>
              <w:rPr>
                <w:rFonts w:ascii="Arial" w:cs="Arial" w:eastAsia="Arial" w:hAnsi="Arial"/>
                <w:sz w:val="18"/>
                <w:szCs w:val="18"/>
                <w:color w:val="auto"/>
              </w:rPr>
              <w:t>Total</w:t>
            </w:r>
          </w:p>
        </w:tc>
        <w:tc>
          <w:tcPr>
            <w:tcW w:w="6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5800" w:type="dxa"/>
            <w:vAlign w:val="bottom"/>
            <w:vMerge w:val="continue"/>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284,803</w:t>
            </w:r>
          </w:p>
        </w:tc>
        <w:tc>
          <w:tcPr>
            <w:tcW w:w="200" w:type="dxa"/>
            <w:vAlign w:val="bottom"/>
          </w:tcPr>
          <w:p>
            <w:pPr>
              <w:spacing w:after="0"/>
              <w:rPr>
                <w:sz w:val="19"/>
                <w:szCs w:val="19"/>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100.0%</w:t>
            </w:r>
          </w:p>
        </w:tc>
        <w:tc>
          <w:tcPr>
            <w:tcW w:w="980" w:type="dxa"/>
            <w:vAlign w:val="bottom"/>
            <w:gridSpan w:val="3"/>
          </w:tcPr>
          <w:p>
            <w:pPr>
              <w:jc w:val="right"/>
              <w:ind w:right="20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301,250</w:t>
            </w: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w w:val="85"/>
              </w:rPr>
              <w:t>100.0%</w:t>
            </w:r>
          </w:p>
        </w:tc>
        <w:tc>
          <w:tcPr>
            <w:tcW w:w="78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289,953</w:t>
            </w:r>
          </w:p>
        </w:tc>
        <w:tc>
          <w:tcPr>
            <w:tcW w:w="200" w:type="dxa"/>
            <w:vAlign w:val="bottom"/>
          </w:tcPr>
          <w:p>
            <w:pPr>
              <w:spacing w:after="0"/>
              <w:rPr>
                <w:sz w:val="19"/>
                <w:szCs w:val="19"/>
                <w:color w:val="auto"/>
              </w:rPr>
            </w:pPr>
          </w:p>
        </w:tc>
        <w:tc>
          <w:tcPr>
            <w:tcW w:w="560" w:type="dxa"/>
            <w:vAlign w:val="bottom"/>
            <w:gridSpan w:val="2"/>
          </w:tcPr>
          <w:p>
            <w:pPr>
              <w:jc w:val="right"/>
              <w:spacing w:after="0"/>
              <w:rPr>
                <w:sz w:val="20"/>
                <w:szCs w:val="20"/>
                <w:color w:val="auto"/>
              </w:rPr>
            </w:pPr>
            <w:r>
              <w:rPr>
                <w:rFonts w:ascii="Arial" w:cs="Arial" w:eastAsia="Arial" w:hAnsi="Arial"/>
                <w:sz w:val="18"/>
                <w:szCs w:val="18"/>
                <w:color w:val="auto"/>
                <w:w w:val="88"/>
              </w:rPr>
              <w:t>100.0%</w:t>
            </w:r>
          </w:p>
        </w:tc>
        <w:tc>
          <w:tcPr>
            <w:tcW w:w="0" w:type="dxa"/>
            <w:vAlign w:val="bottom"/>
          </w:tcPr>
          <w:p>
            <w:pPr>
              <w:spacing w:after="0"/>
              <w:rPr>
                <w:sz w:val="1"/>
                <w:szCs w:val="1"/>
                <w:color w:val="auto"/>
              </w:rPr>
            </w:pPr>
          </w:p>
        </w:tc>
      </w:tr>
      <w:tr>
        <w:trPr>
          <w:trHeight w:val="20"/>
        </w:trPr>
        <w:tc>
          <w:tcPr>
            <w:tcW w:w="58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right="160"/>
        <w:spacing w:after="0" w:line="255" w:lineRule="auto"/>
        <w:rPr>
          <w:sz w:val="20"/>
          <w:szCs w:val="20"/>
          <w:color w:val="auto"/>
        </w:rPr>
      </w:pPr>
      <w:r>
        <w:rPr>
          <w:rFonts w:ascii="Arial" w:cs="Arial" w:eastAsia="Arial" w:hAnsi="Arial"/>
          <w:sz w:val="18"/>
          <w:szCs w:val="18"/>
          <w:color w:val="auto"/>
        </w:rPr>
        <w:t>Our wood operations experienced decreased shipments in 2006 as compared to 2005. This was primarily due to overall challenging furniture retail conditions, competitive pricing pressures especially in the bedroom category and a lower than expected market response to several of the new groups introduced by the Company in the last two years. Shipments of bedroom products decreased significantly during 2006 as compared to 2005 and account for a majority of the total wood shipment decrease. Partially offsetting this decrease were increases in shipments of our casual dining programs, occasional tables and home office/entertainment products.</w:t>
      </w:r>
    </w:p>
    <w:p>
      <w:pPr>
        <w:spacing w:after="0" w:line="143" w:lineRule="exact"/>
        <w:rPr>
          <w:sz w:val="20"/>
          <w:szCs w:val="20"/>
          <w:color w:val="auto"/>
        </w:rPr>
      </w:pPr>
    </w:p>
    <w:p>
      <w:pPr>
        <w:ind w:right="120"/>
        <w:spacing w:after="0" w:line="265" w:lineRule="auto"/>
        <w:rPr>
          <w:sz w:val="20"/>
          <w:szCs w:val="20"/>
          <w:color w:val="auto"/>
        </w:rPr>
      </w:pPr>
      <w:r>
        <w:rPr>
          <w:rFonts w:ascii="Arial" w:cs="Arial" w:eastAsia="Arial" w:hAnsi="Arial"/>
          <w:sz w:val="16"/>
          <w:szCs w:val="16"/>
          <w:color w:val="auto"/>
        </w:rPr>
        <w:t>Our upholstery operations experienced continued growth in 2006. The sales increases were led by our imported leather products which offer value in the middle price points with numerous options available to upgrade. Additionally, we continue to offer our Simply Yours</w:t>
      </w:r>
      <w:r>
        <w:rPr>
          <w:rFonts w:ascii="Arial" w:cs="Arial" w:eastAsia="Arial" w:hAnsi="Arial"/>
          <w:sz w:val="20"/>
          <w:szCs w:val="20"/>
          <w:color w:val="auto"/>
          <w:vertAlign w:val="superscript"/>
        </w:rPr>
        <w:t>®</w:t>
      </w:r>
      <w:r>
        <w:rPr>
          <w:rFonts w:ascii="Arial" w:cs="Arial" w:eastAsia="Arial" w:hAnsi="Arial"/>
          <w:sz w:val="16"/>
          <w:szCs w:val="16"/>
          <w:color w:val="auto"/>
        </w:rPr>
        <w:t xml:space="preserve"> custom made upholstery program which delivers custom made upholstery into the consumers’ home in 30 days or less. In 2006, we expanded our Simply Yours</w:t>
      </w:r>
      <w:r>
        <w:rPr>
          <w:rFonts w:ascii="Arial" w:cs="Arial" w:eastAsia="Arial" w:hAnsi="Arial"/>
          <w:sz w:val="20"/>
          <w:szCs w:val="20"/>
          <w:color w:val="auto"/>
          <w:vertAlign w:val="superscript"/>
        </w:rPr>
        <w:t>®</w:t>
      </w:r>
      <w:r>
        <w:rPr>
          <w:rFonts w:ascii="Arial" w:cs="Arial" w:eastAsia="Arial" w:hAnsi="Arial"/>
          <w:sz w:val="16"/>
          <w:szCs w:val="16"/>
          <w:color w:val="auto"/>
        </w:rPr>
        <w:t xml:space="preserve"> upholstery program to include four different product sizes allowing more applications to residential settings with varying scale. Our upholstery products are experiencing a greater sales percentage in our BFD stores relative to the percentage shipped to traditional furniture stores. This is primarily attributable to our custom order and imported leather programs. As the number of BFD stores increase, we expect upholstery sales and contribution to profit and overhead to increase.</w:t>
      </w:r>
    </w:p>
    <w:p>
      <w:pPr>
        <w:spacing w:after="0" w:line="138" w:lineRule="exact"/>
        <w:rPr>
          <w:sz w:val="20"/>
          <w:szCs w:val="20"/>
          <w:color w:val="auto"/>
        </w:rPr>
      </w:pPr>
    </w:p>
    <w:p>
      <w:pPr>
        <w:spacing w:after="0" w:line="294" w:lineRule="auto"/>
        <w:rPr>
          <w:sz w:val="20"/>
          <w:szCs w:val="20"/>
          <w:color w:val="auto"/>
        </w:rPr>
      </w:pPr>
      <w:r>
        <w:rPr>
          <w:rFonts w:ascii="Arial" w:cs="Arial" w:eastAsia="Arial" w:hAnsi="Arial"/>
          <w:sz w:val="16"/>
          <w:szCs w:val="16"/>
          <w:color w:val="auto"/>
        </w:rPr>
        <w:t>During the second quarter of 2006, the Company sold certain assets, primarily inventory and property and equipment, of its Weiman division (a contemporary upholstery furniture business) for net book value. The Company received $1,300 in cash and a short-term note receivable. Historically, Weiman’s operating results and financial position have been included in the Company’s wholesale segment (“other” as it relates to wholesale shipments) for segment reporting. The Company divested these assets as they were determined to be non-core and not aligned with the Company’s primary strategic objective of growing and improving the Bassett Furniture Direct network of Company-owned and licensed retail furniture stores.</w:t>
      </w:r>
    </w:p>
    <w:p>
      <w:pPr>
        <w:spacing w:after="0" w:line="116" w:lineRule="exact"/>
        <w:rPr>
          <w:sz w:val="20"/>
          <w:szCs w:val="20"/>
          <w:color w:val="auto"/>
        </w:rPr>
      </w:pPr>
    </w:p>
    <w:p>
      <w:pPr>
        <w:ind w:right="60"/>
        <w:spacing w:after="0" w:line="298" w:lineRule="auto"/>
        <w:rPr>
          <w:sz w:val="20"/>
          <w:szCs w:val="20"/>
          <w:color w:val="auto"/>
        </w:rPr>
      </w:pPr>
      <w:r>
        <w:rPr>
          <w:rFonts w:ascii="Arial" w:cs="Arial" w:eastAsia="Arial" w:hAnsi="Arial"/>
          <w:sz w:val="16"/>
          <w:szCs w:val="16"/>
          <w:color w:val="auto"/>
        </w:rPr>
        <w:t>Our wholesale segment gross margin improved 1.2 percentage points from 22.8% in 2005 to 24.0% in 2006. This improvement was primarily driven by a continued shift to more imported products. Additionally, margins were again positively impacted by lower domestic wood inventory levels which led to reductions in accompanying LIFO inventory reserves. Our gross margin improved by 2.6 points from fiscal 2004 to fiscal 2005 due principally to improved sales mix of imported products partially offset by challenges in our domestic wood production related to plant closings and transitions of product.</w:t>
      </w:r>
    </w:p>
    <w:p>
      <w:pPr>
        <w:spacing w:after="0" w:line="113" w:lineRule="exact"/>
        <w:rPr>
          <w:sz w:val="20"/>
          <w:szCs w:val="20"/>
          <w:color w:val="auto"/>
        </w:rPr>
      </w:pPr>
    </w:p>
    <w:p>
      <w:pPr>
        <w:ind w:right="340"/>
        <w:spacing w:after="0" w:line="332" w:lineRule="auto"/>
        <w:rPr>
          <w:sz w:val="20"/>
          <w:szCs w:val="20"/>
          <w:color w:val="auto"/>
        </w:rPr>
      </w:pPr>
      <w:r>
        <w:rPr>
          <w:rFonts w:ascii="Arial" w:cs="Arial" w:eastAsia="Arial" w:hAnsi="Arial"/>
          <w:sz w:val="16"/>
          <w:szCs w:val="16"/>
          <w:color w:val="auto"/>
        </w:rPr>
        <w:t>Wholesale segment SG&amp;A decreased $2,821 in 2006 as compared to 2005. This decrease was due to the sale of our Weiman division in the second quarter of 2006 and efforts to reduce discretionary spending in response to the lower sales levels during the third and fourth quarters of 2006.</w:t>
      </w:r>
    </w:p>
    <w:p>
      <w:pPr>
        <w:spacing w:after="0" w:line="85" w:lineRule="exact"/>
        <w:rPr>
          <w:sz w:val="20"/>
          <w:szCs w:val="20"/>
          <w:color w:val="auto"/>
        </w:rPr>
      </w:pPr>
    </w:p>
    <w:p>
      <w:pPr>
        <w:ind w:right="300"/>
        <w:spacing w:after="0" w:line="259" w:lineRule="auto"/>
        <w:rPr>
          <w:sz w:val="20"/>
          <w:szCs w:val="20"/>
          <w:color w:val="auto"/>
        </w:rPr>
      </w:pPr>
      <w:r>
        <w:rPr>
          <w:rFonts w:ascii="Arial" w:cs="Arial" w:eastAsia="Arial" w:hAnsi="Arial"/>
          <w:sz w:val="18"/>
          <w:szCs w:val="18"/>
          <w:color w:val="auto"/>
        </w:rPr>
        <w:t>Operating earnings improved in 2006 due to a combination of the shift to more imported product and efforts to reduce our wholesale segment’s cost structure. Operating earnings improved significantly in 2005 from 2004 due to a combination of sales growth, shift to more imported product and efforts to reduce our wholesale segment’s cost structure.</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 - 10</w:t>
      </w:r>
    </w:p>
    <w:p>
      <w:pPr>
        <w:sectPr>
          <w:pgSz w:w="11900" w:h="16838" w:orient="portrait"/>
          <w:cols w:equalWidth="0" w:num="1">
            <w:col w:w="11400"/>
          </w:cols>
          <w:pgMar w:left="240" w:top="459" w:right="25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860"/>
        <w:spacing w:after="0" w:line="262" w:lineRule="auto"/>
        <w:rPr>
          <w:sz w:val="20"/>
          <w:szCs w:val="20"/>
          <w:color w:val="auto"/>
        </w:rPr>
      </w:pPr>
      <w:r>
        <w:rPr>
          <w:rFonts w:ascii="Arial" w:cs="Arial" w:eastAsia="Arial" w:hAnsi="Arial"/>
          <w:sz w:val="18"/>
          <w:szCs w:val="18"/>
          <w:b w:val="1"/>
          <w:bCs w:val="1"/>
          <w:color w:val="auto"/>
        </w:rPr>
        <w:t xml:space="preserve">Management’s Discussion and Analysis of Financial Condition and Results of Operations - </w:t>
      </w:r>
      <w:r>
        <w:rPr>
          <w:rFonts w:ascii="Arial" w:cs="Arial" w:eastAsia="Arial" w:hAnsi="Arial"/>
          <w:sz w:val="18"/>
          <w:szCs w:val="18"/>
          <w:color w:val="auto"/>
        </w:rPr>
        <w:t>Continued</w:t>
      </w:r>
      <w:r>
        <w:rPr>
          <w:rFonts w:ascii="Arial" w:cs="Arial" w:eastAsia="Arial" w:hAnsi="Arial"/>
          <w:sz w:val="18"/>
          <w:szCs w:val="18"/>
          <w:b w:val="1"/>
          <w:bCs w:val="1"/>
          <w:color w:val="auto"/>
        </w:rPr>
        <w:t xml:space="preserve"> </w:t>
      </w:r>
      <w:r>
        <w:rPr>
          <w:rFonts w:ascii="Arial" w:cs="Arial" w:eastAsia="Arial" w:hAnsi="Arial"/>
          <w:sz w:val="18"/>
          <w:szCs w:val="18"/>
          <w:color w:val="auto"/>
        </w:rPr>
        <w:t>Bassett Furniture Industries, Incorporated and Subsidiaries (dollars in thousands except share and per share data)</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Retail Segment – Company-Owned Retail Stores</w:t>
      </w:r>
    </w:p>
    <w:p>
      <w:pPr>
        <w:spacing w:after="0" w:line="201"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57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40" w:type="dxa"/>
            <w:vAlign w:val="bottom"/>
            <w:gridSpan w:val="4"/>
          </w:tcPr>
          <w:p>
            <w:pPr>
              <w:jc w:val="right"/>
              <w:ind w:right="560"/>
              <w:spacing w:after="0"/>
              <w:rPr>
                <w:sz w:val="20"/>
                <w:szCs w:val="20"/>
                <w:color w:val="auto"/>
              </w:rPr>
            </w:pPr>
            <w:r>
              <w:rPr>
                <w:rFonts w:ascii="Arial" w:cs="Arial" w:eastAsia="Arial" w:hAnsi="Arial"/>
                <w:sz w:val="14"/>
                <w:szCs w:val="14"/>
                <w:b w:val="1"/>
                <w:bCs w:val="1"/>
                <w:color w:val="auto"/>
              </w:rPr>
              <w:t>As restated</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5740" w:type="dxa"/>
            <w:vAlign w:val="bottom"/>
          </w:tcPr>
          <w:p>
            <w:pPr>
              <w:spacing w:after="0"/>
              <w:rPr>
                <w:sz w:val="15"/>
                <w:szCs w:val="15"/>
                <w:color w:val="auto"/>
              </w:rPr>
            </w:pPr>
          </w:p>
        </w:tc>
        <w:tc>
          <w:tcPr>
            <w:tcW w:w="920" w:type="dxa"/>
            <w:vAlign w:val="bottom"/>
            <w:tcBorders>
              <w:bottom w:val="single" w:sz="8" w:color="auto"/>
            </w:tcBorders>
            <w:gridSpan w:val="2"/>
          </w:tcPr>
          <w:p>
            <w:pPr>
              <w:jc w:val="right"/>
              <w:ind w:right="120"/>
              <w:spacing w:after="0"/>
              <w:rPr>
                <w:sz w:val="20"/>
                <w:szCs w:val="20"/>
                <w:color w:val="auto"/>
              </w:rPr>
            </w:pPr>
            <w:r>
              <w:rPr>
                <w:rFonts w:ascii="Arial" w:cs="Arial" w:eastAsia="Arial" w:hAnsi="Arial"/>
                <w:sz w:val="14"/>
                <w:szCs w:val="14"/>
                <w:b w:val="1"/>
                <w:bCs w:val="1"/>
                <w:color w:val="auto"/>
              </w:rPr>
              <w:t>2006</w:t>
            </w:r>
          </w:p>
        </w:tc>
        <w:tc>
          <w:tcPr>
            <w:tcW w:w="400" w:type="dxa"/>
            <w:vAlign w:val="bottom"/>
            <w:tcBorders>
              <w:bottom w:val="single" w:sz="8" w:color="auto"/>
            </w:tcBorders>
          </w:tcPr>
          <w:p>
            <w:pPr>
              <w:spacing w:after="0"/>
              <w:rPr>
                <w:sz w:val="15"/>
                <w:szCs w:val="15"/>
                <w:color w:val="auto"/>
              </w:rPr>
            </w:pPr>
          </w:p>
        </w:tc>
        <w:tc>
          <w:tcPr>
            <w:tcW w:w="34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gridSpan w:val="2"/>
          </w:tcPr>
          <w:p>
            <w:pPr>
              <w:jc w:val="right"/>
              <w:ind w:right="120"/>
              <w:spacing w:after="0"/>
              <w:rPr>
                <w:sz w:val="20"/>
                <w:szCs w:val="20"/>
                <w:color w:val="auto"/>
              </w:rPr>
            </w:pPr>
            <w:r>
              <w:rPr>
                <w:rFonts w:ascii="Arial" w:cs="Arial" w:eastAsia="Arial" w:hAnsi="Arial"/>
                <w:sz w:val="14"/>
                <w:szCs w:val="14"/>
                <w:b w:val="1"/>
                <w:bCs w:val="1"/>
                <w:color w:val="auto"/>
              </w:rPr>
              <w:t>2005</w:t>
            </w:r>
          </w:p>
        </w:tc>
        <w:tc>
          <w:tcPr>
            <w:tcW w:w="400" w:type="dxa"/>
            <w:vAlign w:val="bottom"/>
            <w:tcBorders>
              <w:bottom w:val="single" w:sz="8" w:color="auto"/>
            </w:tcBorders>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gridSpan w:val="2"/>
          </w:tcPr>
          <w:p>
            <w:pPr>
              <w:jc w:val="right"/>
              <w:ind w:right="100"/>
              <w:spacing w:after="0"/>
              <w:rPr>
                <w:sz w:val="20"/>
                <w:szCs w:val="20"/>
                <w:color w:val="auto"/>
              </w:rPr>
            </w:pPr>
            <w:r>
              <w:rPr>
                <w:rFonts w:ascii="Arial" w:cs="Arial" w:eastAsia="Arial" w:hAnsi="Arial"/>
                <w:sz w:val="14"/>
                <w:szCs w:val="14"/>
                <w:b w:val="1"/>
                <w:bCs w:val="1"/>
                <w:color w:val="auto"/>
              </w:rPr>
              <w:t>2004</w:t>
            </w:r>
          </w:p>
        </w:tc>
        <w:tc>
          <w:tcPr>
            <w:tcW w:w="42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574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1"/>
              </w:rPr>
              <w:t>$ 84,401</w:t>
            </w:r>
          </w:p>
        </w:tc>
        <w:tc>
          <w:tcPr>
            <w:tcW w:w="2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5"/>
              </w:rPr>
              <w:t>100.0%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70,480</w:t>
            </w:r>
          </w:p>
        </w:tc>
        <w:tc>
          <w:tcPr>
            <w:tcW w:w="2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8"/>
              </w:rPr>
              <w:t>100.0%</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48,894</w:t>
            </w:r>
          </w:p>
        </w:tc>
        <w:tc>
          <w:tcPr>
            <w:tcW w:w="24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8"/>
              </w:rPr>
              <w:t>100.0%</w:t>
            </w:r>
          </w:p>
        </w:tc>
        <w:tc>
          <w:tcPr>
            <w:tcW w:w="0" w:type="dxa"/>
            <w:vAlign w:val="bottom"/>
          </w:tcPr>
          <w:p>
            <w:pPr>
              <w:spacing w:after="0"/>
              <w:rPr>
                <w:sz w:val="1"/>
                <w:szCs w:val="1"/>
                <w:color w:val="auto"/>
              </w:rPr>
            </w:pPr>
          </w:p>
        </w:tc>
      </w:tr>
      <w:tr>
        <w:trPr>
          <w:trHeight w:val="20"/>
        </w:trPr>
        <w:tc>
          <w:tcPr>
            <w:tcW w:w="5740" w:type="dxa"/>
            <w:vAlign w:val="bottom"/>
            <w:vMerge w:val="restart"/>
          </w:tcPr>
          <w:p>
            <w:pPr>
              <w:spacing w:after="0"/>
              <w:rPr>
                <w:sz w:val="20"/>
                <w:szCs w:val="20"/>
                <w:color w:val="auto"/>
              </w:rPr>
            </w:pPr>
            <w:r>
              <w:rPr>
                <w:rFonts w:ascii="Arial" w:cs="Arial" w:eastAsia="Arial" w:hAnsi="Arial"/>
                <w:sz w:val="18"/>
                <w:szCs w:val="18"/>
                <w:color w:val="auto"/>
              </w:rPr>
              <w:t>Gross margin</w:t>
            </w:r>
          </w:p>
        </w:tc>
        <w:tc>
          <w:tcPr>
            <w:tcW w:w="6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5740" w:type="dxa"/>
            <w:vAlign w:val="bottom"/>
            <w:vMerge w:val="continue"/>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35,146</w:t>
            </w:r>
          </w:p>
        </w:tc>
        <w:tc>
          <w:tcPr>
            <w:tcW w:w="26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41.6</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w w:val="94"/>
              </w:rPr>
              <w:t>30,512</w:t>
            </w:r>
          </w:p>
        </w:tc>
        <w:tc>
          <w:tcPr>
            <w:tcW w:w="260" w:type="dxa"/>
            <w:vAlign w:val="bottom"/>
          </w:tcPr>
          <w:p>
            <w:pPr>
              <w:spacing w:after="0"/>
              <w:rPr>
                <w:sz w:val="19"/>
                <w:szCs w:val="19"/>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43.3</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98"/>
              </w:rPr>
              <w:t>22,598</w:t>
            </w:r>
          </w:p>
        </w:tc>
        <w:tc>
          <w:tcPr>
            <w:tcW w:w="24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46.2</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5740" w:type="dxa"/>
            <w:vAlign w:val="bottom"/>
            <w:shd w:val="clear" w:color="auto" w:fill="CCEEFF"/>
          </w:tcPr>
          <w:p>
            <w:pPr>
              <w:spacing w:after="0"/>
              <w:rPr>
                <w:sz w:val="20"/>
                <w:szCs w:val="20"/>
                <w:color w:val="auto"/>
              </w:rPr>
            </w:pPr>
            <w:r>
              <w:rPr>
                <w:rFonts w:ascii="Arial" w:cs="Arial" w:eastAsia="Arial" w:hAnsi="Arial"/>
                <w:sz w:val="18"/>
                <w:szCs w:val="18"/>
                <w:color w:val="auto"/>
              </w:rPr>
              <w:t>SG&amp;A</w:t>
            </w: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(47,272)</w:t>
            </w:r>
          </w:p>
        </w:tc>
        <w:tc>
          <w:tcPr>
            <w:tcW w:w="7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92"/>
              </w:rPr>
              <w:t>-56.0</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6"/>
              </w:rPr>
              <w:t>(32,173)</w:t>
            </w:r>
          </w:p>
        </w:tc>
        <w:tc>
          <w:tcPr>
            <w:tcW w:w="6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2"/>
              </w:rPr>
              <w:t>-45.6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6"/>
              </w:rPr>
              <w:t>(22,426)</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-45.9</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740" w:type="dxa"/>
            <w:vAlign w:val="bottom"/>
            <w:vMerge w:val="restart"/>
          </w:tcPr>
          <w:p>
            <w:pPr>
              <w:spacing w:after="0"/>
              <w:rPr>
                <w:sz w:val="20"/>
                <w:szCs w:val="20"/>
                <w:color w:val="auto"/>
              </w:rPr>
            </w:pPr>
            <w:r>
              <w:rPr>
                <w:rFonts w:ascii="Arial" w:cs="Arial" w:eastAsia="Arial" w:hAnsi="Arial"/>
                <w:sz w:val="18"/>
                <w:szCs w:val="18"/>
                <w:color w:val="auto"/>
              </w:rPr>
              <w:t>Operating earnings (losses)</w:t>
            </w:r>
          </w:p>
        </w:tc>
        <w:tc>
          <w:tcPr>
            <w:tcW w:w="6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5740" w:type="dxa"/>
            <w:vAlign w:val="bottom"/>
            <w:vMerge w:val="continue"/>
          </w:tcPr>
          <w:p>
            <w:pPr>
              <w:spacing w:after="0"/>
              <w:rPr>
                <w:sz w:val="19"/>
                <w:szCs w:val="19"/>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8"/>
                <w:szCs w:val="18"/>
                <w:u w:val="single" w:color="auto"/>
                <w:color w:val="auto"/>
                <w:w w:val="85"/>
              </w:rPr>
              <w:t>$</w:t>
            </w:r>
            <w:r>
              <w:rPr>
                <w:rFonts w:ascii="Arial" w:cs="Arial" w:eastAsia="Arial" w:hAnsi="Arial"/>
                <w:sz w:val="18"/>
                <w:szCs w:val="18"/>
                <w:color w:val="auto"/>
                <w:w w:val="85"/>
              </w:rPr>
              <w:t xml:space="preserve"> (12,126)</w:t>
            </w:r>
          </w:p>
        </w:tc>
        <w:tc>
          <w:tcPr>
            <w:tcW w:w="740" w:type="dxa"/>
            <w:vAlign w:val="bottom"/>
            <w:gridSpan w:val="2"/>
          </w:tcPr>
          <w:p>
            <w:pPr>
              <w:jc w:val="right"/>
              <w:ind w:right="200"/>
              <w:spacing w:after="0"/>
              <w:rPr>
                <w:sz w:val="20"/>
                <w:szCs w:val="20"/>
                <w:color w:val="auto"/>
              </w:rPr>
            </w:pPr>
            <w:r>
              <w:rPr>
                <w:rFonts w:ascii="Arial" w:cs="Arial" w:eastAsia="Arial" w:hAnsi="Arial"/>
                <w:sz w:val="18"/>
                <w:szCs w:val="18"/>
                <w:color w:val="auto"/>
                <w:w w:val="91"/>
              </w:rPr>
              <w:t>-14.4%</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(1,661)</w:t>
            </w:r>
          </w:p>
        </w:tc>
        <w:tc>
          <w:tcPr>
            <w:tcW w:w="640" w:type="dxa"/>
            <w:vAlign w:val="bottom"/>
            <w:gridSpan w:val="2"/>
          </w:tcPr>
          <w:p>
            <w:pPr>
              <w:jc w:val="right"/>
              <w:ind w:right="80"/>
              <w:spacing w:after="0"/>
              <w:rPr>
                <w:sz w:val="20"/>
                <w:szCs w:val="20"/>
                <w:color w:val="auto"/>
              </w:rPr>
            </w:pPr>
            <w:r>
              <w:rPr>
                <w:rFonts w:ascii="Arial" w:cs="Arial" w:eastAsia="Arial" w:hAnsi="Arial"/>
                <w:sz w:val="18"/>
                <w:szCs w:val="18"/>
                <w:color w:val="auto"/>
              </w:rPr>
              <w:t>-2.4%</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172</w:t>
            </w:r>
          </w:p>
        </w:tc>
        <w:tc>
          <w:tcPr>
            <w:tcW w:w="240" w:type="dxa"/>
            <w:vAlign w:val="bottom"/>
          </w:tcPr>
          <w:p>
            <w:pPr>
              <w:spacing w:after="0"/>
              <w:rPr>
                <w:sz w:val="19"/>
                <w:szCs w:val="19"/>
                <w:color w:val="auto"/>
              </w:rPr>
            </w:pP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0.4%</w:t>
            </w:r>
          </w:p>
        </w:tc>
        <w:tc>
          <w:tcPr>
            <w:tcW w:w="0" w:type="dxa"/>
            <w:vAlign w:val="bottom"/>
          </w:tcPr>
          <w:p>
            <w:pPr>
              <w:spacing w:after="0"/>
              <w:rPr>
                <w:sz w:val="1"/>
                <w:szCs w:val="1"/>
                <w:color w:val="auto"/>
              </w:rPr>
            </w:pPr>
          </w:p>
        </w:tc>
      </w:tr>
      <w:tr>
        <w:trPr>
          <w:trHeight w:val="20"/>
        </w:trPr>
        <w:tc>
          <w:tcPr>
            <w:tcW w:w="574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jc w:val="both"/>
        <w:ind w:right="20"/>
        <w:spacing w:after="0" w:line="256" w:lineRule="auto"/>
        <w:rPr>
          <w:sz w:val="20"/>
          <w:szCs w:val="20"/>
          <w:color w:val="auto"/>
        </w:rPr>
      </w:pPr>
      <w:r>
        <w:rPr>
          <w:rFonts w:ascii="Arial" w:cs="Arial" w:eastAsia="Arial" w:hAnsi="Arial"/>
          <w:sz w:val="18"/>
          <w:szCs w:val="18"/>
          <w:color w:val="auto"/>
        </w:rPr>
        <w:t>Bassett’s 27 corporate stores continued to experience soft conditions at retail. Net sales for the retail segment increased nearly 20% in 2006 from 2005, primarily due to having a full year of sales from the 15 additional stores purchased in 2005. For our 11 stores that were in operation in both 2006 and 2005, we experienced slight sales decreases, primarily due to overall soft retail conditions. Net sales for the retail segment increased by 44% in 2005 from 2004, primarily due to having additional stores operating in 2005.</w:t>
      </w:r>
    </w:p>
    <w:p>
      <w:pPr>
        <w:spacing w:after="0" w:line="143" w:lineRule="exact"/>
        <w:rPr>
          <w:sz w:val="20"/>
          <w:szCs w:val="20"/>
          <w:color w:val="auto"/>
        </w:rPr>
      </w:pPr>
    </w:p>
    <w:p>
      <w:pPr>
        <w:ind w:right="40"/>
        <w:spacing w:after="0" w:line="306" w:lineRule="auto"/>
        <w:rPr>
          <w:sz w:val="20"/>
          <w:szCs w:val="20"/>
          <w:color w:val="auto"/>
        </w:rPr>
      </w:pPr>
      <w:r>
        <w:rPr>
          <w:rFonts w:ascii="Arial" w:cs="Arial" w:eastAsia="Arial" w:hAnsi="Arial"/>
          <w:sz w:val="16"/>
          <w:szCs w:val="16"/>
          <w:color w:val="auto"/>
        </w:rPr>
        <w:t>Our gross margin decreased 1.7 percentage points in 2006 from 2005 and was several percentage points below what we expected. Margins were lower than planned due to selling selected products at clearance prices in order to prepare for the arrival of new products and featured catalog products, promotions geared to respond to the overall soft market conditions, and the discounting related to the clearance events at the two stores that were closed.</w:t>
      </w:r>
    </w:p>
    <w:p>
      <w:pPr>
        <w:spacing w:after="0" w:line="107" w:lineRule="exact"/>
        <w:rPr>
          <w:sz w:val="20"/>
          <w:szCs w:val="20"/>
          <w:color w:val="auto"/>
        </w:rPr>
      </w:pPr>
    </w:p>
    <w:p>
      <w:pPr>
        <w:ind w:right="300"/>
        <w:spacing w:after="0" w:line="306" w:lineRule="auto"/>
        <w:rPr>
          <w:sz w:val="20"/>
          <w:szCs w:val="20"/>
          <w:color w:val="auto"/>
        </w:rPr>
      </w:pPr>
      <w:r>
        <w:rPr>
          <w:rFonts w:ascii="Arial" w:cs="Arial" w:eastAsia="Arial" w:hAnsi="Arial"/>
          <w:sz w:val="16"/>
          <w:szCs w:val="16"/>
          <w:color w:val="auto"/>
        </w:rPr>
        <w:t>Retail segment SG&amp;A increased from $32,173 in 2005 to $47,272 in 2006. This increase was anticipated and was due almost entirely to adding the expense structure of the BFDs acquired during 2005. Sales in 2006 were more than 10% below the levels anticipated which resulted in a higher SG&amp;A percentage as a large majority of these costs are relatively fixed in nature. SG&amp;A expenses include occupancy, warehouse, advertising and payroll expenses.</w:t>
      </w:r>
    </w:p>
    <w:p>
      <w:pPr>
        <w:spacing w:after="0" w:line="107"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The Company’s retail segment experienced an operating loss of $12,126 for 2006, compared to a loss of $1,661 for 2005. The increase in the losses are primarily due to the overall softening retail conditions in 2006, selling of selected products at clearance prices in order to prepare for the arrival of new products and featured catalog products and promotions geared to respond to the overall soft market conditions. In addition, during the second quarter of 2006, Bassett made the decision to close two of its corporate stores, one in Texas and one in Georgia. Clearance events conducted at these stores during 2006 negatively impacted earnings by approximately $0.9 million.</w:t>
      </w:r>
    </w:p>
    <w:p>
      <w:pPr>
        <w:spacing w:after="0" w:line="143" w:lineRule="exact"/>
        <w:rPr>
          <w:sz w:val="20"/>
          <w:szCs w:val="20"/>
          <w:color w:val="auto"/>
        </w:rPr>
      </w:pPr>
    </w:p>
    <w:p>
      <w:pPr>
        <w:ind w:right="180"/>
        <w:spacing w:after="0" w:line="268" w:lineRule="auto"/>
        <w:rPr>
          <w:sz w:val="20"/>
          <w:szCs w:val="20"/>
          <w:color w:val="auto"/>
        </w:rPr>
      </w:pPr>
      <w:r>
        <w:rPr>
          <w:rFonts w:ascii="Arial" w:cs="Arial" w:eastAsia="Arial" w:hAnsi="Arial"/>
          <w:sz w:val="18"/>
          <w:szCs w:val="18"/>
          <w:color w:val="auto"/>
        </w:rPr>
        <w:t>In 2005, we experienced a $1,833 decrease in operating income. This decrease was primarily due to the 15 acquired stores which negatively impacted operating earnings by approximately $2,000 due to losses resulting from lower sales and gross margin levels.</w:t>
      </w:r>
    </w:p>
    <w:p>
      <w:pPr>
        <w:spacing w:after="0" w:line="132" w:lineRule="exact"/>
        <w:rPr>
          <w:sz w:val="20"/>
          <w:szCs w:val="20"/>
          <w:color w:val="auto"/>
        </w:rPr>
      </w:pPr>
    </w:p>
    <w:p>
      <w:pPr>
        <w:ind w:right="20"/>
        <w:spacing w:after="0" w:line="268" w:lineRule="auto"/>
        <w:rPr>
          <w:sz w:val="20"/>
          <w:szCs w:val="20"/>
          <w:color w:val="auto"/>
        </w:rPr>
      </w:pPr>
      <w:r>
        <w:rPr>
          <w:rFonts w:ascii="Arial" w:cs="Arial" w:eastAsia="Arial" w:hAnsi="Arial"/>
          <w:sz w:val="18"/>
          <w:szCs w:val="18"/>
          <w:color w:val="auto"/>
        </w:rPr>
        <w:t>Our retail segment includes the expenses of retail real estate utilized by Company-owned retail stores. Rental income and expenses from our properties utilized by independent licensees and partnership licensees are included in our investment and real estate segment.</w:t>
      </w:r>
    </w:p>
    <w:p>
      <w:pPr>
        <w:spacing w:after="0" w:line="132"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As previously discussed, changes being made to drive more traffic, improve staffing, and streamline operations are taking longer than anticipated to implement. In addition the Company has recently made changes in the leadership, pricing structure and promotion strategy of the Company-owned stores which it believes will lead to better performance in 2007. This performance improvement aimed at reducing retail segment losses is expected to be accomplished through a combination of top line sales growth in the current 27 Company-owned stores, increased gross margins in the range of 44% to 46%, and reduced levels of retail segment SG&amp;A spending.</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- 11</w:t>
      </w:r>
    </w:p>
    <w:p>
      <w:pPr>
        <w:sectPr>
          <w:pgSz w:w="11900" w:h="16838" w:orient="portrait"/>
          <w:cols w:equalWidth="0" w:num="1">
            <w:col w:w="11420"/>
          </w:cols>
          <w:pgMar w:left="240" w:top="459" w:right="23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860"/>
        <w:spacing w:after="0" w:line="262" w:lineRule="auto"/>
        <w:rPr>
          <w:sz w:val="20"/>
          <w:szCs w:val="20"/>
          <w:color w:val="auto"/>
        </w:rPr>
      </w:pPr>
      <w:r>
        <w:rPr>
          <w:rFonts w:ascii="Arial" w:cs="Arial" w:eastAsia="Arial" w:hAnsi="Arial"/>
          <w:sz w:val="18"/>
          <w:szCs w:val="18"/>
          <w:b w:val="1"/>
          <w:bCs w:val="1"/>
          <w:color w:val="auto"/>
        </w:rPr>
        <w:t xml:space="preserve">Management’s Discussion and Analysis of Financial Condition and Results of Operations - </w:t>
      </w:r>
      <w:r>
        <w:rPr>
          <w:rFonts w:ascii="Arial" w:cs="Arial" w:eastAsia="Arial" w:hAnsi="Arial"/>
          <w:sz w:val="18"/>
          <w:szCs w:val="18"/>
          <w:color w:val="auto"/>
        </w:rPr>
        <w:t>Continued</w:t>
      </w:r>
      <w:r>
        <w:rPr>
          <w:rFonts w:ascii="Arial" w:cs="Arial" w:eastAsia="Arial" w:hAnsi="Arial"/>
          <w:sz w:val="18"/>
          <w:szCs w:val="18"/>
          <w:b w:val="1"/>
          <w:bCs w:val="1"/>
          <w:color w:val="auto"/>
        </w:rPr>
        <w:t xml:space="preserve"> </w:t>
      </w:r>
      <w:r>
        <w:rPr>
          <w:rFonts w:ascii="Arial" w:cs="Arial" w:eastAsia="Arial" w:hAnsi="Arial"/>
          <w:sz w:val="18"/>
          <w:szCs w:val="18"/>
          <w:color w:val="auto"/>
        </w:rPr>
        <w:t>Bassett Furniture Industries, Incorporated and Subsidiaries (dollars in thousands except share and per share data)</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 and Real Estate Segment</w:t>
      </w:r>
    </w:p>
    <w:p>
      <w:pPr>
        <w:spacing w:after="0" w:line="96"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Our investments and real estate segment consists of our investments (Alternative Asset Fund and marketable securities), distributions in excess of affiliate earnings (IHFC) and retail real estate related to licensee BFD stores. Although this segment does not have operating earnings, income from the segment is included in income from investments in our condensed consolidated statements of income and retained earnings. Our equity investment in IHFC is not included in the identifiable assets of this segment since it has a negative book value and is therefore included in the long-term liabilities section of our condensed consolidated balance sheet.</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96" w:lineRule="exact"/>
        <w:rPr>
          <w:sz w:val="20"/>
          <w:szCs w:val="20"/>
          <w:color w:val="auto"/>
        </w:rPr>
      </w:pPr>
    </w:p>
    <w:p>
      <w:pPr>
        <w:ind w:right="300"/>
        <w:spacing w:after="0" w:line="291" w:lineRule="auto"/>
        <w:rPr>
          <w:sz w:val="20"/>
          <w:szCs w:val="20"/>
          <w:color w:val="auto"/>
        </w:rPr>
      </w:pPr>
      <w:r>
        <w:rPr>
          <w:rFonts w:ascii="Arial" w:cs="Arial" w:eastAsia="Arial" w:hAnsi="Arial"/>
          <w:sz w:val="16"/>
          <w:szCs w:val="16"/>
          <w:color w:val="auto"/>
        </w:rPr>
        <w:t>Our November 25, 2006, balance sheet, with minimal borrowings on our revolving line of credit and a sizeable investment portfolio, remains strong and continues to bolster our retail growth strategy, which includes entering into operating leases and lease and loan guarantees for our BFD licensees. Our primary sources of funds in 2006 have been income from investments, including dividends from IHFC. Cash was primarily used in 2006 to fund operations, invest in capital expenditures and pay dividends. The primary sources of cash in 2005 were from operations and our investments. Cash was primarily used in 2005 to invest in capital expenditures and pay dividends. The primary sources of cash in 2004 were from dividends from IHFC and the disposition of certain plant facilities. Cash was used in 2004 to increase inventory levels to better service our customers, purchase capital assets and pay dividends.</w:t>
      </w:r>
    </w:p>
    <w:p>
      <w:pPr>
        <w:spacing w:after="0" w:line="120" w:lineRule="exact"/>
        <w:rPr>
          <w:sz w:val="20"/>
          <w:szCs w:val="20"/>
          <w:color w:val="auto"/>
        </w:rPr>
      </w:pPr>
    </w:p>
    <w:p>
      <w:pPr>
        <w:ind w:right="920"/>
        <w:spacing w:after="0" w:line="268" w:lineRule="auto"/>
        <w:rPr>
          <w:sz w:val="20"/>
          <w:szCs w:val="20"/>
          <w:color w:val="auto"/>
        </w:rPr>
      </w:pPr>
      <w:r>
        <w:rPr>
          <w:rFonts w:ascii="Arial" w:cs="Arial" w:eastAsia="Arial" w:hAnsi="Arial"/>
          <w:sz w:val="18"/>
          <w:szCs w:val="18"/>
          <w:color w:val="auto"/>
        </w:rPr>
        <w:t>The current ratio for the past two years was 2.43 to 1 and 2.19 to 1, respectively. Working capital was $62,204 at November 25, 2006, and $57,055 at November 26, 2005.</w:t>
      </w:r>
    </w:p>
    <w:p>
      <w:pPr>
        <w:spacing w:after="0" w:line="132"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Net cash generated by (used in) operating activities was $(5,125), $11,267 and ($5,307) in fiscal 2006, 2005 and 2004, respectively. The decrease in operating cash from 2005 to 2006 was primarily related to our retail segment losses, an increase in accounts receivable, and a reduction in payables and accrued liabilities. The reduction in current liabilities related in part to payments of restructuring-related obligations accrued in prior years and a reduction in payables related to the shift in mix from domestic to imported purchases. The increase in operating cash from 2004 to 2005 was primarily related to reductions in domestic wood inventories.</w:t>
      </w:r>
    </w:p>
    <w:p>
      <w:pPr>
        <w:spacing w:after="0" w:line="143" w:lineRule="exact"/>
        <w:rPr>
          <w:sz w:val="20"/>
          <w:szCs w:val="20"/>
          <w:color w:val="auto"/>
        </w:rPr>
      </w:pPr>
    </w:p>
    <w:p>
      <w:pPr>
        <w:ind w:right="100"/>
        <w:spacing w:after="0" w:line="256" w:lineRule="auto"/>
        <w:rPr>
          <w:sz w:val="20"/>
          <w:szCs w:val="20"/>
          <w:color w:val="auto"/>
        </w:rPr>
      </w:pPr>
      <w:r>
        <w:rPr>
          <w:rFonts w:ascii="Arial" w:cs="Arial" w:eastAsia="Arial" w:hAnsi="Arial"/>
          <w:sz w:val="18"/>
          <w:szCs w:val="18"/>
          <w:color w:val="auto"/>
        </w:rPr>
        <w:t>During 2006, current year traffic and retail sales trends have negatively impacted our licensees’ cash flow and in turn the timing of our wholesale collections resulting in increases to both our accounts receivable balance and our days sales outstanding. These trends have also affected collections on our notes receivable. In addition, our allowance for doubtful accounts for both accounts and notes receivable increased $3,375 from $5,226 to $8,601. If not reversed, this could negatively impact future operating performance and cash flow.</w:t>
      </w:r>
    </w:p>
    <w:p>
      <w:pPr>
        <w:spacing w:after="0" w:line="143" w:lineRule="exact"/>
        <w:rPr>
          <w:sz w:val="20"/>
          <w:szCs w:val="20"/>
          <w:color w:val="auto"/>
        </w:rPr>
      </w:pPr>
    </w:p>
    <w:p>
      <w:pPr>
        <w:ind w:right="20"/>
        <w:spacing w:after="0" w:line="291" w:lineRule="auto"/>
        <w:rPr>
          <w:sz w:val="20"/>
          <w:szCs w:val="20"/>
          <w:color w:val="auto"/>
        </w:rPr>
      </w:pPr>
      <w:r>
        <w:rPr>
          <w:rFonts w:ascii="Arial" w:cs="Arial" w:eastAsia="Arial" w:hAnsi="Arial"/>
          <w:sz w:val="16"/>
          <w:szCs w:val="16"/>
          <w:color w:val="auto"/>
        </w:rPr>
        <w:t>As noted on the accompanying consolidated balance sheet and statement of cash flows, we segregate property and equipment into two groups: (1) property and equipment utilized by our wholesale and retail segments, and (2) retail real estate utilized by BFD licensees. Over the past three years we have continued to invest in machinery, equipment and technology utilized by our wholesale and retail segments in the amounts of $3,344, $4,804 and $7,866, respectively. In addition for 2006, 2005 and 2004, we have invested $3,594, $6,286 and $3,177 in retail real estate utilized by BFD licensees. In addition to our 2004 capital expenditures, we assumed $16,231 of notes payable. Our 2004 proceeds from the sales of property and equipment include proceeds received from the sale of our California upholstery facility and our Dublin, Ga., wood manufacturing facility.</w:t>
      </w:r>
    </w:p>
    <w:p>
      <w:pPr>
        <w:spacing w:after="0" w:line="120" w:lineRule="exact"/>
        <w:rPr>
          <w:sz w:val="20"/>
          <w:szCs w:val="20"/>
          <w:color w:val="auto"/>
        </w:rPr>
      </w:pPr>
    </w:p>
    <w:p>
      <w:pPr>
        <w:ind w:right="40"/>
        <w:spacing w:after="0" w:line="291" w:lineRule="auto"/>
        <w:rPr>
          <w:sz w:val="20"/>
          <w:szCs w:val="20"/>
          <w:color w:val="auto"/>
        </w:rPr>
      </w:pPr>
      <w:r>
        <w:rPr>
          <w:rFonts w:ascii="Arial" w:cs="Arial" w:eastAsia="Arial" w:hAnsi="Arial"/>
          <w:sz w:val="16"/>
          <w:szCs w:val="16"/>
          <w:color w:val="auto"/>
        </w:rPr>
        <w:t>Both purchases of investments and proceeds from the sales of investments relate primarily to the active management of a portion of our overall investment portfolio. During the year, marketable securities are bought and sold generating proceeds, purchases, gains and losses. For 2006 and 2005 net proceeds from sales of investments were $5,845 and $3,115, respectively. Dividends from an affiliate represent cash distributions from our investment in the IHFC. Our investment in IHFC reflects a credit balance and is shown in the liabilities section of our balance sheet as distributions in excess of affiliate earnings. Based on current and expected future earnings of IHFC, we believe that the market value of this investment is positive and substantially greater than its current negative book value. The financial statements of IHFC are included in our Form 10-K.</w:t>
      </w:r>
    </w:p>
    <w:p>
      <w:pPr>
        <w:spacing w:after="0" w:line="120" w:lineRule="exact"/>
        <w:rPr>
          <w:sz w:val="20"/>
          <w:szCs w:val="20"/>
          <w:color w:val="auto"/>
        </w:rPr>
      </w:pPr>
    </w:p>
    <w:p>
      <w:pPr>
        <w:ind w:right="80"/>
        <w:spacing w:after="0" w:line="283" w:lineRule="auto"/>
        <w:rPr>
          <w:sz w:val="20"/>
          <w:szCs w:val="20"/>
          <w:color w:val="auto"/>
        </w:rPr>
      </w:pPr>
      <w:r>
        <w:rPr>
          <w:rFonts w:ascii="Arial" w:cs="Arial" w:eastAsia="Arial" w:hAnsi="Arial"/>
          <w:sz w:val="16"/>
          <w:szCs w:val="16"/>
          <w:color w:val="auto"/>
        </w:rPr>
        <w:t>Net cash used in financing activities was $5,249, $9,128 and $7,741 in fiscal 2006, 2005 and 2004, respectively. Cash dividends to shareholders and a share repurchase plan have been the primary financing uses of cash in each year. During 2005, we amended our bank credit facility to address restrictive covenants and to extend the facility through November 2007. At November 25, 2006, borrowings under this facility totaled $4,000. The interest rate on this facility was 6.82% at November 25, 2006, based on LIBOR plus 1.5%. We purchased and retired 58,100 shares of Common Stock during 2006. The average cost of the shares purchased in 2006 was $17.45, resulting in a total expenditure of $1,014. These purchases were part of our stock repurchase program, approved in 1998, which allows us to repurchase shares for an aggregate purchase price not to exceed $40,000. We purchased and retired 8,600 shares</w:t>
      </w:r>
    </w:p>
    <w:p>
      <w:pPr>
        <w:spacing w:after="0" w:line="1" w:lineRule="exact"/>
        <w:rPr>
          <w:sz w:val="20"/>
          <w:szCs w:val="20"/>
          <w:color w:val="auto"/>
        </w:rPr>
      </w:pPr>
    </w:p>
    <w:p>
      <w:pPr>
        <w:ind w:right="160"/>
        <w:spacing w:after="0" w:line="323" w:lineRule="auto"/>
        <w:rPr>
          <w:sz w:val="20"/>
          <w:szCs w:val="20"/>
          <w:color w:val="auto"/>
        </w:rPr>
      </w:pPr>
      <w:r>
        <w:rPr>
          <w:rFonts w:ascii="Arial" w:cs="Arial" w:eastAsia="Arial" w:hAnsi="Arial"/>
          <w:sz w:val="16"/>
          <w:szCs w:val="16"/>
          <w:color w:val="auto"/>
        </w:rPr>
        <w:t>of Common Stock during 2005. The average cost of the shares purchased in 2005 was $18.00, resulting in a total expenditure of $155. We purchased and retired 44,800 shares of Common Stock for $772 during 2004. As of November 25, 2006, we have approximately $8,200 left in our share repurchase program.</w:t>
      </w:r>
    </w:p>
    <w:p>
      <w:pPr>
        <w:spacing w:after="0" w:line="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- 12</w:t>
      </w:r>
    </w:p>
    <w:p>
      <w:pPr>
        <w:sectPr>
          <w:pgSz w:w="11900" w:h="16838" w:orient="portrait"/>
          <w:cols w:equalWidth="0" w:num="1">
            <w:col w:w="11420"/>
          </w:cols>
          <w:pgMar w:left="240" w:top="459" w:right="23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860"/>
        <w:spacing w:after="0" w:line="262" w:lineRule="auto"/>
        <w:rPr>
          <w:sz w:val="20"/>
          <w:szCs w:val="20"/>
          <w:color w:val="auto"/>
        </w:rPr>
      </w:pPr>
      <w:r>
        <w:rPr>
          <w:rFonts w:ascii="Arial" w:cs="Arial" w:eastAsia="Arial" w:hAnsi="Arial"/>
          <w:sz w:val="18"/>
          <w:szCs w:val="18"/>
          <w:b w:val="1"/>
          <w:bCs w:val="1"/>
          <w:color w:val="auto"/>
        </w:rPr>
        <w:t xml:space="preserve">Management’s Discussion and Analysis of Financial Condition and Results of Operations - </w:t>
      </w:r>
      <w:r>
        <w:rPr>
          <w:rFonts w:ascii="Arial" w:cs="Arial" w:eastAsia="Arial" w:hAnsi="Arial"/>
          <w:sz w:val="18"/>
          <w:szCs w:val="18"/>
          <w:color w:val="auto"/>
        </w:rPr>
        <w:t>Continued</w:t>
      </w:r>
      <w:r>
        <w:rPr>
          <w:rFonts w:ascii="Arial" w:cs="Arial" w:eastAsia="Arial" w:hAnsi="Arial"/>
          <w:sz w:val="18"/>
          <w:szCs w:val="18"/>
          <w:b w:val="1"/>
          <w:bCs w:val="1"/>
          <w:color w:val="auto"/>
        </w:rPr>
        <w:t xml:space="preserve"> </w:t>
      </w:r>
      <w:r>
        <w:rPr>
          <w:rFonts w:ascii="Arial" w:cs="Arial" w:eastAsia="Arial" w:hAnsi="Arial"/>
          <w:sz w:val="18"/>
          <w:szCs w:val="18"/>
          <w:color w:val="auto"/>
        </w:rPr>
        <w:t>Bassett Furniture Industries, Incorporated and Subsidiaries (dollars in thousands except share and per share data)</w:t>
      </w:r>
    </w:p>
    <w:p>
      <w:pPr>
        <w:spacing w:after="0" w:line="138" w:lineRule="exact"/>
        <w:rPr>
          <w:sz w:val="20"/>
          <w:szCs w:val="20"/>
          <w:color w:val="auto"/>
        </w:rPr>
      </w:pPr>
    </w:p>
    <w:p>
      <w:pPr>
        <w:spacing w:after="0"/>
        <w:rPr>
          <w:sz w:val="20"/>
          <w:szCs w:val="20"/>
          <w:color w:val="auto"/>
        </w:rPr>
      </w:pPr>
      <w:r>
        <w:rPr>
          <w:rFonts w:ascii="Arial" w:cs="Arial" w:eastAsia="Arial" w:hAnsi="Arial"/>
          <w:sz w:val="16"/>
          <w:szCs w:val="16"/>
          <w:color w:val="auto"/>
        </w:rPr>
        <w:t>Our consolidated financial statements are prepared on the basis of historical dollars and are not intended to show the impact of inflation or changing prices.</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Neither inflation nor changing prices has had a material effect on our consolidated financial position and results of operations in prior years.</w:t>
      </w:r>
    </w:p>
    <w:p>
      <w:pPr>
        <w:spacing w:after="0" w:line="165" w:lineRule="exact"/>
        <w:rPr>
          <w:sz w:val="20"/>
          <w:szCs w:val="20"/>
          <w:color w:val="auto"/>
        </w:rPr>
      </w:pPr>
    </w:p>
    <w:p>
      <w:pPr>
        <w:ind w:right="160"/>
        <w:spacing w:after="0" w:line="253" w:lineRule="auto"/>
        <w:rPr>
          <w:sz w:val="20"/>
          <w:szCs w:val="20"/>
          <w:color w:val="auto"/>
        </w:rPr>
      </w:pPr>
      <w:r>
        <w:rPr>
          <w:rFonts w:ascii="Arial" w:cs="Arial" w:eastAsia="Arial" w:hAnsi="Arial"/>
          <w:sz w:val="18"/>
          <w:szCs w:val="18"/>
          <w:color w:val="auto"/>
        </w:rPr>
        <w:t>We currently anticipate that wholesale capital spending for fiscal 2007 will approximate $4,000, primarily for machinery and equipment and information technology related to our initiative to develop e-commerce capabilities in 2007 and 2008. Capital spending for retail real estate is expected to be approximately $4,000 in 2007 largely for store build-outs related to our new prototype. Our capital expenditure and working capital requirements in the foreseeable future may change depending on many factors, including but not limited to our rate of growth, our operating results and any other adjustments in our operating plan needed in response to competition, acquisition opportunities or unexpected events. We believe that our existing cash and investment portfolio, and our borrowing capacity, together with cash provided by operations, will be more than sufficient to meet our capital expenditure and working capital requirements for the foreseeable future.</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96" w:lineRule="exact"/>
        <w:rPr>
          <w:sz w:val="20"/>
          <w:szCs w:val="20"/>
          <w:color w:val="auto"/>
        </w:rPr>
      </w:pPr>
    </w:p>
    <w:p>
      <w:pPr>
        <w:spacing w:after="0"/>
        <w:rPr>
          <w:sz w:val="20"/>
          <w:szCs w:val="20"/>
          <w:color w:val="auto"/>
        </w:rPr>
      </w:pPr>
      <w:r>
        <w:rPr>
          <w:rFonts w:ascii="Arial" w:cs="Arial" w:eastAsia="Arial" w:hAnsi="Arial"/>
          <w:sz w:val="16"/>
          <w:szCs w:val="16"/>
          <w:color w:val="auto"/>
        </w:rPr>
        <w:t>We enter into contractual obligations and commercial commitments in the ordinary course of business (See Note 17 for a further discussion of these obligations).</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our contractual payment obligations and other commercial commitments.</w:t>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60" w:type="dxa"/>
            <w:vAlign w:val="bottom"/>
          </w:tcPr>
          <w:p>
            <w:pPr>
              <w:spacing w:after="0"/>
              <w:rPr>
                <w:sz w:val="14"/>
                <w:szCs w:val="14"/>
                <w:color w:val="auto"/>
              </w:rPr>
            </w:pPr>
          </w:p>
        </w:tc>
        <w:tc>
          <w:tcPr>
            <w:tcW w:w="49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jc w:val="right"/>
              <w:ind w:right="74"/>
              <w:spacing w:after="0"/>
              <w:rPr>
                <w:sz w:val="20"/>
                <w:szCs w:val="20"/>
                <w:color w:val="auto"/>
              </w:rPr>
            </w:pPr>
            <w:r>
              <w:rPr>
                <w:rFonts w:ascii="Arial" w:cs="Arial" w:eastAsia="Arial" w:hAnsi="Arial"/>
                <w:sz w:val="14"/>
                <w:szCs w:val="14"/>
                <w:b w:val="1"/>
                <w:bCs w:val="1"/>
                <w:color w:val="auto"/>
                <w:w w:val="96"/>
              </w:rPr>
              <w:t>2007</w:t>
            </w:r>
          </w:p>
        </w:tc>
        <w:tc>
          <w:tcPr>
            <w:tcW w:w="2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jc w:val="right"/>
              <w:ind w:right="74"/>
              <w:spacing w:after="0"/>
              <w:rPr>
                <w:sz w:val="20"/>
                <w:szCs w:val="20"/>
                <w:color w:val="auto"/>
              </w:rPr>
            </w:pPr>
            <w:r>
              <w:rPr>
                <w:rFonts w:ascii="Arial" w:cs="Arial" w:eastAsia="Arial" w:hAnsi="Arial"/>
                <w:sz w:val="14"/>
                <w:szCs w:val="14"/>
                <w:b w:val="1"/>
                <w:bCs w:val="1"/>
                <w:color w:val="auto"/>
                <w:w w:val="96"/>
              </w:rPr>
              <w:t>2008</w:t>
            </w:r>
          </w:p>
        </w:tc>
        <w:tc>
          <w:tcPr>
            <w:tcW w:w="2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74"/>
              <w:spacing w:after="0"/>
              <w:rPr>
                <w:sz w:val="20"/>
                <w:szCs w:val="20"/>
                <w:color w:val="auto"/>
              </w:rPr>
            </w:pPr>
            <w:r>
              <w:rPr>
                <w:rFonts w:ascii="Arial" w:cs="Arial" w:eastAsia="Arial" w:hAnsi="Arial"/>
                <w:sz w:val="14"/>
                <w:szCs w:val="14"/>
                <w:b w:val="1"/>
                <w:bCs w:val="1"/>
                <w:color w:val="auto"/>
              </w:rPr>
              <w:t>2009</w:t>
            </w:r>
          </w:p>
        </w:tc>
        <w:tc>
          <w:tcPr>
            <w:tcW w:w="2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74"/>
              <w:spacing w:after="0"/>
              <w:rPr>
                <w:sz w:val="20"/>
                <w:szCs w:val="20"/>
                <w:color w:val="auto"/>
              </w:rPr>
            </w:pPr>
            <w:r>
              <w:rPr>
                <w:rFonts w:ascii="Arial" w:cs="Arial" w:eastAsia="Arial" w:hAnsi="Arial"/>
                <w:sz w:val="14"/>
                <w:szCs w:val="14"/>
                <w:b w:val="1"/>
                <w:bCs w:val="1"/>
                <w:color w:val="auto"/>
              </w:rPr>
              <w:t>2010</w:t>
            </w:r>
          </w:p>
        </w:tc>
        <w:tc>
          <w:tcPr>
            <w:tcW w:w="2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74"/>
              <w:spacing w:after="0"/>
              <w:rPr>
                <w:sz w:val="20"/>
                <w:szCs w:val="20"/>
                <w:color w:val="auto"/>
              </w:rPr>
            </w:pPr>
            <w:r>
              <w:rPr>
                <w:rFonts w:ascii="Arial" w:cs="Arial" w:eastAsia="Arial" w:hAnsi="Arial"/>
                <w:sz w:val="14"/>
                <w:szCs w:val="14"/>
                <w:b w:val="1"/>
                <w:bCs w:val="1"/>
                <w:color w:val="auto"/>
              </w:rPr>
              <w:t>2011</w:t>
            </w:r>
          </w:p>
        </w:tc>
        <w:tc>
          <w:tcPr>
            <w:tcW w:w="200" w:type="dxa"/>
            <w:vAlign w:val="bottom"/>
          </w:tcPr>
          <w:p>
            <w:pPr>
              <w:spacing w:after="0"/>
              <w:rPr>
                <w:sz w:val="14"/>
                <w:szCs w:val="14"/>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7"/>
              </w:rPr>
              <w:t>Thereafter</w:t>
            </w:r>
          </w:p>
        </w:tc>
        <w:tc>
          <w:tcPr>
            <w:tcW w:w="2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14"/>
              <w:spacing w:after="0"/>
              <w:rPr>
                <w:sz w:val="20"/>
                <w:szCs w:val="20"/>
                <w:color w:val="auto"/>
              </w:rPr>
            </w:pPr>
            <w:r>
              <w:rPr>
                <w:rFonts w:ascii="Arial" w:cs="Arial" w:eastAsia="Arial" w:hAnsi="Arial"/>
                <w:sz w:val="14"/>
                <w:szCs w:val="14"/>
                <w:b w:val="1"/>
                <w:bCs w:val="1"/>
                <w:color w:val="auto"/>
              </w:rPr>
              <w:t>Total</w:t>
            </w:r>
          </w:p>
        </w:tc>
        <w:tc>
          <w:tcPr>
            <w:tcW w:w="20" w:type="dxa"/>
            <w:vAlign w:val="bottom"/>
          </w:tcPr>
          <w:p>
            <w:pPr>
              <w:spacing w:after="0"/>
              <w:rPr>
                <w:sz w:val="14"/>
                <w:szCs w:val="14"/>
                <w:color w:val="auto"/>
              </w:rPr>
            </w:pPr>
          </w:p>
        </w:tc>
      </w:tr>
      <w:tr>
        <w:trPr>
          <w:trHeight w:val="210"/>
        </w:trPr>
        <w:tc>
          <w:tcPr>
            <w:tcW w:w="5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Post employment benefit obligations (1)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1,697</w:t>
            </w:r>
          </w:p>
        </w:tc>
        <w:tc>
          <w:tcPr>
            <w:tcW w:w="3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1,697</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1,666</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1,644</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1,599</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$ 10,868</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19,171</w:t>
            </w:r>
          </w:p>
        </w:tc>
        <w:tc>
          <w:tcPr>
            <w:tcW w:w="20" w:type="dxa"/>
            <w:vAlign w:val="bottom"/>
          </w:tcPr>
          <w:p>
            <w:pPr>
              <w:spacing w:after="0"/>
              <w:rPr>
                <w:sz w:val="18"/>
                <w:szCs w:val="18"/>
                <w:color w:val="auto"/>
              </w:rPr>
            </w:pPr>
          </w:p>
        </w:tc>
      </w:tr>
      <w:tr>
        <w:trPr>
          <w:trHeight w:val="216"/>
        </w:trPr>
        <w:tc>
          <w:tcPr>
            <w:tcW w:w="5920" w:type="dxa"/>
            <w:vAlign w:val="bottom"/>
            <w:gridSpan w:val="2"/>
          </w:tcPr>
          <w:p>
            <w:pPr>
              <w:spacing w:after="0"/>
              <w:rPr>
                <w:sz w:val="20"/>
                <w:szCs w:val="20"/>
                <w:color w:val="auto"/>
              </w:rPr>
            </w:pPr>
            <w:r>
              <w:rPr>
                <w:rFonts w:ascii="Arial" w:cs="Arial" w:eastAsia="Arial" w:hAnsi="Arial"/>
                <w:sz w:val="18"/>
                <w:szCs w:val="18"/>
                <w:color w:val="auto"/>
              </w:rPr>
              <w:t>Real estate notes payable</w:t>
            </w: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622</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672</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729</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8,379</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5,447</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4,295</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20,144</w:t>
            </w:r>
          </w:p>
        </w:tc>
        <w:tc>
          <w:tcPr>
            <w:tcW w:w="20" w:type="dxa"/>
            <w:vAlign w:val="bottom"/>
          </w:tcPr>
          <w:p>
            <w:pPr>
              <w:spacing w:after="0"/>
              <w:rPr>
                <w:sz w:val="18"/>
                <w:szCs w:val="18"/>
                <w:color w:val="auto"/>
              </w:rPr>
            </w:pPr>
          </w:p>
        </w:tc>
      </w:tr>
      <w:tr>
        <w:trPr>
          <w:trHeight w:val="216"/>
        </w:trPr>
        <w:tc>
          <w:tcPr>
            <w:tcW w:w="5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Long-term debt</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4,000</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4,000</w:t>
            </w:r>
          </w:p>
        </w:tc>
        <w:tc>
          <w:tcPr>
            <w:tcW w:w="20" w:type="dxa"/>
            <w:vAlign w:val="bottom"/>
          </w:tcPr>
          <w:p>
            <w:pPr>
              <w:spacing w:after="0"/>
              <w:rPr>
                <w:sz w:val="18"/>
                <w:szCs w:val="18"/>
                <w:color w:val="auto"/>
              </w:rPr>
            </w:pPr>
          </w:p>
        </w:tc>
      </w:tr>
      <w:tr>
        <w:trPr>
          <w:trHeight w:val="216"/>
        </w:trPr>
        <w:tc>
          <w:tcPr>
            <w:tcW w:w="5920" w:type="dxa"/>
            <w:vAlign w:val="bottom"/>
            <w:gridSpan w:val="2"/>
          </w:tcPr>
          <w:p>
            <w:pPr>
              <w:spacing w:after="0"/>
              <w:rPr>
                <w:sz w:val="20"/>
                <w:szCs w:val="20"/>
                <w:color w:val="auto"/>
              </w:rPr>
            </w:pPr>
            <w:r>
              <w:rPr>
                <w:rFonts w:ascii="Arial" w:cs="Arial" w:eastAsia="Arial" w:hAnsi="Arial"/>
                <w:sz w:val="18"/>
                <w:szCs w:val="18"/>
                <w:color w:val="auto"/>
              </w:rPr>
              <w:t>Interest payable</w:t>
            </w: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1,609</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1,537</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1,479</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854</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448</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2,538</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8,465</w:t>
            </w:r>
          </w:p>
        </w:tc>
        <w:tc>
          <w:tcPr>
            <w:tcW w:w="20" w:type="dxa"/>
            <w:vAlign w:val="bottom"/>
          </w:tcPr>
          <w:p>
            <w:pPr>
              <w:spacing w:after="0"/>
              <w:rPr>
                <w:sz w:val="18"/>
                <w:szCs w:val="18"/>
                <w:color w:val="auto"/>
              </w:rPr>
            </w:pPr>
          </w:p>
        </w:tc>
      </w:tr>
      <w:tr>
        <w:trPr>
          <w:trHeight w:val="216"/>
        </w:trPr>
        <w:tc>
          <w:tcPr>
            <w:tcW w:w="5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Letters of credit</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4,136</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4,136</w:t>
            </w:r>
          </w:p>
        </w:tc>
        <w:tc>
          <w:tcPr>
            <w:tcW w:w="20" w:type="dxa"/>
            <w:vAlign w:val="bottom"/>
          </w:tcPr>
          <w:p>
            <w:pPr>
              <w:spacing w:after="0"/>
              <w:rPr>
                <w:sz w:val="18"/>
                <w:szCs w:val="18"/>
                <w:color w:val="auto"/>
              </w:rPr>
            </w:pPr>
          </w:p>
        </w:tc>
      </w:tr>
      <w:tr>
        <w:trPr>
          <w:trHeight w:val="216"/>
        </w:trPr>
        <w:tc>
          <w:tcPr>
            <w:tcW w:w="5920" w:type="dxa"/>
            <w:vAlign w:val="bottom"/>
            <w:gridSpan w:val="2"/>
          </w:tcPr>
          <w:p>
            <w:pPr>
              <w:spacing w:after="0"/>
              <w:rPr>
                <w:sz w:val="20"/>
                <w:szCs w:val="20"/>
                <w:color w:val="auto"/>
              </w:rPr>
            </w:pPr>
            <w:r>
              <w:rPr>
                <w:rFonts w:ascii="Arial" w:cs="Arial" w:eastAsia="Arial" w:hAnsi="Arial"/>
                <w:sz w:val="18"/>
                <w:szCs w:val="18"/>
                <w:color w:val="auto"/>
              </w:rPr>
              <w:t>Operating leases (2)</w:t>
            </w: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12,851</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12,342</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7"/>
              </w:rPr>
              <w:t>11,945</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8"/>
                <w:szCs w:val="18"/>
                <w:color w:val="auto"/>
                <w:w w:val="87"/>
              </w:rPr>
              <w:t>11,720</w:t>
            </w: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7"/>
              </w:rPr>
              <w:t>10,821</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37,086</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96,765</w:t>
            </w:r>
          </w:p>
        </w:tc>
        <w:tc>
          <w:tcPr>
            <w:tcW w:w="20" w:type="dxa"/>
            <w:vAlign w:val="bottom"/>
          </w:tcPr>
          <w:p>
            <w:pPr>
              <w:spacing w:after="0"/>
              <w:rPr>
                <w:sz w:val="18"/>
                <w:szCs w:val="18"/>
                <w:color w:val="auto"/>
              </w:rPr>
            </w:pPr>
          </w:p>
        </w:tc>
      </w:tr>
      <w:tr>
        <w:trPr>
          <w:trHeight w:val="216"/>
        </w:trPr>
        <w:tc>
          <w:tcPr>
            <w:tcW w:w="5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Lease guarantees</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8,722</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2,501</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2,561</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2,343</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2,048</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2,731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20,906</w:t>
            </w:r>
          </w:p>
        </w:tc>
        <w:tc>
          <w:tcPr>
            <w:tcW w:w="20" w:type="dxa"/>
            <w:vAlign w:val="bottom"/>
          </w:tcPr>
          <w:p>
            <w:pPr>
              <w:spacing w:after="0"/>
              <w:rPr>
                <w:sz w:val="18"/>
                <w:szCs w:val="18"/>
                <w:color w:val="auto"/>
              </w:rPr>
            </w:pPr>
          </w:p>
        </w:tc>
      </w:tr>
      <w:tr>
        <w:trPr>
          <w:trHeight w:val="216"/>
        </w:trPr>
        <w:tc>
          <w:tcPr>
            <w:tcW w:w="5920" w:type="dxa"/>
            <w:vAlign w:val="bottom"/>
            <w:gridSpan w:val="2"/>
          </w:tcPr>
          <w:p>
            <w:pPr>
              <w:spacing w:after="0"/>
              <w:rPr>
                <w:sz w:val="20"/>
                <w:szCs w:val="20"/>
                <w:color w:val="auto"/>
              </w:rPr>
            </w:pPr>
            <w:r>
              <w:rPr>
                <w:rFonts w:ascii="Arial" w:cs="Arial" w:eastAsia="Arial" w:hAnsi="Arial"/>
                <w:sz w:val="18"/>
                <w:szCs w:val="18"/>
                <w:color w:val="auto"/>
              </w:rPr>
              <w:t>Loan guarantees</w:t>
            </w: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6,339</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2,955</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753</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ind w:left="2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50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10,047</w:t>
            </w:r>
          </w:p>
        </w:tc>
        <w:tc>
          <w:tcPr>
            <w:tcW w:w="20" w:type="dxa"/>
            <w:vAlign w:val="bottom"/>
          </w:tcPr>
          <w:p>
            <w:pPr>
              <w:spacing w:after="0"/>
              <w:rPr>
                <w:sz w:val="18"/>
                <w:szCs w:val="18"/>
                <w:color w:val="auto"/>
              </w:rPr>
            </w:pPr>
          </w:p>
        </w:tc>
      </w:tr>
      <w:tr>
        <w:trPr>
          <w:trHeight w:val="216"/>
        </w:trPr>
        <w:tc>
          <w:tcPr>
            <w:tcW w:w="5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Purchase obligations (3)</w:t>
            </w: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22"/>
        </w:trPr>
        <w:tc>
          <w:tcPr>
            <w:tcW w:w="5920" w:type="dxa"/>
            <w:vAlign w:val="bottom"/>
            <w:gridSpan w:val="2"/>
          </w:tcPr>
          <w:p>
            <w:pPr>
              <w:ind w:left="440"/>
              <w:spacing w:after="0"/>
              <w:rPr>
                <w:sz w:val="20"/>
                <w:szCs w:val="20"/>
                <w:color w:val="auto"/>
              </w:rPr>
            </w:pPr>
            <w:r>
              <w:rPr>
                <w:rFonts w:ascii="Arial" w:cs="Arial" w:eastAsia="Arial" w:hAnsi="Arial"/>
                <w:sz w:val="18"/>
                <w:szCs w:val="18"/>
                <w:color w:val="auto"/>
              </w:rPr>
              <w:t>Total</w:t>
            </w: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w w:val="83"/>
              </w:rPr>
              <w:t>35,976</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w w:val="83"/>
              </w:rPr>
              <w:t>25,704</w:t>
            </w:r>
          </w:p>
        </w:tc>
        <w:tc>
          <w:tcPr>
            <w:tcW w:w="30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w w:val="87"/>
              </w:rPr>
              <w:t>19,133</w:t>
            </w:r>
          </w:p>
        </w:tc>
        <w:tc>
          <w:tcPr>
            <w:tcW w:w="30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w w:val="87"/>
              </w:rPr>
              <w:t>24,940</w:t>
            </w:r>
          </w:p>
        </w:tc>
        <w:tc>
          <w:tcPr>
            <w:tcW w:w="22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500" w:type="dxa"/>
            <w:vAlign w:val="bottom"/>
          </w:tcPr>
          <w:p>
            <w:pPr>
              <w:jc w:val="right"/>
              <w:spacing w:after="0"/>
              <w:rPr>
                <w:sz w:val="20"/>
                <w:szCs w:val="20"/>
                <w:color w:val="auto"/>
              </w:rPr>
            </w:pPr>
            <w:r>
              <w:rPr>
                <w:rFonts w:ascii="Arial" w:cs="Arial" w:eastAsia="Arial" w:hAnsi="Arial"/>
                <w:sz w:val="18"/>
                <w:szCs w:val="18"/>
                <w:color w:val="auto"/>
                <w:w w:val="87"/>
              </w:rPr>
              <w:t>20,363</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$ 57,518</w:t>
            </w:r>
          </w:p>
        </w:tc>
        <w:tc>
          <w:tcPr>
            <w:tcW w:w="32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600" w:type="dxa"/>
            <w:vAlign w:val="bottom"/>
            <w:gridSpan w:val="2"/>
          </w:tcPr>
          <w:p>
            <w:pPr>
              <w:jc w:val="right"/>
              <w:ind w:right="20"/>
              <w:spacing w:after="0"/>
              <w:rPr>
                <w:sz w:val="20"/>
                <w:szCs w:val="20"/>
                <w:color w:val="auto"/>
              </w:rPr>
            </w:pPr>
            <w:r>
              <w:rPr>
                <w:rFonts w:ascii="Arial" w:cs="Arial" w:eastAsia="Arial" w:hAnsi="Arial"/>
                <w:sz w:val="18"/>
                <w:szCs w:val="18"/>
                <w:color w:val="auto"/>
                <w:w w:val="86"/>
              </w:rPr>
              <w:t>183,634</w:t>
            </w:r>
          </w:p>
        </w:tc>
      </w:tr>
      <w:tr>
        <w:trPr>
          <w:trHeight w:val="20"/>
        </w:trPr>
        <w:tc>
          <w:tcPr>
            <w:tcW w:w="96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03"/>
        </w:trPr>
        <w:tc>
          <w:tcPr>
            <w:tcW w:w="960" w:type="dxa"/>
            <w:vAlign w:val="bottom"/>
            <w:tcBorders>
              <w:bottom w:val="single" w:sz="8" w:color="auto"/>
            </w:tcBorders>
          </w:tcPr>
          <w:p>
            <w:pPr>
              <w:spacing w:after="0"/>
              <w:rPr>
                <w:sz w:val="8"/>
                <w:szCs w:val="8"/>
                <w:color w:val="auto"/>
              </w:rPr>
            </w:pPr>
          </w:p>
        </w:tc>
        <w:tc>
          <w:tcPr>
            <w:tcW w:w="49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8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0" w:type="dxa"/>
            <w:vAlign w:val="bottom"/>
          </w:tcPr>
          <w:p>
            <w:pPr>
              <w:spacing w:after="0"/>
              <w:rPr>
                <w:sz w:val="8"/>
                <w:szCs w:val="8"/>
                <w:color w:val="auto"/>
              </w:rPr>
            </w:pPr>
          </w:p>
        </w:tc>
        <w:tc>
          <w:tcPr>
            <w:tcW w:w="48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Pr>
          <w:p>
            <w:pPr>
              <w:spacing w:after="0"/>
              <w:rPr>
                <w:sz w:val="8"/>
                <w:szCs w:val="8"/>
                <w:color w:val="auto"/>
              </w:rPr>
            </w:pPr>
          </w:p>
        </w:tc>
        <w:tc>
          <w:tcPr>
            <w:tcW w:w="62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 w:type="dxa"/>
            <w:vAlign w:val="bottom"/>
          </w:tcPr>
          <w:p>
            <w:pPr>
              <w:spacing w:after="0"/>
              <w:rPr>
                <w:sz w:val="8"/>
                <w:szCs w:val="8"/>
                <w:color w:val="auto"/>
              </w:rPr>
            </w:pPr>
          </w:p>
        </w:tc>
      </w:tr>
    </w:tbl>
    <w:p>
      <w:pPr>
        <w:spacing w:after="0" w:line="100" w:lineRule="exact"/>
        <w:rPr>
          <w:sz w:val="20"/>
          <w:szCs w:val="20"/>
          <w:color w:val="auto"/>
        </w:rPr>
      </w:pPr>
    </w:p>
    <w:p>
      <w:pPr>
        <w:ind w:left="460" w:right="560" w:hanging="452"/>
        <w:spacing w:after="0" w:line="254" w:lineRule="auto"/>
        <w:tabs>
          <w:tab w:leader="none" w:pos="4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Does not reflect a reduction for the impact of any company owned life insurance proceeds to be received. See Note 12 to the Consolidated Financial Statements for more information.</w:t>
      </w:r>
    </w:p>
    <w:p>
      <w:pPr>
        <w:ind w:left="460" w:hanging="452"/>
        <w:spacing w:after="0"/>
        <w:tabs>
          <w:tab w:leader="none" w:pos="460" w:val="left"/>
        </w:tabs>
        <w:numPr>
          <w:ilvl w:val="0"/>
          <w:numId w:val="18"/>
        </w:numPr>
        <w:rPr>
          <w:rFonts w:ascii="Arial" w:cs="Arial" w:eastAsia="Arial" w:hAnsi="Arial"/>
          <w:sz w:val="16"/>
          <w:szCs w:val="16"/>
          <w:color w:val="auto"/>
        </w:rPr>
      </w:pPr>
      <w:r>
        <w:rPr>
          <w:rFonts w:ascii="Arial" w:cs="Arial" w:eastAsia="Arial" w:hAnsi="Arial"/>
          <w:sz w:val="16"/>
          <w:szCs w:val="16"/>
          <w:color w:val="auto"/>
        </w:rPr>
        <w:t>Does not reflect a reduction for the impact of sublease income to be received. See Note 17 to the Consolidated Financial Statements for more information.</w:t>
      </w:r>
    </w:p>
    <w:p>
      <w:pPr>
        <w:spacing w:after="0" w:line="32" w:lineRule="exact"/>
        <w:rPr>
          <w:rFonts w:ascii="Arial" w:cs="Arial" w:eastAsia="Arial" w:hAnsi="Arial"/>
          <w:sz w:val="16"/>
          <w:szCs w:val="16"/>
          <w:color w:val="auto"/>
        </w:rPr>
      </w:pPr>
    </w:p>
    <w:p>
      <w:pPr>
        <w:ind w:left="460" w:right="380" w:hanging="452"/>
        <w:spacing w:after="0" w:line="323" w:lineRule="auto"/>
        <w:tabs>
          <w:tab w:leader="none" w:pos="460"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 Company is not a party to any long-term supply contracts with respect to the purchase of raw materials or finished goods. At the end of fiscal year 2006, we had $20,893 in open purchase orders, primarily for imported inventories, which are in the ordinary course of business.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96" w:lineRule="exact"/>
        <w:rPr>
          <w:sz w:val="20"/>
          <w:szCs w:val="20"/>
          <w:color w:val="auto"/>
        </w:rPr>
      </w:pPr>
    </w:p>
    <w:p>
      <w:pPr>
        <w:ind w:right="20"/>
        <w:spacing w:after="0" w:line="294" w:lineRule="auto"/>
        <w:rPr>
          <w:sz w:val="20"/>
          <w:szCs w:val="20"/>
          <w:color w:val="auto"/>
        </w:rPr>
      </w:pPr>
      <w:r>
        <w:rPr>
          <w:rFonts w:ascii="Arial" w:cs="Arial" w:eastAsia="Arial" w:hAnsi="Arial"/>
          <w:sz w:val="16"/>
          <w:szCs w:val="16"/>
          <w:color w:val="auto"/>
        </w:rPr>
        <w:t>We utilize stand-by letters of credit in the procurement of certain goods in the normal course of business. We lease land and buildings that are primarily used in the operation of BFD stores. We have guaranteed certain lease obligations of licensee operators of the BFD stores as part of our retail expansion strategy. We also have guaranteed loans of certain of our BFD dealers to finance initial inventory packages for these stores. See Contractual Obligations and Commitments table above and Note 17 to the Consolidated Financial Statement for further discussion of operating leases, lease guarantees and loan guarantees, including descriptions of the terms of such commitments and methods used to mitigate risks associated with these arrangements.</w:t>
      </w:r>
    </w:p>
    <w:p>
      <w:pPr>
        <w:spacing w:after="0" w:line="1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- 13</w:t>
      </w:r>
    </w:p>
    <w:p>
      <w:pPr>
        <w:sectPr>
          <w:pgSz w:w="11900" w:h="16838" w:orient="portrait"/>
          <w:cols w:equalWidth="0" w:num="1">
            <w:col w:w="11420"/>
          </w:cols>
          <w:pgMar w:left="240" w:top="459" w:right="2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840"/>
        <w:spacing w:after="0" w:line="262" w:lineRule="auto"/>
        <w:rPr>
          <w:sz w:val="20"/>
          <w:szCs w:val="20"/>
          <w:color w:val="auto"/>
        </w:rPr>
      </w:pPr>
      <w:r>
        <w:rPr>
          <w:rFonts w:ascii="Arial" w:cs="Arial" w:eastAsia="Arial" w:hAnsi="Arial"/>
          <w:sz w:val="18"/>
          <w:szCs w:val="18"/>
          <w:b w:val="1"/>
          <w:bCs w:val="1"/>
          <w:color w:val="auto"/>
        </w:rPr>
        <w:t xml:space="preserve">Management’s Discussion and Analysis of Financial Condition and Results of Operations - </w:t>
      </w:r>
      <w:r>
        <w:rPr>
          <w:rFonts w:ascii="Arial" w:cs="Arial" w:eastAsia="Arial" w:hAnsi="Arial"/>
          <w:sz w:val="18"/>
          <w:szCs w:val="18"/>
          <w:color w:val="auto"/>
        </w:rPr>
        <w:t>Continued</w:t>
      </w:r>
      <w:r>
        <w:rPr>
          <w:rFonts w:ascii="Arial" w:cs="Arial" w:eastAsia="Arial" w:hAnsi="Arial"/>
          <w:sz w:val="18"/>
          <w:szCs w:val="18"/>
          <w:b w:val="1"/>
          <w:bCs w:val="1"/>
          <w:color w:val="auto"/>
        </w:rPr>
        <w:t xml:space="preserve"> </w:t>
      </w:r>
      <w:r>
        <w:rPr>
          <w:rFonts w:ascii="Arial" w:cs="Arial" w:eastAsia="Arial" w:hAnsi="Arial"/>
          <w:sz w:val="18"/>
          <w:szCs w:val="18"/>
          <w:color w:val="auto"/>
        </w:rPr>
        <w:t>Bassett Furniture Industries, Incorporated and Subsidiaries (dollars in thousands except share and per share data)</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Contingencies</w:t>
      </w:r>
    </w:p>
    <w:p>
      <w:pPr>
        <w:spacing w:after="0" w:line="96"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We are involved in various claims and litigation as well as environmental matters, which arise in the normal course of business. Although the final outcome of these legal and environmental matters cannot be determined, based on the facts presently known, it is our opinion that the final resolution of these matters will not have a material adverse effect on our financial position or future results of operations.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 Risk</w:t>
      </w:r>
    </w:p>
    <w:p>
      <w:pPr>
        <w:spacing w:after="0" w:line="96"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We are exposed to market risk for changes in market prices of our various types of investments. Our investments include marketable securities and an investment partnership (Alternative Asset Fund). Our marketable securities portfolio, which totaled $25,862, at November 25, 2006, is diversified among eight different money managers and twenty-five different equity securities. Although there are no maturity dates for our equity investments, we have plans to partially liquidate our current marketable equity securities portfolio on a scheduled basis over the next four to six years. Maturity dates on other investments in the portfolio range from one to six years.</w:t>
      </w:r>
    </w:p>
    <w:p>
      <w:pPr>
        <w:spacing w:after="0" w:line="143" w:lineRule="exact"/>
        <w:rPr>
          <w:sz w:val="20"/>
          <w:szCs w:val="20"/>
          <w:color w:val="auto"/>
        </w:rPr>
      </w:pPr>
    </w:p>
    <w:p>
      <w:pPr>
        <w:ind w:right="100"/>
        <w:spacing w:after="0" w:line="285" w:lineRule="auto"/>
        <w:rPr>
          <w:sz w:val="20"/>
          <w:szCs w:val="20"/>
          <w:color w:val="auto"/>
        </w:rPr>
      </w:pPr>
      <w:r>
        <w:rPr>
          <w:rFonts w:ascii="Arial" w:cs="Arial" w:eastAsia="Arial" w:hAnsi="Arial"/>
          <w:sz w:val="16"/>
          <w:szCs w:val="16"/>
          <w:color w:val="auto"/>
        </w:rPr>
        <w:t>The Bassett Industries Alternative Asset Fund L.P was organized under the Delaware Revised Uniform Limited Partnership Act and commenced operations on July 1, 1998. Private Advisors, L.L.C. is the general partner (the General Partner) of the Alternative Asset Fund. We and the General Partner are currently the only two partners. The objective of the Alternative Asset Fund is to achieve consistent positive returns, while attempting to reduce risk and volatility, by placing its capital with a variety of hedge funds and experienced portfolio managers. Such hedge funds and portfolio managers employ a variety of trading styles or strategies, including, but not limited to, convertible arbitrage, merger or risk arbitrage, distressed debt, long/short equity, multi-strategy and other market-neutral strategies. The General Partner has discretion to make all investment and trading decisions, including the selection of investment managers. The General Partner selects portfolio managers on the basis of various criteria, including, among other things, the manager’s investment performance during various time periods and market cycles, the fund’s infrastructure, and the manager’s reputation, experience, training and investment philosophy. In general, the General Partner requires that each portfolio manager have a substantial personal investment in the investment program. Our investment in the Alternative Asset Fund, which totaled $52,755 at November 25, 2006, includes investments in various other private limited partnerships, which contain contractual commitments with elements of market risk. These contractual commitments, which include fixed-income securities and derivatives, may involve future settlements, which give rise to both market and credit risk. The investment partnership’s exposure to market risk is determined by a number of factors, including the size, composition, and diversification of positions held, volatility of interest rates, market currency rates, and liquidity. Risks to these funds arise from possible adverse changes in the market value of such interests and the potential inability of counterparties to perform under the terms of the contracts. However, the risk to the Alternative Asset Fund is limited to the amount of the Alternative Asset Fund investment in each of the funds.</w:t>
      </w:r>
    </w:p>
    <w:p>
      <w:pPr>
        <w:spacing w:after="0" w:line="126" w:lineRule="exact"/>
        <w:rPr>
          <w:sz w:val="20"/>
          <w:szCs w:val="20"/>
          <w:color w:val="auto"/>
        </w:rPr>
      </w:pPr>
    </w:p>
    <w:p>
      <w:pPr>
        <w:ind w:right="20"/>
        <w:spacing w:after="0" w:line="298" w:lineRule="auto"/>
        <w:rPr>
          <w:sz w:val="20"/>
          <w:szCs w:val="20"/>
          <w:color w:val="auto"/>
        </w:rPr>
      </w:pPr>
      <w:r>
        <w:rPr>
          <w:rFonts w:ascii="Arial" w:cs="Arial" w:eastAsia="Arial" w:hAnsi="Arial"/>
          <w:sz w:val="16"/>
          <w:szCs w:val="16"/>
          <w:color w:val="auto"/>
        </w:rPr>
        <w:t>We account for our investments by marking them to market value each month based on the net asset values provided by the General Partner. The hedge funds and portfolio managers provide the General Partner with estimated net asset values on a monthly basis that represent the amount the partnership would receive if it were to liquidate its investments in the investee funds. The partnership may redeem part of its investments as of the end of each quarter or calendar year, with no less than 45 days prior written notice (See Note 6 of the Consolidated Financial Statements).</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- 14</w:t>
      </w:r>
    </w:p>
    <w:p>
      <w:pPr>
        <w:sectPr>
          <w:pgSz w:w="11900" w:h="16838" w:orient="portrait"/>
          <w:cols w:equalWidth="0" w:num="1">
            <w:col w:w="11400"/>
          </w:cols>
          <w:pgMar w:left="240" w:top="459" w:right="25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640"/>
        <w:spacing w:after="0" w:line="262" w:lineRule="auto"/>
        <w:rPr>
          <w:sz w:val="20"/>
          <w:szCs w:val="20"/>
          <w:color w:val="auto"/>
        </w:rPr>
      </w:pPr>
      <w:r>
        <w:rPr>
          <w:rFonts w:ascii="Arial" w:cs="Arial" w:eastAsia="Arial" w:hAnsi="Arial"/>
          <w:sz w:val="18"/>
          <w:szCs w:val="18"/>
          <w:b w:val="1"/>
          <w:bCs w:val="1"/>
          <w:color w:val="auto"/>
        </w:rPr>
        <w:t xml:space="preserve">Management’s Discussion and Analysis of Financial Condition and Results of Operations - </w:t>
      </w:r>
      <w:r>
        <w:rPr>
          <w:rFonts w:ascii="Arial" w:cs="Arial" w:eastAsia="Arial" w:hAnsi="Arial"/>
          <w:sz w:val="18"/>
          <w:szCs w:val="18"/>
          <w:color w:val="auto"/>
        </w:rPr>
        <w:t>Continued</w:t>
      </w:r>
      <w:r>
        <w:rPr>
          <w:rFonts w:ascii="Arial" w:cs="Arial" w:eastAsia="Arial" w:hAnsi="Arial"/>
          <w:sz w:val="18"/>
          <w:szCs w:val="18"/>
          <w:b w:val="1"/>
          <w:bCs w:val="1"/>
          <w:color w:val="auto"/>
        </w:rPr>
        <w:t xml:space="preserve"> </w:t>
      </w:r>
      <w:r>
        <w:rPr>
          <w:rFonts w:ascii="Arial" w:cs="Arial" w:eastAsia="Arial" w:hAnsi="Arial"/>
          <w:sz w:val="18"/>
          <w:szCs w:val="18"/>
          <w:color w:val="auto"/>
        </w:rPr>
        <w:t>Bassett Furniture Industries, Incorporated and Subsidiaries (dollars in thousands except share and per share data)</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Safe-harbor, forward-looking statements</w:t>
      </w:r>
    </w:p>
    <w:p>
      <w:pPr>
        <w:spacing w:after="0" w:line="96" w:lineRule="exact"/>
        <w:rPr>
          <w:sz w:val="20"/>
          <w:szCs w:val="20"/>
          <w:color w:val="auto"/>
        </w:rPr>
      </w:pPr>
    </w:p>
    <w:p>
      <w:pPr>
        <w:spacing w:after="0" w:line="298" w:lineRule="auto"/>
        <w:rPr>
          <w:sz w:val="20"/>
          <w:szCs w:val="20"/>
          <w:color w:val="auto"/>
        </w:rPr>
      </w:pPr>
      <w:r>
        <w:rPr>
          <w:rFonts w:ascii="Arial" w:cs="Arial" w:eastAsia="Arial" w:hAnsi="Arial"/>
          <w:sz w:val="16"/>
          <w:szCs w:val="16"/>
          <w:color w:val="auto"/>
        </w:rPr>
        <w:t>This discussion contains certain forward-looking statements within the meaning of the Private Securities Litigation Reform Act of 1995 with respect to the financial condition, results of operations and business of Bassett Furniture Industries, Incorporated and Subsidiaries. These forward-looking statements involve certain risks and uncertainties. No assurance can be given that any such matters will be realized. Important factors that could cause actual results to differ materially from those contemplated by such forward-looking statements are described in our annual report on Form 10-K for fiscal 2006 and include:</w:t>
      </w:r>
    </w:p>
    <w:p>
      <w:pPr>
        <w:spacing w:after="0" w:line="32" w:lineRule="exact"/>
        <w:rPr>
          <w:sz w:val="20"/>
          <w:szCs w:val="20"/>
          <w:color w:val="auto"/>
        </w:rPr>
      </w:pPr>
    </w:p>
    <w:p>
      <w:pPr>
        <w:ind w:left="460" w:hanging="452"/>
        <w:spacing w:after="0"/>
        <w:tabs>
          <w:tab w:leader="none" w:pos="4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competitive conditions in the home furnishings industry</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general economic conditions</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overall consumer demand for home furnishings</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BFD store openings</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BFD store closings and the profitability of BFD stores (independent licensees, Company-owned retail stores and partnership licensees)</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ability to implement our Company-owned retail strategies and realize the benefits from such strategies as they are implemented</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19"/>
        </w:numPr>
        <w:rPr>
          <w:rFonts w:ascii="Arial" w:cs="Arial" w:eastAsia="Arial" w:hAnsi="Arial"/>
          <w:sz w:val="16"/>
          <w:szCs w:val="16"/>
          <w:color w:val="auto"/>
        </w:rPr>
      </w:pPr>
      <w:r>
        <w:rPr>
          <w:rFonts w:ascii="Arial" w:cs="Arial" w:eastAsia="Arial" w:hAnsi="Arial"/>
          <w:sz w:val="16"/>
          <w:szCs w:val="16"/>
          <w:color w:val="auto"/>
        </w:rPr>
        <w:t>fluctuations in the cost and availability of raw materials, labor and sourced products (including foam and certain petroleum based products)</w:t>
      </w:r>
    </w:p>
    <w:p>
      <w:pPr>
        <w:spacing w:after="0" w:line="113" w:lineRule="exact"/>
        <w:rPr>
          <w:rFonts w:ascii="Arial" w:cs="Arial" w:eastAsia="Arial" w:hAnsi="Arial"/>
          <w:sz w:val="16"/>
          <w:szCs w:val="16"/>
          <w:color w:val="auto"/>
        </w:rPr>
      </w:pPr>
    </w:p>
    <w:p>
      <w:pPr>
        <w:ind w:left="460" w:hanging="452"/>
        <w:spacing w:after="0"/>
        <w:tabs>
          <w:tab w:leader="none" w:pos="4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results of marketing and advertising campaigns</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information and technology advances</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ability to execute new global sourcing strategies</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performance of our investment portfolio</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future tax legislation, or regulatory or judicial positions</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ability to efficiently manage the import supply chain to minimize business interruption</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effects of profit improvement initiatives in our domestic wood operations</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continued profitability of our unconsolidated affiliated companies, particularly IHFC</w:t>
      </w:r>
    </w:p>
    <w:p>
      <w:pPr>
        <w:spacing w:after="0" w:line="158"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F - 15</w:t>
      </w:r>
    </w:p>
    <w:p>
      <w:pPr>
        <w:sectPr>
          <w:pgSz w:w="11900" w:h="16838" w:orient="portrait"/>
          <w:cols w:equalWidth="0" w:num="1">
            <w:col w:w="11200"/>
          </w:cols>
          <w:pgMar w:left="240" w:top="459" w:right="45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Consolidated Balance Sheets</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Bassett Furniture Industries, Incorporated and Subsidiaries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November 25, 2006, and November 26, 2005 (Restated)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40" w:type="dxa"/>
            <w:vAlign w:val="bottom"/>
            <w:gridSpan w:val="3"/>
          </w:tcPr>
          <w:p>
            <w:pPr>
              <w:jc w:val="right"/>
              <w:ind w:right="60"/>
              <w:spacing w:after="0"/>
              <w:rPr>
                <w:sz w:val="20"/>
                <w:szCs w:val="20"/>
                <w:color w:val="auto"/>
              </w:rPr>
            </w:pPr>
            <w:r>
              <w:rPr>
                <w:rFonts w:ascii="Arial" w:cs="Arial" w:eastAsia="Arial" w:hAnsi="Arial"/>
                <w:sz w:val="14"/>
                <w:szCs w:val="14"/>
                <w:b w:val="1"/>
                <w:bCs w:val="1"/>
                <w:color w:val="auto"/>
                <w:w w:val="86"/>
              </w:rPr>
              <w:t>As restated</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97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rPr>
              <w:t>2006</w:t>
            </w:r>
          </w:p>
        </w:tc>
        <w:tc>
          <w:tcPr>
            <w:tcW w:w="2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133"/>
              <w:spacing w:after="0"/>
              <w:rPr>
                <w:sz w:val="20"/>
                <w:szCs w:val="20"/>
                <w:color w:val="auto"/>
              </w:rPr>
            </w:pPr>
            <w:r>
              <w:rPr>
                <w:rFonts w:ascii="Arial" w:cs="Arial" w:eastAsia="Arial" w:hAnsi="Arial"/>
                <w:sz w:val="14"/>
                <w:szCs w:val="14"/>
                <w:b w:val="1"/>
                <w:bCs w:val="1"/>
                <w:color w:val="auto"/>
              </w:rPr>
              <w:t>2005</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97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2"/>
        </w:trPr>
        <w:tc>
          <w:tcPr>
            <w:tcW w:w="9800" w:type="dxa"/>
            <w:vAlign w:val="bottom"/>
            <w:gridSpan w:val="2"/>
          </w:tcPr>
          <w:p>
            <w:pPr>
              <w:spacing w:after="0"/>
              <w:rPr>
                <w:sz w:val="20"/>
                <w:szCs w:val="20"/>
                <w:color w:val="auto"/>
              </w:rPr>
            </w:pPr>
            <w:r>
              <w:rPr>
                <w:rFonts w:ascii="Arial" w:cs="Arial" w:eastAsia="Arial" w:hAnsi="Arial"/>
                <w:sz w:val="18"/>
                <w:szCs w:val="18"/>
                <w:b w:val="1"/>
                <w:bCs w:val="1"/>
                <w:color w:val="auto"/>
              </w:rPr>
              <w:t>Current assets</w:t>
            </w: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97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Cash and cash equivalents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6,051</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7,109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9780" w:type="dxa"/>
            <w:vAlign w:val="bottom"/>
          </w:tcPr>
          <w:p>
            <w:pPr>
              <w:ind w:left="420"/>
              <w:spacing w:after="0"/>
              <w:rPr>
                <w:sz w:val="20"/>
                <w:szCs w:val="20"/>
                <w:color w:val="auto"/>
              </w:rPr>
            </w:pPr>
            <w:r>
              <w:rPr>
                <w:rFonts w:ascii="Arial" w:cs="Arial" w:eastAsia="Arial" w:hAnsi="Arial"/>
                <w:sz w:val="18"/>
                <w:szCs w:val="18"/>
                <w:color w:val="auto"/>
                <w:w w:val="92"/>
              </w:rPr>
              <w:t>Accounts receivable, net of allowance for doubtful accounts of $5,746 and $3,726 as of November 25, 2006 and November 25,</w:t>
            </w: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9780" w:type="dxa"/>
            <w:vAlign w:val="bottom"/>
          </w:tcPr>
          <w:p>
            <w:pPr>
              <w:ind w:left="640"/>
              <w:spacing w:after="0"/>
              <w:rPr>
                <w:sz w:val="20"/>
                <w:szCs w:val="20"/>
                <w:color w:val="auto"/>
              </w:rPr>
            </w:pPr>
            <w:r>
              <w:rPr>
                <w:rFonts w:ascii="Arial" w:cs="Arial" w:eastAsia="Arial" w:hAnsi="Arial"/>
                <w:sz w:val="18"/>
                <w:szCs w:val="18"/>
                <w:color w:val="auto"/>
              </w:rPr>
              <w:t>2005, respectively</w:t>
            </w: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38,253</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37,069</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97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Inventories</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48,880</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50,995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80" w:type="dxa"/>
            <w:vAlign w:val="bottom"/>
          </w:tcPr>
          <w:p>
            <w:pPr>
              <w:ind w:left="420"/>
              <w:spacing w:after="0"/>
              <w:rPr>
                <w:sz w:val="20"/>
                <w:szCs w:val="20"/>
                <w:color w:val="auto"/>
              </w:rPr>
            </w:pPr>
            <w:r>
              <w:rPr>
                <w:rFonts w:ascii="Arial" w:cs="Arial" w:eastAsia="Arial" w:hAnsi="Arial"/>
                <w:sz w:val="18"/>
                <w:szCs w:val="18"/>
                <w:color w:val="auto"/>
              </w:rPr>
              <w:t>Deferred income taxes</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6,391</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5,188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Assets held for sale</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1,091</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780" w:type="dxa"/>
            <w:vAlign w:val="bottom"/>
          </w:tcPr>
          <w:p>
            <w:pPr>
              <w:ind w:left="420"/>
              <w:spacing w:after="0"/>
              <w:rPr>
                <w:sz w:val="20"/>
                <w:szCs w:val="20"/>
                <w:color w:val="auto"/>
              </w:rPr>
            </w:pPr>
            <w:r>
              <w:rPr>
                <w:rFonts w:ascii="Arial" w:cs="Arial" w:eastAsia="Arial" w:hAnsi="Arial"/>
                <w:sz w:val="18"/>
                <w:szCs w:val="18"/>
                <w:color w:val="auto"/>
              </w:rPr>
              <w:t>Other current assets</w:t>
            </w: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5,098</w:t>
            </w:r>
          </w:p>
        </w:tc>
        <w:tc>
          <w:tcPr>
            <w:tcW w:w="2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3,626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Total current assets</w:t>
            </w: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105,764</w:t>
            </w:r>
          </w:p>
        </w:tc>
        <w:tc>
          <w:tcPr>
            <w:tcW w:w="2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105,172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0"/>
        </w:trPr>
        <w:tc>
          <w:tcPr>
            <w:tcW w:w="9800" w:type="dxa"/>
            <w:vAlign w:val="bottom"/>
            <w:gridSpan w:val="2"/>
          </w:tcPr>
          <w:p>
            <w:pPr>
              <w:spacing w:after="0"/>
              <w:rPr>
                <w:sz w:val="20"/>
                <w:szCs w:val="20"/>
                <w:color w:val="auto"/>
              </w:rPr>
            </w:pPr>
            <w:r>
              <w:rPr>
                <w:rFonts w:ascii="Arial" w:cs="Arial" w:eastAsia="Arial" w:hAnsi="Arial"/>
                <w:sz w:val="18"/>
                <w:szCs w:val="18"/>
                <w:b w:val="1"/>
                <w:bCs w:val="1"/>
                <w:color w:val="auto"/>
              </w:rPr>
              <w:t>Property and equipment, net</w:t>
            </w:r>
          </w:p>
        </w:tc>
        <w:tc>
          <w:tcPr>
            <w:tcW w:w="10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58,925</w:t>
            </w: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64,644</w:t>
            </w:r>
          </w:p>
        </w:tc>
        <w:tc>
          <w:tcPr>
            <w:tcW w:w="0" w:type="dxa"/>
            <w:vAlign w:val="bottom"/>
          </w:tcPr>
          <w:p>
            <w:pPr>
              <w:spacing w:after="0"/>
              <w:rPr>
                <w:sz w:val="1"/>
                <w:szCs w:val="1"/>
                <w:color w:val="auto"/>
              </w:rPr>
            </w:pPr>
          </w:p>
        </w:tc>
      </w:tr>
      <w:tr>
        <w:trPr>
          <w:trHeight w:val="116"/>
        </w:trPr>
        <w:tc>
          <w:tcPr>
            <w:tcW w:w="20" w:type="dxa"/>
            <w:vAlign w:val="bottom"/>
            <w:vMerge w:val="restart"/>
          </w:tcPr>
          <w:p>
            <w:pPr>
              <w:spacing w:after="0"/>
              <w:rPr>
                <w:sz w:val="10"/>
                <w:szCs w:val="10"/>
                <w:color w:val="auto"/>
              </w:rPr>
            </w:pPr>
          </w:p>
        </w:tc>
        <w:tc>
          <w:tcPr>
            <w:tcW w:w="978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tcPr>
          <w:p>
            <w:pPr>
              <w:spacing w:after="0"/>
              <w:rPr>
                <w:sz w:val="10"/>
                <w:szCs w:val="10"/>
                <w:color w:val="auto"/>
              </w:rPr>
            </w:pPr>
          </w:p>
        </w:tc>
        <w:tc>
          <w:tcPr>
            <w:tcW w:w="20" w:type="dxa"/>
            <w:vAlign w:val="bottom"/>
            <w:vMerge w:val="restart"/>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9780" w:type="dxa"/>
            <w:vAlign w:val="bottom"/>
            <w:shd w:val="clear" w:color="auto" w:fill="CCEEFF"/>
          </w:tcPr>
          <w:p>
            <w:pPr>
              <w:spacing w:after="0"/>
              <w:rPr>
                <w:sz w:val="20"/>
                <w:szCs w:val="20"/>
                <w:color w:val="auto"/>
              </w:rPr>
            </w:pPr>
            <w:r>
              <w:rPr>
                <w:rFonts w:ascii="Arial" w:cs="Arial" w:eastAsia="Arial" w:hAnsi="Arial"/>
                <w:sz w:val="18"/>
                <w:szCs w:val="18"/>
                <w:color w:val="auto"/>
              </w:rPr>
              <w:t>Investments</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78,617</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76,890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80" w:type="dxa"/>
            <w:vAlign w:val="bottom"/>
          </w:tcPr>
          <w:p>
            <w:pPr>
              <w:spacing w:after="0"/>
              <w:rPr>
                <w:sz w:val="20"/>
                <w:szCs w:val="20"/>
                <w:color w:val="auto"/>
              </w:rPr>
            </w:pPr>
            <w:r>
              <w:rPr>
                <w:rFonts w:ascii="Arial" w:cs="Arial" w:eastAsia="Arial" w:hAnsi="Arial"/>
                <w:sz w:val="18"/>
                <w:szCs w:val="18"/>
                <w:color w:val="auto"/>
              </w:rPr>
              <w:t>Retail real estate</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33,501</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31,640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9780" w:type="dxa"/>
            <w:vAlign w:val="bottom"/>
            <w:shd w:val="clear" w:color="auto" w:fill="CCEEFF"/>
          </w:tcPr>
          <w:p>
            <w:pPr>
              <w:spacing w:after="0"/>
              <w:rPr>
                <w:sz w:val="20"/>
                <w:szCs w:val="20"/>
                <w:color w:val="auto"/>
              </w:rPr>
            </w:pPr>
            <w:r>
              <w:rPr>
                <w:rFonts w:ascii="Arial" w:cs="Arial" w:eastAsia="Arial" w:hAnsi="Arial"/>
                <w:sz w:val="18"/>
                <w:szCs w:val="18"/>
                <w:color w:val="auto"/>
                <w:w w:val="94"/>
              </w:rPr>
              <w:t>Notes receivable, net of allowance for doubtful accounts of $2,855 and $1,500 as of November 25, 2006 and November 26, 2005,</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97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respectively</w:t>
            </w:r>
          </w:p>
        </w:tc>
        <w:tc>
          <w:tcPr>
            <w:tcW w:w="10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15,105</w:t>
            </w:r>
          </w:p>
        </w:tc>
        <w:tc>
          <w:tcPr>
            <w:tcW w:w="2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15,768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780" w:type="dxa"/>
            <w:vAlign w:val="bottom"/>
          </w:tcPr>
          <w:p>
            <w:pPr>
              <w:spacing w:after="0"/>
              <w:rPr>
                <w:sz w:val="20"/>
                <w:szCs w:val="20"/>
                <w:color w:val="auto"/>
              </w:rPr>
            </w:pPr>
            <w:r>
              <w:rPr>
                <w:rFonts w:ascii="Arial" w:cs="Arial" w:eastAsia="Arial" w:hAnsi="Arial"/>
                <w:sz w:val="18"/>
                <w:szCs w:val="18"/>
                <w:color w:val="auto"/>
              </w:rPr>
              <w:t>Other</w:t>
            </w: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18,025</w:t>
            </w:r>
          </w:p>
        </w:tc>
        <w:tc>
          <w:tcPr>
            <w:tcW w:w="2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19,044</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145,248</w:t>
            </w:r>
          </w:p>
        </w:tc>
        <w:tc>
          <w:tcPr>
            <w:tcW w:w="2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143,342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9800" w:type="dxa"/>
            <w:vAlign w:val="bottom"/>
            <w:gridSpan w:val="2"/>
          </w:tcPr>
          <w:p>
            <w:pPr>
              <w:spacing w:after="0"/>
              <w:rPr>
                <w:sz w:val="20"/>
                <w:szCs w:val="20"/>
                <w:color w:val="auto"/>
              </w:rPr>
            </w:pPr>
            <w:r>
              <w:rPr>
                <w:rFonts w:ascii="Arial" w:cs="Arial" w:eastAsia="Arial" w:hAnsi="Arial"/>
                <w:sz w:val="18"/>
                <w:szCs w:val="18"/>
                <w:b w:val="1"/>
                <w:bCs w:val="1"/>
                <w:color w:val="auto"/>
              </w:rPr>
              <w:t>Total assets</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w w:val="86"/>
              </w:rPr>
              <w:t>309,937</w:t>
            </w:r>
          </w:p>
        </w:tc>
        <w:tc>
          <w:tcPr>
            <w:tcW w:w="22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w w:val="89"/>
              </w:rPr>
              <w:t>313,158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7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97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Liabilities and Stockholders’ Equity</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2"/>
        </w:trPr>
        <w:tc>
          <w:tcPr>
            <w:tcW w:w="9800" w:type="dxa"/>
            <w:vAlign w:val="bottom"/>
            <w:gridSpan w:val="2"/>
          </w:tcPr>
          <w:p>
            <w:pPr>
              <w:spacing w:after="0"/>
              <w:rPr>
                <w:sz w:val="20"/>
                <w:szCs w:val="20"/>
                <w:color w:val="auto"/>
              </w:rPr>
            </w:pPr>
            <w:r>
              <w:rPr>
                <w:rFonts w:ascii="Arial" w:cs="Arial" w:eastAsia="Arial" w:hAnsi="Arial"/>
                <w:sz w:val="18"/>
                <w:szCs w:val="18"/>
                <w:b w:val="1"/>
                <w:bCs w:val="1"/>
                <w:color w:val="auto"/>
              </w:rPr>
              <w:t>Current liabilities</w:t>
            </w: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97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Accounts payable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16,927</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19,421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80" w:type="dxa"/>
            <w:vAlign w:val="bottom"/>
          </w:tcPr>
          <w:p>
            <w:pPr>
              <w:ind w:left="420"/>
              <w:spacing w:after="0"/>
              <w:rPr>
                <w:sz w:val="20"/>
                <w:szCs w:val="20"/>
                <w:color w:val="auto"/>
              </w:rPr>
            </w:pPr>
            <w:r>
              <w:rPr>
                <w:rFonts w:ascii="Arial" w:cs="Arial" w:eastAsia="Arial" w:hAnsi="Arial"/>
                <w:sz w:val="18"/>
                <w:szCs w:val="18"/>
                <w:color w:val="auto"/>
              </w:rPr>
              <w:t>Accrued compensation and benefits</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5,561</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7,094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Customer deposits</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8,310</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7,525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80" w:type="dxa"/>
            <w:vAlign w:val="bottom"/>
          </w:tcPr>
          <w:p>
            <w:pPr>
              <w:ind w:left="420"/>
              <w:spacing w:after="0"/>
              <w:rPr>
                <w:sz w:val="20"/>
                <w:szCs w:val="20"/>
                <w:color w:val="auto"/>
              </w:rPr>
            </w:pPr>
            <w:r>
              <w:rPr>
                <w:rFonts w:ascii="Arial" w:cs="Arial" w:eastAsia="Arial" w:hAnsi="Arial"/>
                <w:sz w:val="18"/>
                <w:szCs w:val="18"/>
                <w:color w:val="auto"/>
              </w:rPr>
              <w:t>Dividends payable</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2,361</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2,363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Other accrued liabilities</w:t>
            </w: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10,401</w:t>
            </w:r>
          </w:p>
        </w:tc>
        <w:tc>
          <w:tcPr>
            <w:tcW w:w="2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11,714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780" w:type="dxa"/>
            <w:vAlign w:val="bottom"/>
          </w:tcPr>
          <w:p>
            <w:pPr>
              <w:ind w:left="420"/>
              <w:spacing w:after="0"/>
              <w:rPr>
                <w:sz w:val="20"/>
                <w:szCs w:val="20"/>
                <w:color w:val="auto"/>
              </w:rPr>
            </w:pPr>
            <w:r>
              <w:rPr>
                <w:rFonts w:ascii="Arial" w:cs="Arial" w:eastAsia="Arial" w:hAnsi="Arial"/>
                <w:sz w:val="18"/>
                <w:szCs w:val="18"/>
                <w:color w:val="auto"/>
              </w:rPr>
              <w:t>Total current liabilities</w:t>
            </w:r>
          </w:p>
        </w:tc>
        <w:tc>
          <w:tcPr>
            <w:tcW w:w="10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43,560</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48,117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Long-term liabilities</w:t>
            </w: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80" w:type="dxa"/>
            <w:vAlign w:val="bottom"/>
          </w:tcPr>
          <w:p>
            <w:pPr>
              <w:ind w:left="420"/>
              <w:spacing w:after="0"/>
              <w:rPr>
                <w:sz w:val="20"/>
                <w:szCs w:val="20"/>
                <w:color w:val="auto"/>
              </w:rPr>
            </w:pPr>
            <w:r>
              <w:rPr>
                <w:rFonts w:ascii="Arial" w:cs="Arial" w:eastAsia="Arial" w:hAnsi="Arial"/>
                <w:sz w:val="18"/>
                <w:szCs w:val="18"/>
                <w:color w:val="auto"/>
              </w:rPr>
              <w:t>Post employment benefit obligations</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15,263</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14,857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Long-term debt</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4,000</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80" w:type="dxa"/>
            <w:vAlign w:val="bottom"/>
          </w:tcPr>
          <w:p>
            <w:pPr>
              <w:ind w:left="420"/>
              <w:spacing w:after="0"/>
              <w:rPr>
                <w:sz w:val="20"/>
                <w:szCs w:val="20"/>
                <w:color w:val="auto"/>
              </w:rPr>
            </w:pPr>
            <w:r>
              <w:rPr>
                <w:rFonts w:ascii="Arial" w:cs="Arial" w:eastAsia="Arial" w:hAnsi="Arial"/>
                <w:sz w:val="18"/>
                <w:szCs w:val="18"/>
                <w:color w:val="auto"/>
              </w:rPr>
              <w:t>Real estate notes payable</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19,522</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15,144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Distributions in excess of affiliate earnings</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11,726</w:t>
            </w: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11,833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7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9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gridSpan w:val="2"/>
          </w:tcPr>
          <w:p>
            <w:pPr>
              <w:ind w:left="120"/>
              <w:spacing w:after="0"/>
              <w:rPr>
                <w:sz w:val="20"/>
                <w:szCs w:val="20"/>
                <w:color w:val="auto"/>
              </w:rPr>
            </w:pPr>
            <w:r>
              <w:rPr>
                <w:rFonts w:ascii="Arial" w:cs="Arial" w:eastAsia="Arial" w:hAnsi="Arial"/>
                <w:sz w:val="18"/>
                <w:szCs w:val="18"/>
                <w:color w:val="auto"/>
              </w:rPr>
              <w:t>50,511</w:t>
            </w:r>
          </w:p>
        </w:tc>
        <w:tc>
          <w:tcPr>
            <w:tcW w:w="120" w:type="dxa"/>
            <w:vAlign w:val="bottom"/>
          </w:tcPr>
          <w:p>
            <w:pPr>
              <w:spacing w:after="0"/>
              <w:rPr>
                <w:sz w:val="20"/>
                <w:szCs w:val="20"/>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45,744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Commitments and Contingencies</w:t>
            </w: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3"/>
        </w:trPr>
        <w:tc>
          <w:tcPr>
            <w:tcW w:w="9800" w:type="dxa"/>
            <w:vAlign w:val="bottom"/>
            <w:gridSpan w:val="2"/>
          </w:tcPr>
          <w:p>
            <w:pPr>
              <w:spacing w:after="0"/>
              <w:rPr>
                <w:sz w:val="20"/>
                <w:szCs w:val="20"/>
                <w:color w:val="auto"/>
              </w:rPr>
            </w:pPr>
            <w:r>
              <w:rPr>
                <w:rFonts w:ascii="Arial" w:cs="Arial" w:eastAsia="Arial" w:hAnsi="Arial"/>
                <w:sz w:val="18"/>
                <w:szCs w:val="18"/>
                <w:b w:val="1"/>
                <w:bCs w:val="1"/>
                <w:color w:val="auto"/>
              </w:rPr>
              <w:t>Stockholders’ equity</w:t>
            </w: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9780" w:type="dxa"/>
            <w:vAlign w:val="bottom"/>
            <w:shd w:val="clear" w:color="auto" w:fill="CCEEFF"/>
          </w:tcPr>
          <w:p>
            <w:pPr>
              <w:ind w:left="420"/>
              <w:spacing w:after="0"/>
              <w:rPr>
                <w:sz w:val="20"/>
                <w:szCs w:val="20"/>
                <w:color w:val="auto"/>
              </w:rPr>
            </w:pPr>
            <w:r>
              <w:rPr>
                <w:rFonts w:ascii="Arial" w:cs="Arial" w:eastAsia="Arial" w:hAnsi="Arial"/>
                <w:sz w:val="18"/>
                <w:szCs w:val="18"/>
                <w:color w:val="auto"/>
                <w:w w:val="90"/>
              </w:rPr>
              <w:t>Common stock, par value $5 a share, 50,000,000 shares authorized, issued and outstanding - 11,803,656 in 2006 and 11,804,458</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9780" w:type="dxa"/>
            <w:vAlign w:val="bottom"/>
            <w:shd w:val="clear" w:color="auto" w:fill="CCEEFF"/>
          </w:tcPr>
          <w:p>
            <w:pPr>
              <w:ind w:left="640"/>
              <w:spacing w:after="0"/>
              <w:rPr>
                <w:sz w:val="20"/>
                <w:szCs w:val="20"/>
                <w:color w:val="auto"/>
              </w:rPr>
            </w:pPr>
            <w:r>
              <w:rPr>
                <w:rFonts w:ascii="Arial" w:cs="Arial" w:eastAsia="Arial" w:hAnsi="Arial"/>
                <w:sz w:val="18"/>
                <w:szCs w:val="18"/>
                <w:color w:val="auto"/>
              </w:rPr>
              <w:t>in 2005</w:t>
            </w:r>
          </w:p>
        </w:tc>
        <w:tc>
          <w:tcPr>
            <w:tcW w:w="10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59,018</w:t>
            </w:r>
          </w:p>
        </w:tc>
        <w:tc>
          <w:tcPr>
            <w:tcW w:w="2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59,022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80" w:type="dxa"/>
            <w:vAlign w:val="bottom"/>
          </w:tcPr>
          <w:p>
            <w:pPr>
              <w:ind w:left="420"/>
              <w:spacing w:after="0"/>
              <w:rPr>
                <w:sz w:val="20"/>
                <w:szCs w:val="20"/>
                <w:color w:val="auto"/>
              </w:rPr>
            </w:pPr>
            <w:r>
              <w:rPr>
                <w:rFonts w:ascii="Arial" w:cs="Arial" w:eastAsia="Arial" w:hAnsi="Arial"/>
                <w:sz w:val="18"/>
                <w:szCs w:val="18"/>
                <w:color w:val="auto"/>
              </w:rPr>
              <w:t>Retained earnings</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86"/>
              </w:rPr>
              <w:t>151,535</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155,555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Additional paid-in-capital</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1,993</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2,068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780" w:type="dxa"/>
            <w:vAlign w:val="bottom"/>
          </w:tcPr>
          <w:p>
            <w:pPr>
              <w:ind w:left="420"/>
              <w:spacing w:after="0"/>
              <w:rPr>
                <w:sz w:val="20"/>
                <w:szCs w:val="20"/>
                <w:color w:val="auto"/>
              </w:rPr>
            </w:pPr>
            <w:r>
              <w:rPr>
                <w:rFonts w:ascii="Arial" w:cs="Arial" w:eastAsia="Arial" w:hAnsi="Arial"/>
                <w:sz w:val="18"/>
                <w:szCs w:val="18"/>
                <w:color w:val="auto"/>
              </w:rPr>
              <w:t>Accumulated other comprehensive income</w:t>
            </w: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3,320</w:t>
            </w:r>
          </w:p>
        </w:tc>
        <w:tc>
          <w:tcPr>
            <w:tcW w:w="2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2,652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Total stockholders’ equity</w:t>
            </w: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215,866</w:t>
            </w:r>
          </w:p>
        </w:tc>
        <w:tc>
          <w:tcPr>
            <w:tcW w:w="2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219,297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9800" w:type="dxa"/>
            <w:vAlign w:val="bottom"/>
            <w:gridSpan w:val="2"/>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w w:val="86"/>
              </w:rPr>
              <w:t>309,937</w:t>
            </w:r>
          </w:p>
        </w:tc>
        <w:tc>
          <w:tcPr>
            <w:tcW w:w="22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w w:val="89"/>
              </w:rPr>
              <w:t>313,158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7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to consolidated financial statements are an integral part of these balance sheets.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- 16</w:t>
      </w:r>
    </w:p>
    <w:p>
      <w:pPr>
        <w:sectPr>
          <w:pgSz w:w="11900" w:h="16838" w:orient="portrait"/>
          <w:cols w:equalWidth="0" w:num="1">
            <w:col w:w="11420"/>
          </w:cols>
          <w:pgMar w:left="240" w:top="459" w:right="2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Consolidated Statements of Income</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Bassett Furniture Industries, Incorporated and Subsidiaries</w:t>
      </w:r>
    </w:p>
    <w:p>
      <w:pPr>
        <w:spacing w:after="0" w:line="9" w:lineRule="exact"/>
        <w:rPr>
          <w:sz w:val="20"/>
          <w:szCs w:val="20"/>
          <w:color w:val="auto"/>
        </w:rPr>
      </w:pPr>
    </w:p>
    <w:p>
      <w:pPr>
        <w:ind w:right="4560"/>
        <w:spacing w:after="0" w:line="261" w:lineRule="auto"/>
        <w:rPr>
          <w:sz w:val="20"/>
          <w:szCs w:val="20"/>
          <w:color w:val="auto"/>
        </w:rPr>
      </w:pPr>
      <w:r>
        <w:rPr>
          <w:rFonts w:ascii="Arial" w:cs="Arial" w:eastAsia="Arial" w:hAnsi="Arial"/>
          <w:sz w:val="18"/>
          <w:szCs w:val="18"/>
          <w:color w:val="auto"/>
        </w:rPr>
        <w:t>For the years ended November 25, 2006, November 26, 2005 (Restated), and November 27, 2004 (In thousands, except share and per share data)</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gridSpan w:val="3"/>
          </w:tcPr>
          <w:p>
            <w:pPr>
              <w:ind w:left="20"/>
              <w:spacing w:after="0"/>
              <w:rPr>
                <w:sz w:val="20"/>
                <w:szCs w:val="20"/>
                <w:color w:val="auto"/>
              </w:rPr>
            </w:pPr>
            <w:r>
              <w:rPr>
                <w:rFonts w:ascii="Arial" w:cs="Arial" w:eastAsia="Arial" w:hAnsi="Arial"/>
                <w:sz w:val="14"/>
                <w:szCs w:val="14"/>
                <w:b w:val="1"/>
                <w:bCs w:val="1"/>
                <w:color w:val="auto"/>
              </w:rPr>
              <w:t>As restated</w:t>
            </w: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87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13"/>
              <w:spacing w:after="0"/>
              <w:rPr>
                <w:sz w:val="20"/>
                <w:szCs w:val="20"/>
                <w:color w:val="auto"/>
              </w:rPr>
            </w:pPr>
            <w:r>
              <w:rPr>
                <w:rFonts w:ascii="Arial" w:cs="Arial" w:eastAsia="Arial" w:hAnsi="Arial"/>
                <w:sz w:val="14"/>
                <w:szCs w:val="14"/>
                <w:b w:val="1"/>
                <w:bCs w:val="1"/>
                <w:color w:val="auto"/>
              </w:rPr>
              <w:t>2006</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13"/>
              <w:spacing w:after="0"/>
              <w:rPr>
                <w:sz w:val="20"/>
                <w:szCs w:val="20"/>
                <w:color w:val="auto"/>
              </w:rPr>
            </w:pPr>
            <w:r>
              <w:rPr>
                <w:rFonts w:ascii="Arial" w:cs="Arial" w:eastAsia="Arial" w:hAnsi="Arial"/>
                <w:sz w:val="14"/>
                <w:szCs w:val="14"/>
                <w:b w:val="1"/>
                <w:bCs w:val="1"/>
                <w:color w:val="auto"/>
              </w:rPr>
              <w:t>2005</w:t>
            </w:r>
          </w:p>
        </w:tc>
        <w:tc>
          <w:tcPr>
            <w:tcW w:w="2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33"/>
              <w:spacing w:after="0"/>
              <w:rPr>
                <w:sz w:val="20"/>
                <w:szCs w:val="20"/>
                <w:color w:val="auto"/>
              </w:rPr>
            </w:pPr>
            <w:r>
              <w:rPr>
                <w:rFonts w:ascii="Arial" w:cs="Arial" w:eastAsia="Arial" w:hAnsi="Arial"/>
                <w:sz w:val="14"/>
                <w:szCs w:val="14"/>
                <w:b w:val="1"/>
                <w:bCs w:val="1"/>
                <w:color w:val="auto"/>
              </w:rPr>
              <w:t>2004</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74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328,214</w:t>
            </w:r>
          </w:p>
        </w:tc>
        <w:tc>
          <w:tcPr>
            <w:tcW w:w="160" w:type="dxa"/>
            <w:vAlign w:val="bottom"/>
            <w:shd w:val="clear" w:color="auto" w:fill="CCEEFF"/>
          </w:tcPr>
          <w:p>
            <w:pPr>
              <w:spacing w:after="0"/>
              <w:rPr>
                <w:sz w:val="18"/>
                <w:szCs w:val="18"/>
                <w:color w:val="auto"/>
              </w:rPr>
            </w:pPr>
          </w:p>
        </w:tc>
        <w:tc>
          <w:tcPr>
            <w:tcW w:w="22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86"/>
              </w:rPr>
              <w:t>335,207</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315,654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740" w:type="dxa"/>
            <w:vAlign w:val="bottom"/>
          </w:tcPr>
          <w:p>
            <w:pPr>
              <w:spacing w:after="0"/>
              <w:rPr>
                <w:sz w:val="20"/>
                <w:szCs w:val="20"/>
                <w:color w:val="auto"/>
              </w:rPr>
            </w:pPr>
            <w:r>
              <w:rPr>
                <w:rFonts w:ascii="Arial" w:cs="Arial" w:eastAsia="Arial" w:hAnsi="Arial"/>
                <w:sz w:val="18"/>
                <w:szCs w:val="18"/>
                <w:color w:val="auto"/>
              </w:rPr>
              <w:t>Cost of sales</w:t>
            </w: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225,319</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236,843</w:t>
            </w:r>
          </w:p>
        </w:tc>
        <w:tc>
          <w:tcPr>
            <w:tcW w:w="2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234,612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40" w:type="dxa"/>
            <w:vAlign w:val="bottom"/>
            <w:shd w:val="clear" w:color="auto" w:fill="CCEEFF"/>
          </w:tcPr>
          <w:p>
            <w:pPr>
              <w:spacing w:after="0"/>
              <w:rPr>
                <w:sz w:val="20"/>
                <w:szCs w:val="20"/>
                <w:color w:val="auto"/>
              </w:rPr>
            </w:pPr>
            <w:r>
              <w:rPr>
                <w:rFonts w:ascii="Arial" w:cs="Arial" w:eastAsia="Arial" w:hAnsi="Arial"/>
                <w:sz w:val="18"/>
                <w:szCs w:val="18"/>
                <w:color w:val="auto"/>
              </w:rPr>
              <w:t>Gross profit</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102,895</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98,364</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81,042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22"/>
        </w:trPr>
        <w:tc>
          <w:tcPr>
            <w:tcW w:w="8760" w:type="dxa"/>
            <w:vAlign w:val="bottom"/>
            <w:gridSpan w:val="2"/>
          </w:tcPr>
          <w:p>
            <w:pPr>
              <w:spacing w:after="0"/>
              <w:rPr>
                <w:sz w:val="20"/>
                <w:szCs w:val="20"/>
                <w:color w:val="auto"/>
              </w:rPr>
            </w:pPr>
            <w:r>
              <w:rPr>
                <w:rFonts w:ascii="Arial" w:cs="Arial" w:eastAsia="Arial" w:hAnsi="Arial"/>
                <w:sz w:val="18"/>
                <w:szCs w:val="18"/>
                <w:color w:val="auto"/>
              </w:rPr>
              <w:t>Selling, general and administrative expenses</w:t>
            </w:r>
          </w:p>
        </w:tc>
        <w:tc>
          <w:tcPr>
            <w:tcW w:w="10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86"/>
              </w:rPr>
              <w:t>103,551</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91,270</w:t>
            </w:r>
          </w:p>
        </w:tc>
        <w:tc>
          <w:tcPr>
            <w:tcW w:w="10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77,145</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740" w:type="dxa"/>
            <w:vAlign w:val="bottom"/>
            <w:shd w:val="clear" w:color="auto" w:fill="CCEEFF"/>
          </w:tcPr>
          <w:p>
            <w:pPr>
              <w:spacing w:after="0"/>
              <w:rPr>
                <w:sz w:val="20"/>
                <w:szCs w:val="20"/>
                <w:color w:val="auto"/>
              </w:rPr>
            </w:pPr>
            <w:r>
              <w:rPr>
                <w:rFonts w:ascii="Arial" w:cs="Arial" w:eastAsia="Arial" w:hAnsi="Arial"/>
                <w:sz w:val="18"/>
                <w:szCs w:val="18"/>
                <w:color w:val="auto"/>
              </w:rPr>
              <w:t>Income from Continued Dumping &amp; Subsidy Offset Act</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(1,549)</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40" w:type="dxa"/>
            <w:vAlign w:val="bottom"/>
          </w:tcPr>
          <w:p>
            <w:pPr>
              <w:spacing w:after="0"/>
              <w:rPr>
                <w:sz w:val="20"/>
                <w:szCs w:val="20"/>
                <w:color w:val="auto"/>
              </w:rPr>
            </w:pPr>
            <w:r>
              <w:rPr>
                <w:rFonts w:ascii="Arial" w:cs="Arial" w:eastAsia="Arial" w:hAnsi="Arial"/>
                <w:sz w:val="18"/>
                <w:szCs w:val="18"/>
                <w:color w:val="auto"/>
              </w:rPr>
              <w:t>Gain on sale of property</w:t>
            </w:r>
          </w:p>
        </w:tc>
        <w:tc>
          <w:tcPr>
            <w:tcW w:w="100" w:type="dxa"/>
            <w:vAlign w:val="bottom"/>
          </w:tcPr>
          <w:p>
            <w:pPr>
              <w:spacing w:after="0"/>
              <w:rPr>
                <w:sz w:val="18"/>
                <w:szCs w:val="18"/>
                <w:color w:val="auto"/>
              </w:rPr>
            </w:pPr>
          </w:p>
        </w:tc>
        <w:tc>
          <w:tcPr>
            <w:tcW w:w="7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(3,890)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40" w:type="dxa"/>
            <w:vAlign w:val="bottom"/>
            <w:shd w:val="clear" w:color="auto" w:fill="CCEEFF"/>
          </w:tcPr>
          <w:p>
            <w:pPr>
              <w:spacing w:after="0"/>
              <w:rPr>
                <w:sz w:val="20"/>
                <w:szCs w:val="20"/>
                <w:color w:val="auto"/>
              </w:rPr>
            </w:pPr>
            <w:r>
              <w:rPr>
                <w:rFonts w:ascii="Arial" w:cs="Arial" w:eastAsia="Arial" w:hAnsi="Arial"/>
                <w:sz w:val="18"/>
                <w:szCs w:val="18"/>
                <w:color w:val="auto"/>
              </w:rPr>
              <w:t>Impairment and restructuring charges</w:t>
            </w: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1,359</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1,960</w:t>
            </w:r>
          </w:p>
        </w:tc>
        <w:tc>
          <w:tcPr>
            <w:tcW w:w="2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4,060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8760" w:type="dxa"/>
            <w:vAlign w:val="bottom"/>
            <w:gridSpan w:val="2"/>
          </w:tcPr>
          <w:p>
            <w:pPr>
              <w:spacing w:after="0"/>
              <w:rPr>
                <w:sz w:val="20"/>
                <w:szCs w:val="20"/>
                <w:color w:val="auto"/>
              </w:rPr>
            </w:pPr>
            <w:r>
              <w:rPr>
                <w:rFonts w:ascii="Arial" w:cs="Arial" w:eastAsia="Arial" w:hAnsi="Arial"/>
                <w:sz w:val="18"/>
                <w:szCs w:val="18"/>
                <w:color w:val="auto"/>
              </w:rPr>
              <w:t>Income (loss) from operations</w:t>
            </w:r>
          </w:p>
        </w:tc>
        <w:tc>
          <w:tcPr>
            <w:tcW w:w="100" w:type="dxa"/>
            <w:vAlign w:val="bottom"/>
          </w:tcPr>
          <w:p>
            <w:pPr>
              <w:spacing w:after="0"/>
              <w:rPr>
                <w:sz w:val="19"/>
                <w:szCs w:val="19"/>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(466)</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5,134</w:t>
            </w: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3,727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0"/>
        </w:trPr>
        <w:tc>
          <w:tcPr>
            <w:tcW w:w="20" w:type="dxa"/>
            <w:vAlign w:val="bottom"/>
            <w:vMerge w:val="restart"/>
          </w:tcPr>
          <w:p>
            <w:pPr>
              <w:spacing w:after="0"/>
              <w:rPr>
                <w:sz w:val="9"/>
                <w:szCs w:val="9"/>
                <w:color w:val="auto"/>
              </w:rPr>
            </w:pPr>
          </w:p>
        </w:tc>
        <w:tc>
          <w:tcPr>
            <w:tcW w:w="8740" w:type="dxa"/>
            <w:vAlign w:val="bottom"/>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tcPr>
          <w:p>
            <w:pPr>
              <w:spacing w:after="0"/>
              <w:rPr>
                <w:sz w:val="9"/>
                <w:szCs w:val="9"/>
                <w:color w:val="auto"/>
              </w:rPr>
            </w:pPr>
          </w:p>
        </w:tc>
        <w:tc>
          <w:tcPr>
            <w:tcW w:w="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740" w:type="dxa"/>
            <w:vAlign w:val="bottom"/>
            <w:shd w:val="clear" w:color="auto" w:fill="CCEEFF"/>
          </w:tcPr>
          <w:p>
            <w:pPr>
              <w:spacing w:after="0"/>
              <w:rPr>
                <w:sz w:val="20"/>
                <w:szCs w:val="20"/>
                <w:color w:val="auto"/>
              </w:rPr>
            </w:pPr>
            <w:r>
              <w:rPr>
                <w:rFonts w:ascii="Arial" w:cs="Arial" w:eastAsia="Arial" w:hAnsi="Arial"/>
                <w:sz w:val="18"/>
                <w:szCs w:val="18"/>
                <w:color w:val="auto"/>
              </w:rPr>
              <w:t>Income from investments</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7,318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6,743</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7,080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40" w:type="dxa"/>
            <w:vAlign w:val="bottom"/>
          </w:tcPr>
          <w:p>
            <w:pPr>
              <w:spacing w:after="0"/>
              <w:rPr>
                <w:sz w:val="20"/>
                <w:szCs w:val="20"/>
                <w:color w:val="auto"/>
              </w:rPr>
            </w:pPr>
            <w:r>
              <w:rPr>
                <w:rFonts w:ascii="Arial" w:cs="Arial" w:eastAsia="Arial" w:hAnsi="Arial"/>
                <w:sz w:val="18"/>
                <w:szCs w:val="18"/>
                <w:color w:val="auto"/>
              </w:rPr>
              <w:t>Income from unconsolidated affiliated companies, net</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4,464</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6,045</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5,566</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4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(3,864)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(3,242)</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(2,783)</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740" w:type="dxa"/>
            <w:vAlign w:val="bottom"/>
          </w:tcPr>
          <w:p>
            <w:pPr>
              <w:spacing w:after="0"/>
              <w:rPr>
                <w:sz w:val="20"/>
                <w:szCs w:val="20"/>
                <w:color w:val="auto"/>
              </w:rPr>
            </w:pPr>
            <w:r>
              <w:rPr>
                <w:rFonts w:ascii="Arial" w:cs="Arial" w:eastAsia="Arial" w:hAnsi="Arial"/>
                <w:sz w:val="18"/>
                <w:szCs w:val="18"/>
                <w:color w:val="auto"/>
              </w:rPr>
              <w:t>Other expense, net</w:t>
            </w:r>
          </w:p>
        </w:tc>
        <w:tc>
          <w:tcPr>
            <w:tcW w:w="100" w:type="dxa"/>
            <w:vAlign w:val="bottom"/>
          </w:tcPr>
          <w:p>
            <w:pPr>
              <w:spacing w:after="0"/>
              <w:rPr>
                <w:sz w:val="19"/>
                <w:szCs w:val="19"/>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(997)</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(1,485)</w:t>
            </w:r>
          </w:p>
        </w:tc>
        <w:tc>
          <w:tcPr>
            <w:tcW w:w="100" w:type="dxa"/>
            <w:vAlign w:val="bottom"/>
          </w:tcPr>
          <w:p>
            <w:pPr>
              <w:spacing w:after="0"/>
              <w:rPr>
                <w:sz w:val="19"/>
                <w:szCs w:val="19"/>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(2,740)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40" w:type="dxa"/>
            <w:vAlign w:val="bottom"/>
            <w:shd w:val="clear" w:color="auto" w:fill="CCEEFF"/>
          </w:tcPr>
          <w:p>
            <w:pPr>
              <w:spacing w:after="0"/>
              <w:rPr>
                <w:sz w:val="20"/>
                <w:szCs w:val="20"/>
                <w:color w:val="auto"/>
              </w:rPr>
            </w:pPr>
            <w:r>
              <w:rPr>
                <w:rFonts w:ascii="Arial" w:cs="Arial" w:eastAsia="Arial" w:hAnsi="Arial"/>
                <w:sz w:val="18"/>
                <w:szCs w:val="18"/>
                <w:color w:val="auto"/>
              </w:rPr>
              <w:t>Income before income tax provision</w:t>
            </w: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6,455</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13,195</w:t>
            </w:r>
          </w:p>
        </w:tc>
        <w:tc>
          <w:tcPr>
            <w:tcW w:w="2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10,850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23"/>
        </w:trPr>
        <w:tc>
          <w:tcPr>
            <w:tcW w:w="8760" w:type="dxa"/>
            <w:vAlign w:val="bottom"/>
            <w:gridSpan w:val="2"/>
          </w:tcPr>
          <w:p>
            <w:pPr>
              <w:spacing w:after="0"/>
              <w:rPr>
                <w:sz w:val="20"/>
                <w:szCs w:val="20"/>
                <w:color w:val="auto"/>
              </w:rPr>
            </w:pPr>
            <w:r>
              <w:rPr>
                <w:rFonts w:ascii="Arial" w:cs="Arial" w:eastAsia="Arial" w:hAnsi="Arial"/>
                <w:sz w:val="18"/>
                <w:szCs w:val="18"/>
                <w:color w:val="auto"/>
              </w:rPr>
              <w:t>Income tax provision</w:t>
            </w:r>
          </w:p>
        </w:tc>
        <w:tc>
          <w:tcPr>
            <w:tcW w:w="100" w:type="dxa"/>
            <w:vAlign w:val="bottom"/>
          </w:tcPr>
          <w:p>
            <w:pPr>
              <w:spacing w:after="0"/>
              <w:rPr>
                <w:sz w:val="24"/>
                <w:szCs w:val="24"/>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(1,026)</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(3,381)</w:t>
            </w:r>
          </w:p>
        </w:tc>
        <w:tc>
          <w:tcPr>
            <w:tcW w:w="100" w:type="dxa"/>
            <w:vAlign w:val="bottom"/>
          </w:tcPr>
          <w:p>
            <w:pPr>
              <w:spacing w:after="0"/>
              <w:rPr>
                <w:sz w:val="24"/>
                <w:szCs w:val="24"/>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(2,641)</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87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874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5,429</w:t>
            </w:r>
          </w:p>
        </w:tc>
        <w:tc>
          <w:tcPr>
            <w:tcW w:w="160" w:type="dxa"/>
            <w:vAlign w:val="bottom"/>
            <w:shd w:val="clear" w:color="auto" w:fill="CCEEFF"/>
          </w:tcPr>
          <w:p>
            <w:pPr>
              <w:spacing w:after="0"/>
              <w:rPr>
                <w:sz w:val="18"/>
                <w:szCs w:val="18"/>
                <w:color w:val="auto"/>
              </w:rPr>
            </w:pPr>
          </w:p>
        </w:tc>
        <w:tc>
          <w:tcPr>
            <w:tcW w:w="22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9,814</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8,209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760" w:type="dxa"/>
            <w:vAlign w:val="bottom"/>
            <w:gridSpan w:val="2"/>
            <w:vMerge w:val="restart"/>
          </w:tcPr>
          <w:p>
            <w:pPr>
              <w:spacing w:after="0"/>
              <w:rPr>
                <w:sz w:val="20"/>
                <w:szCs w:val="20"/>
                <w:color w:val="auto"/>
              </w:rPr>
            </w:pPr>
            <w:r>
              <w:rPr>
                <w:rFonts w:ascii="Arial" w:cs="Arial" w:eastAsia="Arial" w:hAnsi="Arial"/>
                <w:sz w:val="18"/>
                <w:szCs w:val="18"/>
                <w:color w:val="auto"/>
              </w:rPr>
              <w:t>Net income per share</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876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87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Basic earnings per share: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0.46</w:t>
            </w:r>
          </w:p>
        </w:tc>
        <w:tc>
          <w:tcPr>
            <w:tcW w:w="160" w:type="dxa"/>
            <w:vAlign w:val="bottom"/>
            <w:shd w:val="clear" w:color="auto" w:fill="CCEEFF"/>
          </w:tcPr>
          <w:p>
            <w:pPr>
              <w:spacing w:after="0"/>
              <w:rPr>
                <w:sz w:val="18"/>
                <w:szCs w:val="18"/>
                <w:color w:val="auto"/>
              </w:rPr>
            </w:pPr>
          </w:p>
        </w:tc>
        <w:tc>
          <w:tcPr>
            <w:tcW w:w="22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0.83</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0.70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740" w:type="dxa"/>
            <w:vAlign w:val="bottom"/>
            <w:vMerge w:val="restart"/>
          </w:tcPr>
          <w:p>
            <w:pPr>
              <w:ind w:left="420"/>
              <w:spacing w:after="0"/>
              <w:rPr>
                <w:sz w:val="20"/>
                <w:szCs w:val="20"/>
                <w:color w:val="auto"/>
              </w:rPr>
            </w:pPr>
            <w:r>
              <w:rPr>
                <w:rFonts w:ascii="Arial" w:cs="Arial" w:eastAsia="Arial" w:hAnsi="Arial"/>
                <w:sz w:val="18"/>
                <w:szCs w:val="18"/>
                <w:color w:val="auto"/>
              </w:rPr>
              <w:t>Diluted earnings per share:</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8740" w:type="dxa"/>
            <w:vAlign w:val="bottom"/>
            <w:vMerge w:val="continue"/>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0.46</w:t>
            </w:r>
          </w:p>
        </w:tc>
        <w:tc>
          <w:tcPr>
            <w:tcW w:w="160" w:type="dxa"/>
            <w:vAlign w:val="bottom"/>
          </w:tcPr>
          <w:p>
            <w:pPr>
              <w:spacing w:after="0"/>
              <w:rPr>
                <w:sz w:val="18"/>
                <w:szCs w:val="18"/>
                <w:color w:val="auto"/>
              </w:rPr>
            </w:pPr>
          </w:p>
        </w:tc>
        <w:tc>
          <w:tcPr>
            <w:tcW w:w="220" w:type="dxa"/>
            <w:vAlign w:val="bottom"/>
            <w:gridSpan w:val="2"/>
          </w:tcPr>
          <w:p>
            <w:pPr>
              <w:ind w:left="120"/>
              <w:spacing w:after="0"/>
              <w:rPr>
                <w:sz w:val="20"/>
                <w:szCs w:val="20"/>
                <w:color w:val="auto"/>
              </w:rPr>
            </w:pPr>
            <w:r>
              <w:rPr>
                <w:rFonts w:ascii="Arial" w:cs="Arial" w:eastAsia="Arial" w:hAnsi="Arial"/>
                <w:sz w:val="18"/>
                <w:szCs w:val="18"/>
                <w:color w:val="auto"/>
                <w:w w:val="79"/>
              </w:rPr>
              <w:t>$</w:t>
            </w: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0.82</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0.69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7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to consolidated financial statements are an integral part of these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- 17</w:t>
      </w:r>
    </w:p>
    <w:p>
      <w:pPr>
        <w:sectPr>
          <w:pgSz w:w="11900" w:h="16838" w:orient="portrait"/>
          <w:cols w:equalWidth="0" w:num="1">
            <w:col w:w="11420"/>
          </w:cols>
          <w:pgMar w:left="240" w:top="459" w:right="23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Consolidated Statements of Stockholders’ Equity</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Bassett Furniture Industries, Incorporated and Subsidiaries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For the years ended November 25, 2006, November 26, 2005 (Restated), and November 27, 2004 (Restated)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760" w:type="dxa"/>
            <w:vAlign w:val="bottom"/>
          </w:tcPr>
          <w:p>
            <w:pPr>
              <w:spacing w:after="0"/>
              <w:rPr>
                <w:sz w:val="14"/>
                <w:szCs w:val="14"/>
                <w:color w:val="auto"/>
              </w:rPr>
            </w:pPr>
          </w:p>
        </w:tc>
        <w:tc>
          <w:tcPr>
            <w:tcW w:w="1820" w:type="dxa"/>
            <w:vAlign w:val="bottom"/>
            <w:gridSpan w:val="4"/>
            <w:vMerge w:val="restart"/>
          </w:tcPr>
          <w:p>
            <w:pPr>
              <w:jc w:val="right"/>
              <w:ind w:right="540"/>
              <w:spacing w:after="0"/>
              <w:rPr>
                <w:sz w:val="20"/>
                <w:szCs w:val="20"/>
                <w:color w:val="auto"/>
              </w:rPr>
            </w:pPr>
            <w:r>
              <w:rPr>
                <w:rFonts w:ascii="Arial" w:cs="Arial" w:eastAsia="Arial" w:hAnsi="Arial"/>
                <w:sz w:val="14"/>
                <w:szCs w:val="14"/>
                <w:b w:val="1"/>
                <w:bCs w:val="1"/>
                <w:color w:val="auto"/>
              </w:rPr>
              <w:t>Common Stock</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gridSpan w:val="3"/>
          </w:tcPr>
          <w:p>
            <w:pPr>
              <w:jc w:val="center"/>
              <w:ind w:right="260"/>
              <w:spacing w:after="0"/>
              <w:rPr>
                <w:sz w:val="20"/>
                <w:szCs w:val="20"/>
                <w:color w:val="auto"/>
              </w:rPr>
            </w:pPr>
            <w:r>
              <w:rPr>
                <w:rFonts w:ascii="Arial" w:cs="Arial" w:eastAsia="Arial" w:hAnsi="Arial"/>
                <w:sz w:val="14"/>
                <w:szCs w:val="14"/>
                <w:b w:val="1"/>
                <w:bCs w:val="1"/>
                <w:color w:val="auto"/>
                <w:w w:val="86"/>
              </w:rPr>
              <w:t>Accumulated</w:t>
            </w:r>
          </w:p>
        </w:tc>
        <w:tc>
          <w:tcPr>
            <w:tcW w:w="6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5760" w:type="dxa"/>
            <w:vAlign w:val="bottom"/>
          </w:tcPr>
          <w:p>
            <w:pPr>
              <w:spacing w:after="0"/>
              <w:rPr>
                <w:sz w:val="12"/>
                <w:szCs w:val="12"/>
                <w:color w:val="auto"/>
              </w:rPr>
            </w:pPr>
          </w:p>
        </w:tc>
        <w:tc>
          <w:tcPr>
            <w:tcW w:w="1820" w:type="dxa"/>
            <w:vAlign w:val="bottom"/>
            <w:gridSpan w:val="4"/>
            <w:vMerge w:val="continue"/>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3"/>
          </w:tcPr>
          <w:p>
            <w:pPr>
              <w:spacing w:after="0" w:line="148" w:lineRule="exact"/>
              <w:rPr>
                <w:sz w:val="20"/>
                <w:szCs w:val="20"/>
                <w:color w:val="auto"/>
              </w:rPr>
            </w:pPr>
            <w:r>
              <w:rPr>
                <w:rFonts w:ascii="Arial" w:cs="Arial" w:eastAsia="Arial" w:hAnsi="Arial"/>
                <w:sz w:val="14"/>
                <w:szCs w:val="14"/>
                <w:b w:val="1"/>
                <w:bCs w:val="1"/>
                <w:color w:val="auto"/>
              </w:rPr>
              <w:t>Additional</w:t>
            </w:r>
          </w:p>
        </w:tc>
        <w:tc>
          <w:tcPr>
            <w:tcW w:w="6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gridSpan w:val="2"/>
          </w:tcPr>
          <w:p>
            <w:pPr>
              <w:jc w:val="center"/>
              <w:ind w:right="440"/>
              <w:spacing w:after="0" w:line="148" w:lineRule="exact"/>
              <w:rPr>
                <w:sz w:val="20"/>
                <w:szCs w:val="20"/>
                <w:color w:val="auto"/>
              </w:rPr>
            </w:pPr>
            <w:r>
              <w:rPr>
                <w:rFonts w:ascii="Arial" w:cs="Arial" w:eastAsia="Arial" w:hAnsi="Arial"/>
                <w:sz w:val="14"/>
                <w:szCs w:val="14"/>
                <w:b w:val="1"/>
                <w:bCs w:val="1"/>
                <w:color w:val="auto"/>
                <w:w w:val="85"/>
              </w:rPr>
              <w:t>other</w:t>
            </w:r>
          </w:p>
        </w:tc>
        <w:tc>
          <w:tcPr>
            <w:tcW w:w="6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5760" w:type="dxa"/>
            <w:vAlign w:val="bottom"/>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58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gridSpan w:val="2"/>
          </w:tcPr>
          <w:p>
            <w:pPr>
              <w:ind w:left="20"/>
              <w:spacing w:after="0" w:line="129" w:lineRule="exact"/>
              <w:rPr>
                <w:sz w:val="20"/>
                <w:szCs w:val="20"/>
                <w:color w:val="auto"/>
              </w:rPr>
            </w:pPr>
            <w:r>
              <w:rPr>
                <w:rFonts w:ascii="Arial" w:cs="Arial" w:eastAsia="Arial" w:hAnsi="Arial"/>
                <w:sz w:val="14"/>
                <w:szCs w:val="14"/>
                <w:b w:val="1"/>
                <w:bCs w:val="1"/>
                <w:color w:val="auto"/>
              </w:rPr>
              <w:t>paid-in</w:t>
            </w:r>
          </w:p>
        </w:tc>
        <w:tc>
          <w:tcPr>
            <w:tcW w:w="940" w:type="dxa"/>
            <w:vAlign w:val="bottom"/>
            <w:gridSpan w:val="2"/>
          </w:tcPr>
          <w:p>
            <w:pPr>
              <w:jc w:val="right"/>
              <w:ind w:right="340"/>
              <w:spacing w:after="0" w:line="129" w:lineRule="exact"/>
              <w:rPr>
                <w:sz w:val="20"/>
                <w:szCs w:val="20"/>
                <w:color w:val="auto"/>
              </w:rPr>
            </w:pPr>
            <w:r>
              <w:rPr>
                <w:rFonts w:ascii="Arial" w:cs="Arial" w:eastAsia="Arial" w:hAnsi="Arial"/>
                <w:sz w:val="14"/>
                <w:szCs w:val="14"/>
                <w:b w:val="1"/>
                <w:bCs w:val="1"/>
                <w:color w:val="auto"/>
                <w:w w:val="98"/>
              </w:rPr>
              <w:t>Retained</w:t>
            </w:r>
          </w:p>
        </w:tc>
        <w:tc>
          <w:tcPr>
            <w:tcW w:w="1140" w:type="dxa"/>
            <w:vAlign w:val="bottom"/>
            <w:gridSpan w:val="3"/>
          </w:tcPr>
          <w:p>
            <w:pPr>
              <w:jc w:val="right"/>
              <w:ind w:right="280"/>
              <w:spacing w:after="0" w:line="129" w:lineRule="exact"/>
              <w:rPr>
                <w:sz w:val="20"/>
                <w:szCs w:val="20"/>
                <w:color w:val="auto"/>
              </w:rPr>
            </w:pPr>
            <w:r>
              <w:rPr>
                <w:rFonts w:ascii="Arial" w:cs="Arial" w:eastAsia="Arial" w:hAnsi="Arial"/>
                <w:sz w:val="14"/>
                <w:szCs w:val="14"/>
                <w:b w:val="1"/>
                <w:bCs w:val="1"/>
                <w:color w:val="auto"/>
                <w:w w:val="81"/>
              </w:rPr>
              <w:t>comprehensive</w:t>
            </w:r>
          </w:p>
        </w:tc>
        <w:tc>
          <w:tcPr>
            <w:tcW w:w="6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760" w:type="dxa"/>
            <w:vAlign w:val="bottom"/>
          </w:tcPr>
          <w:p>
            <w:pPr>
              <w:spacing w:after="0"/>
              <w:rPr>
                <w:sz w:val="14"/>
                <w:szCs w:val="14"/>
                <w:color w:val="auto"/>
              </w:rPr>
            </w:pPr>
          </w:p>
        </w:tc>
        <w:tc>
          <w:tcPr>
            <w:tcW w:w="800" w:type="dxa"/>
            <w:vAlign w:val="bottom"/>
            <w:tcBorders>
              <w:bottom w:val="single" w:sz="8" w:color="auto"/>
            </w:tcBorders>
          </w:tcPr>
          <w:p>
            <w:pPr>
              <w:jc w:val="right"/>
              <w:ind w:right="114"/>
              <w:spacing w:after="0"/>
              <w:rPr>
                <w:sz w:val="20"/>
                <w:szCs w:val="20"/>
                <w:color w:val="auto"/>
              </w:rPr>
            </w:pPr>
            <w:r>
              <w:rPr>
                <w:rFonts w:ascii="Arial" w:cs="Arial" w:eastAsia="Arial" w:hAnsi="Arial"/>
                <w:sz w:val="14"/>
                <w:szCs w:val="14"/>
                <w:b w:val="1"/>
                <w:bCs w:val="1"/>
                <w:color w:val="auto"/>
              </w:rPr>
              <w:t>Shares</w:t>
            </w:r>
          </w:p>
        </w:tc>
        <w:tc>
          <w:tcPr>
            <w:tcW w:w="280" w:type="dxa"/>
            <w:vAlign w:val="bottom"/>
          </w:tcPr>
          <w:p>
            <w:pPr>
              <w:spacing w:after="0"/>
              <w:rPr>
                <w:sz w:val="14"/>
                <w:szCs w:val="14"/>
                <w:color w:val="auto"/>
              </w:rPr>
            </w:pPr>
          </w:p>
        </w:tc>
        <w:tc>
          <w:tcPr>
            <w:tcW w:w="58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w w:val="98"/>
              </w:rPr>
              <w:t>Amount</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capital</w:t>
            </w:r>
          </w:p>
        </w:tc>
        <w:tc>
          <w:tcPr>
            <w:tcW w:w="280" w:type="dxa"/>
            <w:vAlign w:val="bottom"/>
          </w:tcPr>
          <w:p>
            <w:pPr>
              <w:spacing w:after="0"/>
              <w:rPr>
                <w:sz w:val="14"/>
                <w:szCs w:val="14"/>
                <w:color w:val="auto"/>
              </w:rPr>
            </w:pPr>
          </w:p>
        </w:tc>
        <w:tc>
          <w:tcPr>
            <w:tcW w:w="680" w:type="dxa"/>
            <w:vAlign w:val="bottom"/>
            <w:tcBorders>
              <w:bottom w:val="single" w:sz="8" w:color="auto"/>
            </w:tcBorders>
          </w:tcPr>
          <w:p>
            <w:pPr>
              <w:jc w:val="right"/>
              <w:ind w:right="14"/>
              <w:spacing w:after="0"/>
              <w:rPr>
                <w:sz w:val="20"/>
                <w:szCs w:val="20"/>
                <w:color w:val="auto"/>
              </w:rPr>
            </w:pPr>
            <w:r>
              <w:rPr>
                <w:rFonts w:ascii="Arial" w:cs="Arial" w:eastAsia="Arial" w:hAnsi="Arial"/>
                <w:sz w:val="14"/>
                <w:szCs w:val="14"/>
                <w:b w:val="1"/>
                <w:bCs w:val="1"/>
                <w:color w:val="auto"/>
                <w:w w:val="95"/>
              </w:rPr>
              <w:t>earnings</w:t>
            </w:r>
          </w:p>
        </w:tc>
        <w:tc>
          <w:tcPr>
            <w:tcW w:w="2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ind w:right="74"/>
              <w:spacing w:after="0"/>
              <w:rPr>
                <w:sz w:val="20"/>
                <w:szCs w:val="20"/>
                <w:color w:val="auto"/>
              </w:rPr>
            </w:pPr>
            <w:r>
              <w:rPr>
                <w:rFonts w:ascii="Arial" w:cs="Arial" w:eastAsia="Arial" w:hAnsi="Arial"/>
                <w:sz w:val="14"/>
                <w:szCs w:val="14"/>
                <w:b w:val="1"/>
                <w:bCs w:val="1"/>
                <w:color w:val="auto"/>
                <w:w w:val="85"/>
              </w:rPr>
              <w:t>income</w:t>
            </w:r>
          </w:p>
        </w:tc>
        <w:tc>
          <w:tcPr>
            <w:tcW w:w="280" w:type="dxa"/>
            <w:vAlign w:val="bottom"/>
          </w:tcPr>
          <w:p>
            <w:pPr>
              <w:spacing w:after="0"/>
              <w:rPr>
                <w:sz w:val="14"/>
                <w:szCs w:val="14"/>
                <w:color w:val="auto"/>
              </w:rPr>
            </w:pPr>
          </w:p>
        </w:tc>
        <w:tc>
          <w:tcPr>
            <w:tcW w:w="680" w:type="dxa"/>
            <w:vAlign w:val="bottom"/>
            <w:tcBorders>
              <w:bottom w:val="single" w:sz="8" w:color="auto"/>
            </w:tcBorders>
          </w:tcPr>
          <w:p>
            <w:pPr>
              <w:jc w:val="right"/>
              <w:ind w:right="113"/>
              <w:spacing w:after="0"/>
              <w:rPr>
                <w:sz w:val="20"/>
                <w:szCs w:val="20"/>
                <w:color w:val="auto"/>
              </w:rPr>
            </w:pPr>
            <w:r>
              <w:rPr>
                <w:rFonts w:ascii="Arial" w:cs="Arial" w:eastAsia="Arial" w:hAnsi="Arial"/>
                <w:sz w:val="14"/>
                <w:szCs w:val="14"/>
                <w:b w:val="1"/>
                <w:bCs w:val="1"/>
                <w:color w:val="auto"/>
              </w:rPr>
              <w:t>Total</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November 29, 2003 as previously reported</w:t>
            </w:r>
          </w:p>
        </w:tc>
        <w:tc>
          <w:tcPr>
            <w:tcW w:w="10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86"/>
              </w:rPr>
              <w:t>11,599,936</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6"/>
              </w:rPr>
              <w:t>$58,000</w:t>
            </w:r>
          </w:p>
        </w:tc>
        <w:tc>
          <w:tcPr>
            <w:tcW w:w="2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$159,487</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2,531</w:t>
            </w: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$220,018</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tcPr>
          <w:p>
            <w:pPr>
              <w:spacing w:after="0"/>
              <w:rPr>
                <w:sz w:val="20"/>
                <w:szCs w:val="20"/>
                <w:color w:val="auto"/>
              </w:rPr>
            </w:pPr>
            <w:r>
              <w:rPr>
                <w:rFonts w:ascii="Arial" w:cs="Arial" w:eastAsia="Arial" w:hAnsi="Arial"/>
                <w:sz w:val="18"/>
                <w:szCs w:val="18"/>
                <w:b w:val="1"/>
                <w:bCs w:val="1"/>
                <w:color w:val="auto"/>
              </w:rPr>
              <w:t>Restatement adjustment (see Note 2)</w:t>
            </w: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580" w:type="dxa"/>
            <w:vAlign w:val="bottom"/>
          </w:tcPr>
          <w:p>
            <w:pPr>
              <w:ind w:left="3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ind w:left="2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(3,167)</w:t>
            </w:r>
          </w:p>
        </w:tc>
        <w:tc>
          <w:tcPr>
            <w:tcW w:w="160" w:type="dxa"/>
            <w:vAlign w:val="bottom"/>
          </w:tcPr>
          <w:p>
            <w:pPr>
              <w:spacing w:after="0"/>
              <w:rPr>
                <w:sz w:val="18"/>
                <w:szCs w:val="18"/>
                <w:color w:val="auto"/>
              </w:rPr>
            </w:pPr>
          </w:p>
        </w:tc>
        <w:tc>
          <w:tcPr>
            <w:tcW w:w="98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(3,167)</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76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November 30, 2003 as restated</w:t>
            </w:r>
          </w:p>
        </w:tc>
        <w:tc>
          <w:tcPr>
            <w:tcW w:w="10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86"/>
              </w:rPr>
              <w:t>11,599,936</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58,000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156,320</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2,531</w:t>
            </w: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216,851</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22"/>
        </w:trPr>
        <w:tc>
          <w:tcPr>
            <w:tcW w:w="578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10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74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8,209</w:t>
            </w: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8,209</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Net change in unrealized holding gains</w:t>
            </w: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ind w:left="440"/>
              <w:spacing w:after="0"/>
              <w:rPr>
                <w:sz w:val="20"/>
                <w:szCs w:val="20"/>
                <w:color w:val="auto"/>
              </w:rPr>
            </w:pPr>
            <w:r>
              <w:rPr>
                <w:rFonts w:ascii="Arial" w:cs="Arial" w:eastAsia="Arial" w:hAnsi="Arial"/>
                <w:sz w:val="18"/>
                <w:szCs w:val="18"/>
                <w:color w:val="auto"/>
                <w:w w:val="79"/>
              </w:rPr>
              <w:t>287</w:t>
            </w:r>
          </w:p>
        </w:tc>
        <w:tc>
          <w:tcPr>
            <w:tcW w:w="280" w:type="dxa"/>
            <w:vAlign w:val="bottom"/>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5780" w:type="dxa"/>
            <w:vAlign w:val="bottom"/>
            <w:gridSpan w:val="2"/>
          </w:tcPr>
          <w:p>
            <w:pPr>
              <w:spacing w:after="0"/>
              <w:rPr>
                <w:sz w:val="20"/>
                <w:szCs w:val="20"/>
                <w:color w:val="auto"/>
              </w:rPr>
            </w:pPr>
            <w:r>
              <w:rPr>
                <w:rFonts w:ascii="Arial" w:cs="Arial" w:eastAsia="Arial" w:hAnsi="Arial"/>
                <w:sz w:val="18"/>
                <w:szCs w:val="18"/>
                <w:color w:val="auto"/>
              </w:rPr>
              <w:t>Comprehensive income</w:t>
            </w:r>
          </w:p>
        </w:tc>
        <w:tc>
          <w:tcPr>
            <w:tcW w:w="8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8,496</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Dividends ($.80 per share)</w:t>
            </w: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(9,355)</w:t>
            </w:r>
          </w:p>
        </w:tc>
        <w:tc>
          <w:tcPr>
            <w:tcW w:w="1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(9,355)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tcPr>
          <w:p>
            <w:pPr>
              <w:spacing w:after="0"/>
              <w:rPr>
                <w:sz w:val="20"/>
                <w:szCs w:val="20"/>
                <w:color w:val="auto"/>
              </w:rPr>
            </w:pPr>
            <w:r>
              <w:rPr>
                <w:rFonts w:ascii="Arial" w:cs="Arial" w:eastAsia="Arial" w:hAnsi="Arial"/>
                <w:sz w:val="18"/>
                <w:szCs w:val="18"/>
                <w:color w:val="auto"/>
              </w:rPr>
              <w:t>Issuance of common stock</w:t>
            </w:r>
          </w:p>
        </w:tc>
        <w:tc>
          <w:tcPr>
            <w:tcW w:w="800" w:type="dxa"/>
            <w:vAlign w:val="bottom"/>
          </w:tcPr>
          <w:p>
            <w:pPr>
              <w:jc w:val="right"/>
              <w:spacing w:after="0"/>
              <w:rPr>
                <w:sz w:val="20"/>
                <w:szCs w:val="20"/>
                <w:color w:val="auto"/>
              </w:rPr>
            </w:pPr>
            <w:r>
              <w:rPr>
                <w:rFonts w:ascii="Arial" w:cs="Arial" w:eastAsia="Arial" w:hAnsi="Arial"/>
                <w:sz w:val="18"/>
                <w:szCs w:val="18"/>
                <w:color w:val="auto"/>
              </w:rPr>
              <w:t>180,831</w:t>
            </w:r>
          </w:p>
        </w:tc>
        <w:tc>
          <w:tcPr>
            <w:tcW w:w="280" w:type="dxa"/>
            <w:vAlign w:val="bottom"/>
          </w:tcPr>
          <w:p>
            <w:pPr>
              <w:spacing w:after="0"/>
              <w:rPr>
                <w:sz w:val="18"/>
                <w:szCs w:val="18"/>
                <w:color w:val="auto"/>
              </w:rPr>
            </w:pPr>
          </w:p>
        </w:tc>
        <w:tc>
          <w:tcPr>
            <w:tcW w:w="740" w:type="dxa"/>
            <w:vAlign w:val="bottom"/>
            <w:gridSpan w:val="2"/>
          </w:tcPr>
          <w:p>
            <w:pPr>
              <w:ind w:left="320"/>
              <w:spacing w:after="0"/>
              <w:rPr>
                <w:sz w:val="20"/>
                <w:szCs w:val="20"/>
                <w:color w:val="auto"/>
              </w:rPr>
            </w:pPr>
            <w:r>
              <w:rPr>
                <w:rFonts w:ascii="Arial" w:cs="Arial" w:eastAsia="Arial" w:hAnsi="Arial"/>
                <w:sz w:val="18"/>
                <w:szCs w:val="18"/>
                <w:color w:val="auto"/>
              </w:rPr>
              <w:t>904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1,683</w:t>
            </w:r>
          </w:p>
        </w:tc>
        <w:tc>
          <w:tcPr>
            <w:tcW w:w="280" w:type="dxa"/>
            <w:vAlign w:val="bottom"/>
          </w:tcPr>
          <w:p>
            <w:pPr>
              <w:spacing w:after="0"/>
              <w:rPr>
                <w:sz w:val="18"/>
                <w:szCs w:val="18"/>
                <w:color w:val="auto"/>
              </w:rPr>
            </w:pPr>
          </w:p>
        </w:tc>
        <w:tc>
          <w:tcPr>
            <w:tcW w:w="9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8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2,587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Purchase and retirement of common stock</w:t>
            </w: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(44,800)</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(224)</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(548)</w:t>
            </w:r>
          </w:p>
        </w:tc>
        <w:tc>
          <w:tcPr>
            <w:tcW w:w="9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(772)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760" w:type="dxa"/>
            <w:vAlign w:val="bottom"/>
          </w:tcPr>
          <w:p>
            <w:pPr>
              <w:spacing w:after="0"/>
              <w:rPr>
                <w:sz w:val="20"/>
                <w:szCs w:val="20"/>
                <w:color w:val="auto"/>
              </w:rPr>
            </w:pPr>
            <w:r>
              <w:rPr>
                <w:rFonts w:ascii="Arial" w:cs="Arial" w:eastAsia="Arial" w:hAnsi="Arial"/>
                <w:sz w:val="18"/>
                <w:szCs w:val="18"/>
                <w:color w:val="auto"/>
              </w:rPr>
              <w:t>Tax benefit from exercise of options</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580" w:type="dxa"/>
            <w:vAlign w:val="bottom"/>
            <w:tcBorders>
              <w:bottom w:val="single" w:sz="8" w:color="auto"/>
            </w:tcBorders>
          </w:tcPr>
          <w:p>
            <w:pPr>
              <w:ind w:left="3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ind w:left="260"/>
              <w:spacing w:after="0"/>
              <w:rPr>
                <w:sz w:val="20"/>
                <w:szCs w:val="20"/>
                <w:color w:val="auto"/>
              </w:rPr>
            </w:pPr>
            <w:r>
              <w:rPr>
                <w:rFonts w:ascii="Arial" w:cs="Arial" w:eastAsia="Arial" w:hAnsi="Arial"/>
                <w:sz w:val="18"/>
                <w:szCs w:val="18"/>
                <w:color w:val="auto"/>
                <w:w w:val="79"/>
              </w:rPr>
              <w:t>238</w:t>
            </w:r>
          </w:p>
        </w:tc>
        <w:tc>
          <w:tcPr>
            <w:tcW w:w="280" w:type="dxa"/>
            <w:vAlign w:val="bottom"/>
          </w:tcPr>
          <w:p>
            <w:pPr>
              <w:spacing w:after="0"/>
              <w:rPr>
                <w:sz w:val="19"/>
                <w:szCs w:val="19"/>
                <w:color w:val="auto"/>
              </w:rPr>
            </w:pPr>
          </w:p>
        </w:tc>
        <w:tc>
          <w:tcPr>
            <w:tcW w:w="68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ind w:left="44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238</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November 27, 2004 as restated</w:t>
            </w:r>
          </w:p>
        </w:tc>
        <w:tc>
          <w:tcPr>
            <w:tcW w:w="10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86"/>
              </w:rPr>
              <w:t>11,735,967</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58,680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1,373</w:t>
            </w: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155,174</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2,818</w:t>
            </w: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218,045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22"/>
        </w:trPr>
        <w:tc>
          <w:tcPr>
            <w:tcW w:w="5780" w:type="dxa"/>
            <w:vAlign w:val="bottom"/>
            <w:gridSpan w:val="2"/>
          </w:tcPr>
          <w:p>
            <w:pPr>
              <w:spacing w:after="0"/>
              <w:rPr>
                <w:sz w:val="20"/>
                <w:szCs w:val="20"/>
                <w:color w:val="auto"/>
              </w:rPr>
            </w:pPr>
            <w:r>
              <w:rPr>
                <w:rFonts w:ascii="Arial" w:cs="Arial" w:eastAsia="Arial" w:hAnsi="Arial"/>
                <w:sz w:val="18"/>
                <w:szCs w:val="18"/>
                <w:color w:val="auto"/>
              </w:rPr>
              <w:t>Net income (as restated)</w:t>
            </w:r>
          </w:p>
        </w:tc>
        <w:tc>
          <w:tcPr>
            <w:tcW w:w="10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74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9,814</w:t>
            </w: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9,814</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Net change in unrealized holding gains</w:t>
            </w: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rPr>
              <w:t>(166)</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(166)</w:t>
            </w:r>
          </w:p>
        </w:tc>
        <w:tc>
          <w:tcPr>
            <w:tcW w:w="0" w:type="dxa"/>
            <w:vAlign w:val="bottom"/>
          </w:tcPr>
          <w:p>
            <w:pPr>
              <w:spacing w:after="0"/>
              <w:rPr>
                <w:sz w:val="1"/>
                <w:szCs w:val="1"/>
                <w:color w:val="auto"/>
              </w:rPr>
            </w:pPr>
          </w:p>
        </w:tc>
      </w:tr>
      <w:tr>
        <w:trPr>
          <w:trHeight w:val="221"/>
        </w:trPr>
        <w:tc>
          <w:tcPr>
            <w:tcW w:w="5780" w:type="dxa"/>
            <w:vAlign w:val="bottom"/>
            <w:gridSpan w:val="2"/>
          </w:tcPr>
          <w:p>
            <w:pPr>
              <w:spacing w:after="0"/>
              <w:rPr>
                <w:sz w:val="20"/>
                <w:szCs w:val="20"/>
                <w:color w:val="auto"/>
              </w:rPr>
            </w:pPr>
            <w:r>
              <w:rPr>
                <w:rFonts w:ascii="Arial" w:cs="Arial" w:eastAsia="Arial" w:hAnsi="Arial"/>
                <w:sz w:val="18"/>
                <w:szCs w:val="18"/>
                <w:color w:val="auto"/>
              </w:rPr>
              <w:t>Comprehensive income</w:t>
            </w:r>
          </w:p>
        </w:tc>
        <w:tc>
          <w:tcPr>
            <w:tcW w:w="8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9,648</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Dividends ($.80 per share)</w:t>
            </w: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(9,433)</w:t>
            </w:r>
          </w:p>
        </w:tc>
        <w:tc>
          <w:tcPr>
            <w:tcW w:w="1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(9,433)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tcPr>
          <w:p>
            <w:pPr>
              <w:spacing w:after="0"/>
              <w:rPr>
                <w:sz w:val="20"/>
                <w:szCs w:val="20"/>
                <w:color w:val="auto"/>
              </w:rPr>
            </w:pPr>
            <w:r>
              <w:rPr>
                <w:rFonts w:ascii="Arial" w:cs="Arial" w:eastAsia="Arial" w:hAnsi="Arial"/>
                <w:sz w:val="18"/>
                <w:szCs w:val="18"/>
                <w:color w:val="auto"/>
              </w:rPr>
              <w:t>Issuance of common stock</w:t>
            </w:r>
          </w:p>
        </w:tc>
        <w:tc>
          <w:tcPr>
            <w:tcW w:w="800" w:type="dxa"/>
            <w:vAlign w:val="bottom"/>
          </w:tcPr>
          <w:p>
            <w:pPr>
              <w:jc w:val="right"/>
              <w:spacing w:after="0"/>
              <w:rPr>
                <w:sz w:val="20"/>
                <w:szCs w:val="20"/>
                <w:color w:val="auto"/>
              </w:rPr>
            </w:pPr>
            <w:r>
              <w:rPr>
                <w:rFonts w:ascii="Arial" w:cs="Arial" w:eastAsia="Arial" w:hAnsi="Arial"/>
                <w:sz w:val="18"/>
                <w:szCs w:val="18"/>
                <w:color w:val="auto"/>
              </w:rPr>
              <w:t>75,584</w:t>
            </w:r>
          </w:p>
        </w:tc>
        <w:tc>
          <w:tcPr>
            <w:tcW w:w="280" w:type="dxa"/>
            <w:vAlign w:val="bottom"/>
          </w:tcPr>
          <w:p>
            <w:pPr>
              <w:spacing w:after="0"/>
              <w:rPr>
                <w:sz w:val="18"/>
                <w:szCs w:val="18"/>
                <w:color w:val="auto"/>
              </w:rPr>
            </w:pPr>
          </w:p>
        </w:tc>
        <w:tc>
          <w:tcPr>
            <w:tcW w:w="740" w:type="dxa"/>
            <w:vAlign w:val="bottom"/>
            <w:gridSpan w:val="2"/>
          </w:tcPr>
          <w:p>
            <w:pPr>
              <w:ind w:left="320"/>
              <w:spacing w:after="0"/>
              <w:rPr>
                <w:sz w:val="20"/>
                <w:szCs w:val="20"/>
                <w:color w:val="auto"/>
              </w:rPr>
            </w:pPr>
            <w:r>
              <w:rPr>
                <w:rFonts w:ascii="Arial" w:cs="Arial" w:eastAsia="Arial" w:hAnsi="Arial"/>
                <w:sz w:val="18"/>
                <w:szCs w:val="18"/>
                <w:color w:val="auto"/>
              </w:rPr>
              <w:t>377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ind w:left="260"/>
              <w:spacing w:after="0"/>
              <w:rPr>
                <w:sz w:val="20"/>
                <w:szCs w:val="20"/>
                <w:color w:val="auto"/>
              </w:rPr>
            </w:pPr>
            <w:r>
              <w:rPr>
                <w:rFonts w:ascii="Arial" w:cs="Arial" w:eastAsia="Arial" w:hAnsi="Arial"/>
                <w:sz w:val="18"/>
                <w:szCs w:val="18"/>
                <w:color w:val="auto"/>
                <w:w w:val="79"/>
              </w:rPr>
              <w:t>761</w:t>
            </w:r>
          </w:p>
        </w:tc>
        <w:tc>
          <w:tcPr>
            <w:tcW w:w="280" w:type="dxa"/>
            <w:vAlign w:val="bottom"/>
          </w:tcPr>
          <w:p>
            <w:pPr>
              <w:spacing w:after="0"/>
              <w:rPr>
                <w:sz w:val="18"/>
                <w:szCs w:val="18"/>
                <w:color w:val="auto"/>
              </w:rPr>
            </w:pPr>
          </w:p>
        </w:tc>
        <w:tc>
          <w:tcPr>
            <w:tcW w:w="9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8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1,138</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Purchase and retirement of common stock</w:t>
            </w: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(7,093)</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(89)</w:t>
            </w:r>
          </w:p>
        </w:tc>
        <w:tc>
          <w:tcPr>
            <w:tcW w:w="9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tcPr>
          <w:p>
            <w:pPr>
              <w:spacing w:after="0"/>
              <w:rPr>
                <w:sz w:val="20"/>
                <w:szCs w:val="20"/>
                <w:color w:val="auto"/>
              </w:rPr>
            </w:pPr>
            <w:r>
              <w:rPr>
                <w:rFonts w:ascii="Arial" w:cs="Arial" w:eastAsia="Arial" w:hAnsi="Arial"/>
                <w:sz w:val="18"/>
                <w:szCs w:val="18"/>
                <w:color w:val="auto"/>
              </w:rPr>
              <w:t>Tax benefit from exercise of options</w:t>
            </w:r>
          </w:p>
        </w:tc>
        <w:tc>
          <w:tcPr>
            <w:tcW w:w="10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74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49</w:t>
            </w:r>
          </w:p>
        </w:tc>
        <w:tc>
          <w:tcPr>
            <w:tcW w:w="280" w:type="dxa"/>
            <w:vAlign w:val="bottom"/>
          </w:tcPr>
          <w:p>
            <w:pPr>
              <w:spacing w:after="0"/>
              <w:rPr>
                <w:sz w:val="18"/>
                <w:szCs w:val="18"/>
                <w:color w:val="auto"/>
              </w:rPr>
            </w:pPr>
          </w:p>
        </w:tc>
        <w:tc>
          <w:tcPr>
            <w:tcW w:w="9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8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49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Unamortized stock compensation</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5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(26)</w:t>
            </w:r>
          </w:p>
        </w:tc>
        <w:tc>
          <w:tcPr>
            <w:tcW w:w="9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0"/>
        </w:trPr>
        <w:tc>
          <w:tcPr>
            <w:tcW w:w="578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Balance, November 26, 2005 as restated</w:t>
            </w:r>
          </w:p>
        </w:tc>
        <w:tc>
          <w:tcPr>
            <w:tcW w:w="8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5780" w:type="dxa"/>
            <w:vAlign w:val="bottom"/>
            <w:gridSpan w:val="2"/>
            <w:vMerge w:val="continue"/>
          </w:tcPr>
          <w:p>
            <w:pPr>
              <w:spacing w:after="0"/>
              <w:rPr>
                <w:sz w:val="19"/>
                <w:szCs w:val="19"/>
                <w:color w:val="auto"/>
              </w:rPr>
            </w:pPr>
          </w:p>
        </w:tc>
        <w:tc>
          <w:tcPr>
            <w:tcW w:w="1080" w:type="dxa"/>
            <w:vAlign w:val="bottom"/>
            <w:gridSpan w:val="2"/>
          </w:tcPr>
          <w:p>
            <w:pPr>
              <w:jc w:val="right"/>
              <w:ind w:right="280"/>
              <w:spacing w:after="0"/>
              <w:rPr>
                <w:sz w:val="20"/>
                <w:szCs w:val="20"/>
                <w:color w:val="auto"/>
              </w:rPr>
            </w:pPr>
            <w:r>
              <w:rPr>
                <w:rFonts w:ascii="Arial" w:cs="Arial" w:eastAsia="Arial" w:hAnsi="Arial"/>
                <w:sz w:val="18"/>
                <w:szCs w:val="18"/>
                <w:color w:val="auto"/>
                <w:w w:val="86"/>
              </w:rPr>
              <w:t>11,804,458</w:t>
            </w: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59,022</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2,068</w:t>
            </w:r>
          </w:p>
        </w:tc>
        <w:tc>
          <w:tcPr>
            <w:tcW w:w="28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155,555</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2,652</w:t>
            </w:r>
          </w:p>
        </w:tc>
        <w:tc>
          <w:tcPr>
            <w:tcW w:w="28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219,297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0"/>
        </w:trPr>
        <w:tc>
          <w:tcPr>
            <w:tcW w:w="20" w:type="dxa"/>
            <w:vAlign w:val="bottom"/>
            <w:vMerge w:val="restart"/>
          </w:tcPr>
          <w:p>
            <w:pPr>
              <w:spacing w:after="0"/>
              <w:rPr>
                <w:sz w:val="9"/>
                <w:szCs w:val="9"/>
                <w:color w:val="auto"/>
              </w:rPr>
            </w:pPr>
          </w:p>
        </w:tc>
        <w:tc>
          <w:tcPr>
            <w:tcW w:w="5760" w:type="dxa"/>
            <w:vAlign w:val="bottom"/>
          </w:tcPr>
          <w:p>
            <w:pPr>
              <w:spacing w:after="0"/>
              <w:rPr>
                <w:sz w:val="9"/>
                <w:szCs w:val="9"/>
                <w:color w:val="auto"/>
              </w:rPr>
            </w:pPr>
          </w:p>
        </w:tc>
        <w:tc>
          <w:tcPr>
            <w:tcW w:w="800" w:type="dxa"/>
            <w:vAlign w:val="bottom"/>
          </w:tcPr>
          <w:p>
            <w:pPr>
              <w:spacing w:after="0"/>
              <w:rPr>
                <w:sz w:val="9"/>
                <w:szCs w:val="9"/>
                <w:color w:val="auto"/>
              </w:rPr>
            </w:pPr>
          </w:p>
        </w:tc>
        <w:tc>
          <w:tcPr>
            <w:tcW w:w="28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520" w:type="dxa"/>
            <w:vAlign w:val="bottom"/>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0" w:type="dxa"/>
            <w:vAlign w:val="bottom"/>
          </w:tcPr>
          <w:p>
            <w:pPr>
              <w:spacing w:after="0"/>
              <w:rPr>
                <w:sz w:val="9"/>
                <w:szCs w:val="9"/>
                <w:color w:val="auto"/>
              </w:rPr>
            </w:pPr>
          </w:p>
        </w:tc>
        <w:tc>
          <w:tcPr>
            <w:tcW w:w="700" w:type="dxa"/>
            <w:vAlign w:val="bottom"/>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5,429</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5,429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tcPr>
          <w:p>
            <w:pPr>
              <w:spacing w:after="0"/>
              <w:rPr>
                <w:sz w:val="20"/>
                <w:szCs w:val="20"/>
                <w:color w:val="auto"/>
              </w:rPr>
            </w:pPr>
            <w:r>
              <w:rPr>
                <w:rFonts w:ascii="Arial" w:cs="Arial" w:eastAsia="Arial" w:hAnsi="Arial"/>
                <w:sz w:val="18"/>
                <w:szCs w:val="18"/>
                <w:color w:val="auto"/>
                <w:w w:val="97"/>
              </w:rPr>
              <w:t>Excess of additional pension liability over unamortized transition obligation</w:t>
            </w:r>
          </w:p>
        </w:tc>
        <w:tc>
          <w:tcPr>
            <w:tcW w:w="10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74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80" w:type="dxa"/>
            <w:vAlign w:val="bottom"/>
            <w:gridSpan w:val="2"/>
          </w:tcPr>
          <w:p>
            <w:pPr>
              <w:ind w:left="380"/>
              <w:spacing w:after="0"/>
              <w:rPr>
                <w:sz w:val="20"/>
                <w:szCs w:val="20"/>
                <w:color w:val="auto"/>
              </w:rPr>
            </w:pPr>
            <w:r>
              <w:rPr>
                <w:rFonts w:ascii="Arial" w:cs="Arial" w:eastAsia="Arial" w:hAnsi="Arial"/>
                <w:sz w:val="18"/>
                <w:szCs w:val="18"/>
                <w:color w:val="auto"/>
              </w:rPr>
              <w:t>(205)</w:t>
            </w: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(205)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Net change in unrealized holding gains</w:t>
            </w: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ind w:left="440"/>
              <w:spacing w:after="0"/>
              <w:rPr>
                <w:sz w:val="20"/>
                <w:szCs w:val="20"/>
                <w:color w:val="auto"/>
              </w:rPr>
            </w:pPr>
            <w:r>
              <w:rPr>
                <w:rFonts w:ascii="Arial" w:cs="Arial" w:eastAsia="Arial" w:hAnsi="Arial"/>
                <w:sz w:val="18"/>
                <w:szCs w:val="18"/>
                <w:color w:val="auto"/>
                <w:w w:val="79"/>
              </w:rPr>
              <w:t>873</w:t>
            </w:r>
          </w:p>
        </w:tc>
        <w:tc>
          <w:tcPr>
            <w:tcW w:w="280" w:type="dxa"/>
            <w:vAlign w:val="bottom"/>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5780" w:type="dxa"/>
            <w:vAlign w:val="bottom"/>
            <w:gridSpan w:val="2"/>
          </w:tcPr>
          <w:p>
            <w:pPr>
              <w:spacing w:after="0"/>
              <w:rPr>
                <w:sz w:val="20"/>
                <w:szCs w:val="20"/>
                <w:color w:val="auto"/>
              </w:rPr>
            </w:pPr>
            <w:r>
              <w:rPr>
                <w:rFonts w:ascii="Arial" w:cs="Arial" w:eastAsia="Arial" w:hAnsi="Arial"/>
                <w:sz w:val="18"/>
                <w:szCs w:val="18"/>
                <w:color w:val="auto"/>
              </w:rPr>
              <w:t>Comprehensive income</w:t>
            </w:r>
          </w:p>
        </w:tc>
        <w:tc>
          <w:tcPr>
            <w:tcW w:w="8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6,097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Dividends ($.80 per share)</w:t>
            </w: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(9,449)</w:t>
            </w:r>
          </w:p>
        </w:tc>
        <w:tc>
          <w:tcPr>
            <w:tcW w:w="1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(9,449)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tcPr>
          <w:p>
            <w:pPr>
              <w:spacing w:after="0"/>
              <w:rPr>
                <w:sz w:val="20"/>
                <w:szCs w:val="20"/>
                <w:color w:val="auto"/>
              </w:rPr>
            </w:pPr>
            <w:r>
              <w:rPr>
                <w:rFonts w:ascii="Arial" w:cs="Arial" w:eastAsia="Arial" w:hAnsi="Arial"/>
                <w:sz w:val="18"/>
                <w:szCs w:val="18"/>
                <w:color w:val="auto"/>
              </w:rPr>
              <w:t>Issuance of common stock</w:t>
            </w:r>
          </w:p>
        </w:tc>
        <w:tc>
          <w:tcPr>
            <w:tcW w:w="800" w:type="dxa"/>
            <w:vAlign w:val="bottom"/>
          </w:tcPr>
          <w:p>
            <w:pPr>
              <w:jc w:val="right"/>
              <w:spacing w:after="0"/>
              <w:rPr>
                <w:sz w:val="20"/>
                <w:szCs w:val="20"/>
                <w:color w:val="auto"/>
              </w:rPr>
            </w:pPr>
            <w:r>
              <w:rPr>
                <w:rFonts w:ascii="Arial" w:cs="Arial" w:eastAsia="Arial" w:hAnsi="Arial"/>
                <w:sz w:val="18"/>
                <w:szCs w:val="18"/>
                <w:color w:val="auto"/>
              </w:rPr>
              <w:t>55,637</w:t>
            </w:r>
          </w:p>
        </w:tc>
        <w:tc>
          <w:tcPr>
            <w:tcW w:w="280" w:type="dxa"/>
            <w:vAlign w:val="bottom"/>
          </w:tcPr>
          <w:p>
            <w:pPr>
              <w:spacing w:after="0"/>
              <w:rPr>
                <w:sz w:val="18"/>
                <w:szCs w:val="18"/>
                <w:color w:val="auto"/>
              </w:rPr>
            </w:pPr>
          </w:p>
        </w:tc>
        <w:tc>
          <w:tcPr>
            <w:tcW w:w="740" w:type="dxa"/>
            <w:vAlign w:val="bottom"/>
            <w:gridSpan w:val="2"/>
          </w:tcPr>
          <w:p>
            <w:pPr>
              <w:ind w:left="320"/>
              <w:spacing w:after="0"/>
              <w:rPr>
                <w:sz w:val="20"/>
                <w:szCs w:val="20"/>
                <w:color w:val="auto"/>
              </w:rPr>
            </w:pPr>
            <w:r>
              <w:rPr>
                <w:rFonts w:ascii="Arial" w:cs="Arial" w:eastAsia="Arial" w:hAnsi="Arial"/>
                <w:sz w:val="18"/>
                <w:szCs w:val="18"/>
                <w:color w:val="auto"/>
              </w:rPr>
              <w:t>278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ind w:left="260"/>
              <w:spacing w:after="0"/>
              <w:rPr>
                <w:sz w:val="20"/>
                <w:szCs w:val="20"/>
                <w:color w:val="auto"/>
              </w:rPr>
            </w:pPr>
            <w:r>
              <w:rPr>
                <w:rFonts w:ascii="Arial" w:cs="Arial" w:eastAsia="Arial" w:hAnsi="Arial"/>
                <w:sz w:val="18"/>
                <w:szCs w:val="18"/>
                <w:color w:val="auto"/>
                <w:w w:val="79"/>
              </w:rPr>
              <w:t>693</w:t>
            </w:r>
          </w:p>
        </w:tc>
        <w:tc>
          <w:tcPr>
            <w:tcW w:w="280" w:type="dxa"/>
            <w:vAlign w:val="bottom"/>
          </w:tcPr>
          <w:p>
            <w:pPr>
              <w:spacing w:after="0"/>
              <w:rPr>
                <w:sz w:val="18"/>
                <w:szCs w:val="18"/>
                <w:color w:val="auto"/>
              </w:rPr>
            </w:pPr>
          </w:p>
        </w:tc>
        <w:tc>
          <w:tcPr>
            <w:tcW w:w="9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8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971</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Purchase and retirement of common stock</w:t>
            </w: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(56,439)</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(702)</w:t>
            </w:r>
          </w:p>
        </w:tc>
        <w:tc>
          <w:tcPr>
            <w:tcW w:w="9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tcPr>
          <w:p>
            <w:pPr>
              <w:spacing w:after="0"/>
              <w:rPr>
                <w:sz w:val="20"/>
                <w:szCs w:val="20"/>
                <w:color w:val="auto"/>
              </w:rPr>
            </w:pPr>
            <w:r>
              <w:rPr>
                <w:rFonts w:ascii="Arial" w:cs="Arial" w:eastAsia="Arial" w:hAnsi="Arial"/>
                <w:sz w:val="18"/>
                <w:szCs w:val="18"/>
                <w:color w:val="auto"/>
              </w:rPr>
              <w:t>Unamortized stock compensation</w:t>
            </w: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580" w:type="dxa"/>
            <w:vAlign w:val="bottom"/>
          </w:tcPr>
          <w:p>
            <w:pPr>
              <w:ind w:left="3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(66)</w:t>
            </w:r>
          </w:p>
        </w:tc>
        <w:tc>
          <w:tcPr>
            <w:tcW w:w="9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8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(66)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76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November 25, 2006</w:t>
            </w:r>
          </w:p>
        </w:tc>
        <w:tc>
          <w:tcPr>
            <w:tcW w:w="10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86"/>
              </w:rPr>
              <w:t>11,803,656</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59,018</w:t>
            </w:r>
          </w:p>
        </w:tc>
        <w:tc>
          <w:tcPr>
            <w:tcW w:w="2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79"/>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1,993</w:t>
            </w: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151,535</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3,320</w:t>
            </w: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215,866</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6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to consolidated financial statements are an integral part of these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- 18</w:t>
      </w:r>
    </w:p>
    <w:p>
      <w:pPr>
        <w:sectPr>
          <w:pgSz w:w="11900" w:h="16838" w:orient="portrait"/>
          <w:cols w:equalWidth="0" w:num="1">
            <w:col w:w="11420"/>
          </w:cols>
          <w:pgMar w:left="240" w:top="459" w:right="2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Bassett Furniture Industries, Incorporated and Subsidiaries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For the years ended November 25, 2006, November 26, 2005 (Restated), and November 27, 2004 (Restated)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 thousands)</w:t>
      </w:r>
    </w:p>
    <w:p>
      <w:pPr>
        <w:spacing w:after="0" w:line="5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140" w:type="dxa"/>
            <w:vAlign w:val="bottom"/>
            <w:gridSpan w:val="3"/>
          </w:tcPr>
          <w:p>
            <w:pPr>
              <w:ind w:left="20"/>
              <w:spacing w:after="0"/>
              <w:rPr>
                <w:sz w:val="20"/>
                <w:szCs w:val="20"/>
                <w:color w:val="auto"/>
              </w:rPr>
            </w:pPr>
            <w:r>
              <w:rPr>
                <w:rFonts w:ascii="Arial" w:cs="Arial" w:eastAsia="Arial" w:hAnsi="Arial"/>
                <w:sz w:val="14"/>
                <w:szCs w:val="14"/>
                <w:b w:val="1"/>
                <w:bCs w:val="1"/>
                <w:color w:val="auto"/>
              </w:rPr>
              <w:t>As restated</w:t>
            </w:r>
          </w:p>
        </w:tc>
        <w:tc>
          <w:tcPr>
            <w:tcW w:w="720" w:type="dxa"/>
            <w:vAlign w:val="bottom"/>
            <w:gridSpan w:val="3"/>
          </w:tcPr>
          <w:p>
            <w:pPr>
              <w:spacing w:after="0"/>
              <w:rPr>
                <w:sz w:val="20"/>
                <w:szCs w:val="20"/>
                <w:color w:val="auto"/>
              </w:rPr>
            </w:pPr>
            <w:r>
              <w:rPr>
                <w:rFonts w:ascii="Arial" w:cs="Arial" w:eastAsia="Arial" w:hAnsi="Arial"/>
                <w:sz w:val="14"/>
                <w:szCs w:val="14"/>
                <w:b w:val="1"/>
                <w:bCs w:val="1"/>
                <w:color w:val="auto"/>
                <w:w w:val="91"/>
              </w:rPr>
              <w:t>As restated</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842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40" w:type="dxa"/>
            <w:vAlign w:val="bottom"/>
            <w:tcBorders>
              <w:bottom w:val="single" w:sz="8" w:color="auto"/>
            </w:tcBorders>
          </w:tcPr>
          <w:p>
            <w:pPr>
              <w:jc w:val="right"/>
              <w:ind w:right="93"/>
              <w:spacing w:after="0"/>
              <w:rPr>
                <w:sz w:val="20"/>
                <w:szCs w:val="20"/>
                <w:color w:val="auto"/>
              </w:rPr>
            </w:pPr>
            <w:r>
              <w:rPr>
                <w:rFonts w:ascii="Arial" w:cs="Arial" w:eastAsia="Arial" w:hAnsi="Arial"/>
                <w:sz w:val="14"/>
                <w:szCs w:val="14"/>
                <w:b w:val="1"/>
                <w:bCs w:val="1"/>
                <w:color w:val="auto"/>
              </w:rPr>
              <w:t>2006</w:t>
            </w:r>
          </w:p>
        </w:tc>
        <w:tc>
          <w:tcPr>
            <w:tcW w:w="48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jc w:val="right"/>
              <w:ind w:right="113"/>
              <w:spacing w:after="0"/>
              <w:rPr>
                <w:sz w:val="20"/>
                <w:szCs w:val="20"/>
                <w:color w:val="auto"/>
              </w:rPr>
            </w:pPr>
            <w:r>
              <w:rPr>
                <w:rFonts w:ascii="Arial" w:cs="Arial" w:eastAsia="Arial" w:hAnsi="Arial"/>
                <w:sz w:val="14"/>
                <w:szCs w:val="14"/>
                <w:b w:val="1"/>
                <w:bCs w:val="1"/>
                <w:color w:val="auto"/>
              </w:rPr>
              <w:t>2005</w:t>
            </w:r>
          </w:p>
        </w:tc>
        <w:tc>
          <w:tcPr>
            <w:tcW w:w="48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jc w:val="right"/>
              <w:ind w:right="113"/>
              <w:spacing w:after="0"/>
              <w:rPr>
                <w:sz w:val="20"/>
                <w:szCs w:val="20"/>
                <w:color w:val="auto"/>
              </w:rPr>
            </w:pPr>
            <w:r>
              <w:rPr>
                <w:rFonts w:ascii="Arial" w:cs="Arial" w:eastAsia="Arial" w:hAnsi="Arial"/>
                <w:sz w:val="14"/>
                <w:szCs w:val="14"/>
                <w:b w:val="1"/>
                <w:bCs w:val="1"/>
                <w:color w:val="auto"/>
              </w:rPr>
              <w:t>2004</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tcPr>
          <w:p>
            <w:pPr>
              <w:spacing w:after="0"/>
              <w:rPr>
                <w:sz w:val="20"/>
                <w:szCs w:val="20"/>
                <w:color w:val="auto"/>
              </w:rPr>
            </w:pPr>
            <w:r>
              <w:rPr>
                <w:rFonts w:ascii="Arial" w:cs="Arial" w:eastAsia="Arial" w:hAnsi="Arial"/>
                <w:sz w:val="18"/>
                <w:szCs w:val="18"/>
                <w:color w:val="auto"/>
              </w:rPr>
              <w:t>Net income</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gridSpan w:val="2"/>
          </w:tcPr>
          <w:p>
            <w:pPr>
              <w:jc w:val="right"/>
              <w:ind w:right="480"/>
              <w:spacing w:after="0"/>
              <w:rPr>
                <w:sz w:val="20"/>
                <w:szCs w:val="20"/>
                <w:color w:val="auto"/>
              </w:rPr>
            </w:pPr>
            <w:r>
              <w:rPr>
                <w:rFonts w:ascii="Arial" w:cs="Arial" w:eastAsia="Arial" w:hAnsi="Arial"/>
                <w:sz w:val="18"/>
                <w:szCs w:val="18"/>
                <w:color w:val="auto"/>
              </w:rPr>
              <w:t>5,429</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rPr>
              <w:t>9,814</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8,209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(used in) operating activities:</w:t>
            </w: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tcPr>
          <w:p>
            <w:pPr>
              <w:ind w:left="420"/>
              <w:spacing w:after="0"/>
              <w:rPr>
                <w:sz w:val="20"/>
                <w:szCs w:val="20"/>
                <w:color w:val="auto"/>
              </w:rPr>
            </w:pPr>
            <w:r>
              <w:rPr>
                <w:rFonts w:ascii="Arial" w:cs="Arial" w:eastAsia="Arial" w:hAnsi="Arial"/>
                <w:sz w:val="18"/>
                <w:szCs w:val="18"/>
                <w:color w:val="auto"/>
              </w:rPr>
              <w:t>Depreciation and amortization</w:t>
            </w:r>
          </w:p>
        </w:tc>
        <w:tc>
          <w:tcPr>
            <w:tcW w:w="100" w:type="dxa"/>
            <w:vAlign w:val="bottom"/>
          </w:tcPr>
          <w:p>
            <w:pPr>
              <w:spacing w:after="0"/>
              <w:rPr>
                <w:sz w:val="18"/>
                <w:szCs w:val="18"/>
                <w:color w:val="auto"/>
              </w:rPr>
            </w:pPr>
          </w:p>
        </w:tc>
        <w:tc>
          <w:tcPr>
            <w:tcW w:w="1020" w:type="dxa"/>
            <w:vAlign w:val="bottom"/>
            <w:gridSpan w:val="2"/>
          </w:tcPr>
          <w:p>
            <w:pPr>
              <w:jc w:val="right"/>
              <w:ind w:right="480"/>
              <w:spacing w:after="0"/>
              <w:rPr>
                <w:sz w:val="20"/>
                <w:szCs w:val="20"/>
                <w:color w:val="auto"/>
              </w:rPr>
            </w:pPr>
            <w:r>
              <w:rPr>
                <w:rFonts w:ascii="Arial" w:cs="Arial" w:eastAsia="Arial" w:hAnsi="Arial"/>
                <w:sz w:val="18"/>
                <w:szCs w:val="18"/>
                <w:color w:val="auto"/>
              </w:rPr>
              <w:t>9,253</w:t>
            </w:r>
          </w:p>
        </w:tc>
        <w:tc>
          <w:tcPr>
            <w:tcW w:w="100" w:type="dxa"/>
            <w:vAlign w:val="bottom"/>
          </w:tcPr>
          <w:p>
            <w:pPr>
              <w:spacing w:after="0"/>
              <w:rPr>
                <w:sz w:val="18"/>
                <w:szCs w:val="18"/>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rPr>
              <w:t>9,674</w:t>
            </w: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98"/>
              </w:rPr>
              <w:t>10,151</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Equity in undistributed income of investments and unconsolidated affiliated companies</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(9,594)</w:t>
            </w: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w w:val="89"/>
              </w:rPr>
              <w:t>(11,011)</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(10,708)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tcPr>
          <w:p>
            <w:pPr>
              <w:ind w:left="420"/>
              <w:spacing w:after="0"/>
              <w:rPr>
                <w:sz w:val="20"/>
                <w:szCs w:val="20"/>
                <w:color w:val="auto"/>
              </w:rPr>
            </w:pPr>
            <w:r>
              <w:rPr>
                <w:rFonts w:ascii="Arial" w:cs="Arial" w:eastAsia="Arial" w:hAnsi="Arial"/>
                <w:sz w:val="18"/>
                <w:szCs w:val="18"/>
                <w:color w:val="auto"/>
              </w:rPr>
              <w:t>Provision for write-down of impaired assets</w:t>
            </w:r>
          </w:p>
        </w:tc>
        <w:tc>
          <w:tcPr>
            <w:tcW w:w="100" w:type="dxa"/>
            <w:vAlign w:val="bottom"/>
          </w:tcPr>
          <w:p>
            <w:pPr>
              <w:spacing w:after="0"/>
              <w:rPr>
                <w:sz w:val="18"/>
                <w:szCs w:val="18"/>
                <w:color w:val="auto"/>
              </w:rPr>
            </w:pPr>
          </w:p>
        </w:tc>
        <w:tc>
          <w:tcPr>
            <w:tcW w:w="1020" w:type="dxa"/>
            <w:vAlign w:val="bottom"/>
            <w:gridSpan w:val="2"/>
          </w:tcPr>
          <w:p>
            <w:pPr>
              <w:jc w:val="right"/>
              <w:ind w:right="480"/>
              <w:spacing w:after="0"/>
              <w:rPr>
                <w:sz w:val="20"/>
                <w:szCs w:val="20"/>
                <w:color w:val="auto"/>
              </w:rPr>
            </w:pPr>
            <w:r>
              <w:rPr>
                <w:rFonts w:ascii="Arial" w:cs="Arial" w:eastAsia="Arial" w:hAnsi="Arial"/>
                <w:sz w:val="18"/>
                <w:szCs w:val="18"/>
                <w:color w:val="auto"/>
              </w:rPr>
              <w:t>1,359</w:t>
            </w:r>
          </w:p>
        </w:tc>
        <w:tc>
          <w:tcPr>
            <w:tcW w:w="100" w:type="dxa"/>
            <w:vAlign w:val="bottom"/>
          </w:tcPr>
          <w:p>
            <w:pPr>
              <w:spacing w:after="0"/>
              <w:rPr>
                <w:sz w:val="18"/>
                <w:szCs w:val="18"/>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rPr>
              <w:t>920</w:t>
            </w: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2,353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Provision for losses on trade accounts receivable</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3,364</w:t>
            </w: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2,603</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tcPr>
          <w:p>
            <w:pPr>
              <w:ind w:left="420"/>
              <w:spacing w:after="0"/>
              <w:rPr>
                <w:sz w:val="20"/>
                <w:szCs w:val="20"/>
                <w:color w:val="auto"/>
              </w:rPr>
            </w:pPr>
            <w:r>
              <w:rPr>
                <w:rFonts w:ascii="Arial" w:cs="Arial" w:eastAsia="Arial" w:hAnsi="Arial"/>
                <w:sz w:val="18"/>
                <w:szCs w:val="18"/>
                <w:color w:val="auto"/>
              </w:rPr>
              <w:t>Net gain from sales of investment securities</w:t>
            </w:r>
          </w:p>
        </w:tc>
        <w:tc>
          <w:tcPr>
            <w:tcW w:w="100" w:type="dxa"/>
            <w:vAlign w:val="bottom"/>
          </w:tcPr>
          <w:p>
            <w:pPr>
              <w:spacing w:after="0"/>
              <w:rPr>
                <w:sz w:val="18"/>
                <w:szCs w:val="18"/>
                <w:color w:val="auto"/>
              </w:rPr>
            </w:pPr>
          </w:p>
        </w:tc>
        <w:tc>
          <w:tcPr>
            <w:tcW w:w="1020" w:type="dxa"/>
            <w:vAlign w:val="bottom"/>
            <w:gridSpan w:val="2"/>
          </w:tcPr>
          <w:p>
            <w:pPr>
              <w:jc w:val="right"/>
              <w:ind w:right="420"/>
              <w:spacing w:after="0"/>
              <w:rPr>
                <w:sz w:val="20"/>
                <w:szCs w:val="20"/>
                <w:color w:val="auto"/>
              </w:rPr>
            </w:pPr>
            <w:r>
              <w:rPr>
                <w:rFonts w:ascii="Arial" w:cs="Arial" w:eastAsia="Arial" w:hAnsi="Arial"/>
                <w:sz w:val="18"/>
                <w:szCs w:val="18"/>
                <w:color w:val="auto"/>
              </w:rPr>
              <w:t>(1,096)</w:t>
            </w:r>
          </w:p>
        </w:tc>
        <w:tc>
          <w:tcPr>
            <w:tcW w:w="100" w:type="dxa"/>
            <w:vAlign w:val="bottom"/>
          </w:tcPr>
          <w:p>
            <w:pPr>
              <w:spacing w:after="0"/>
              <w:rPr>
                <w:sz w:val="18"/>
                <w:szCs w:val="18"/>
                <w:color w:val="auto"/>
              </w:rPr>
            </w:pPr>
          </w:p>
        </w:tc>
        <w:tc>
          <w:tcPr>
            <w:tcW w:w="1040" w:type="dxa"/>
            <w:vAlign w:val="bottom"/>
            <w:gridSpan w:val="2"/>
          </w:tcPr>
          <w:p>
            <w:pPr>
              <w:jc w:val="right"/>
              <w:ind w:right="420"/>
              <w:spacing w:after="0"/>
              <w:rPr>
                <w:sz w:val="20"/>
                <w:szCs w:val="20"/>
                <w:color w:val="auto"/>
              </w:rPr>
            </w:pPr>
            <w:r>
              <w:rPr>
                <w:rFonts w:ascii="Arial" w:cs="Arial" w:eastAsia="Arial" w:hAnsi="Arial"/>
                <w:sz w:val="18"/>
                <w:szCs w:val="18"/>
                <w:color w:val="auto"/>
              </w:rPr>
              <w:t>(1,379)</w:t>
            </w:r>
          </w:p>
        </w:tc>
        <w:tc>
          <w:tcPr>
            <w:tcW w:w="10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(1,188)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Net gain from sales of property and equipment</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(3,890)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tcPr>
          <w:p>
            <w:pPr>
              <w:ind w:left="420"/>
              <w:spacing w:after="0"/>
              <w:rPr>
                <w:sz w:val="20"/>
                <w:szCs w:val="20"/>
                <w:color w:val="auto"/>
              </w:rPr>
            </w:pPr>
            <w:r>
              <w:rPr>
                <w:rFonts w:ascii="Arial" w:cs="Arial" w:eastAsia="Arial" w:hAnsi="Arial"/>
                <w:sz w:val="18"/>
                <w:szCs w:val="18"/>
                <w:color w:val="auto"/>
              </w:rPr>
              <w:t>Deferred income taxes</w:t>
            </w:r>
          </w:p>
        </w:tc>
        <w:tc>
          <w:tcPr>
            <w:tcW w:w="100" w:type="dxa"/>
            <w:vAlign w:val="bottom"/>
          </w:tcPr>
          <w:p>
            <w:pPr>
              <w:spacing w:after="0"/>
              <w:rPr>
                <w:sz w:val="18"/>
                <w:szCs w:val="18"/>
                <w:color w:val="auto"/>
              </w:rPr>
            </w:pPr>
          </w:p>
        </w:tc>
        <w:tc>
          <w:tcPr>
            <w:tcW w:w="1020" w:type="dxa"/>
            <w:vAlign w:val="bottom"/>
            <w:gridSpan w:val="2"/>
          </w:tcPr>
          <w:p>
            <w:pPr>
              <w:jc w:val="right"/>
              <w:ind w:right="420"/>
              <w:spacing w:after="0"/>
              <w:rPr>
                <w:sz w:val="20"/>
                <w:szCs w:val="20"/>
                <w:color w:val="auto"/>
              </w:rPr>
            </w:pPr>
            <w:r>
              <w:rPr>
                <w:rFonts w:ascii="Arial" w:cs="Arial" w:eastAsia="Arial" w:hAnsi="Arial"/>
                <w:sz w:val="18"/>
                <w:szCs w:val="18"/>
                <w:color w:val="auto"/>
              </w:rPr>
              <w:t>(1,437)</w:t>
            </w:r>
          </w:p>
        </w:tc>
        <w:tc>
          <w:tcPr>
            <w:tcW w:w="100" w:type="dxa"/>
            <w:vAlign w:val="bottom"/>
          </w:tcPr>
          <w:p>
            <w:pPr>
              <w:spacing w:after="0"/>
              <w:rPr>
                <w:sz w:val="18"/>
                <w:szCs w:val="18"/>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rPr>
              <w:t>60</w:t>
            </w: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1,876</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Changes in post employment benefit obligations, net</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(406)</w:t>
            </w: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(215)</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tcPr>
          <w:p>
            <w:pPr>
              <w:ind w:left="420"/>
              <w:spacing w:after="0"/>
              <w:rPr>
                <w:sz w:val="20"/>
                <w:szCs w:val="20"/>
                <w:color w:val="auto"/>
              </w:rPr>
            </w:pPr>
            <w:r>
              <w:rPr>
                <w:rFonts w:ascii="Arial" w:cs="Arial" w:eastAsia="Arial" w:hAnsi="Arial"/>
                <w:sz w:val="18"/>
                <w:szCs w:val="18"/>
                <w:color w:val="auto"/>
              </w:rPr>
              <w:t>Cash received on licensee notes for operating activities</w:t>
            </w:r>
          </w:p>
        </w:tc>
        <w:tc>
          <w:tcPr>
            <w:tcW w:w="100" w:type="dxa"/>
            <w:vAlign w:val="bottom"/>
          </w:tcPr>
          <w:p>
            <w:pPr>
              <w:spacing w:after="0"/>
              <w:rPr>
                <w:sz w:val="18"/>
                <w:szCs w:val="18"/>
                <w:color w:val="auto"/>
              </w:rPr>
            </w:pPr>
          </w:p>
        </w:tc>
        <w:tc>
          <w:tcPr>
            <w:tcW w:w="1020" w:type="dxa"/>
            <w:vAlign w:val="bottom"/>
            <w:gridSpan w:val="2"/>
          </w:tcPr>
          <w:p>
            <w:pPr>
              <w:jc w:val="right"/>
              <w:ind w:right="480"/>
              <w:spacing w:after="0"/>
              <w:rPr>
                <w:sz w:val="20"/>
                <w:szCs w:val="20"/>
                <w:color w:val="auto"/>
              </w:rPr>
            </w:pPr>
            <w:r>
              <w:rPr>
                <w:rFonts w:ascii="Arial" w:cs="Arial" w:eastAsia="Arial" w:hAnsi="Arial"/>
                <w:sz w:val="18"/>
                <w:szCs w:val="18"/>
                <w:color w:val="auto"/>
              </w:rPr>
              <w:t>53</w:t>
            </w:r>
          </w:p>
        </w:tc>
        <w:tc>
          <w:tcPr>
            <w:tcW w:w="100" w:type="dxa"/>
            <w:vAlign w:val="bottom"/>
          </w:tcPr>
          <w:p>
            <w:pPr>
              <w:spacing w:after="0"/>
              <w:rPr>
                <w:sz w:val="18"/>
                <w:szCs w:val="18"/>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rPr>
              <w:t>23</w:t>
            </w: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208</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84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Changes in operating assets and liabilities, exclusive of assets and liabilities impacted by business</w:t>
            </w: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8420" w:type="dxa"/>
            <w:vAlign w:val="bottom"/>
            <w:shd w:val="clear" w:color="auto" w:fill="CCEEFF"/>
          </w:tcPr>
          <w:p>
            <w:pPr>
              <w:ind w:left="640"/>
              <w:spacing w:after="0"/>
              <w:rPr>
                <w:sz w:val="20"/>
                <w:szCs w:val="20"/>
                <w:color w:val="auto"/>
              </w:rPr>
            </w:pPr>
            <w:r>
              <w:rPr>
                <w:rFonts w:ascii="Arial" w:cs="Arial" w:eastAsia="Arial" w:hAnsi="Arial"/>
                <w:sz w:val="18"/>
                <w:szCs w:val="18"/>
                <w:color w:val="auto"/>
              </w:rPr>
              <w:t>combinations and the sale of Weiman:</w:t>
            </w:r>
          </w:p>
        </w:tc>
        <w:tc>
          <w:tcPr>
            <w:tcW w:w="1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tcPr>
          <w:p>
            <w:pPr>
              <w:ind w:left="860"/>
              <w:spacing w:after="0"/>
              <w:rPr>
                <w:sz w:val="20"/>
                <w:szCs w:val="20"/>
                <w:color w:val="auto"/>
              </w:rPr>
            </w:pPr>
            <w:r>
              <w:rPr>
                <w:rFonts w:ascii="Arial" w:cs="Arial" w:eastAsia="Arial" w:hAnsi="Arial"/>
                <w:sz w:val="18"/>
                <w:szCs w:val="18"/>
                <w:color w:val="auto"/>
              </w:rPr>
              <w:t>Accounts receivable</w:t>
            </w:r>
          </w:p>
        </w:tc>
        <w:tc>
          <w:tcPr>
            <w:tcW w:w="100" w:type="dxa"/>
            <w:vAlign w:val="bottom"/>
          </w:tcPr>
          <w:p>
            <w:pPr>
              <w:spacing w:after="0"/>
              <w:rPr>
                <w:sz w:val="18"/>
                <w:szCs w:val="18"/>
                <w:color w:val="auto"/>
              </w:rPr>
            </w:pPr>
          </w:p>
        </w:tc>
        <w:tc>
          <w:tcPr>
            <w:tcW w:w="1020" w:type="dxa"/>
            <w:vAlign w:val="bottom"/>
            <w:gridSpan w:val="2"/>
          </w:tcPr>
          <w:p>
            <w:pPr>
              <w:jc w:val="right"/>
              <w:ind w:right="420"/>
              <w:spacing w:after="0"/>
              <w:rPr>
                <w:sz w:val="20"/>
                <w:szCs w:val="20"/>
                <w:color w:val="auto"/>
              </w:rPr>
            </w:pPr>
            <w:r>
              <w:rPr>
                <w:rFonts w:ascii="Arial" w:cs="Arial" w:eastAsia="Arial" w:hAnsi="Arial"/>
                <w:sz w:val="18"/>
                <w:szCs w:val="18"/>
                <w:color w:val="auto"/>
              </w:rPr>
              <w:t>(7,417)</w:t>
            </w:r>
          </w:p>
        </w:tc>
        <w:tc>
          <w:tcPr>
            <w:tcW w:w="100" w:type="dxa"/>
            <w:vAlign w:val="bottom"/>
          </w:tcPr>
          <w:p>
            <w:pPr>
              <w:spacing w:after="0"/>
              <w:rPr>
                <w:sz w:val="18"/>
                <w:szCs w:val="18"/>
                <w:color w:val="auto"/>
              </w:rPr>
            </w:pPr>
          </w:p>
        </w:tc>
        <w:tc>
          <w:tcPr>
            <w:tcW w:w="1040" w:type="dxa"/>
            <w:vAlign w:val="bottom"/>
            <w:gridSpan w:val="2"/>
          </w:tcPr>
          <w:p>
            <w:pPr>
              <w:jc w:val="right"/>
              <w:ind w:right="420"/>
              <w:spacing w:after="0"/>
              <w:rPr>
                <w:sz w:val="20"/>
                <w:szCs w:val="20"/>
                <w:color w:val="auto"/>
              </w:rPr>
            </w:pPr>
            <w:r>
              <w:rPr>
                <w:rFonts w:ascii="Arial" w:cs="Arial" w:eastAsia="Arial" w:hAnsi="Arial"/>
                <w:sz w:val="18"/>
                <w:szCs w:val="18"/>
                <w:color w:val="auto"/>
              </w:rPr>
              <w:t>(7,666)</w:t>
            </w:r>
          </w:p>
        </w:tc>
        <w:tc>
          <w:tcPr>
            <w:tcW w:w="10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(2,707)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shd w:val="clear" w:color="auto" w:fill="CCEEFF"/>
          </w:tcPr>
          <w:p>
            <w:pPr>
              <w:ind w:left="860"/>
              <w:spacing w:after="0"/>
              <w:rPr>
                <w:sz w:val="20"/>
                <w:szCs w:val="20"/>
                <w:color w:val="auto"/>
              </w:rPr>
            </w:pPr>
            <w:r>
              <w:rPr>
                <w:rFonts w:ascii="Arial" w:cs="Arial" w:eastAsia="Arial" w:hAnsi="Arial"/>
                <w:sz w:val="18"/>
                <w:szCs w:val="18"/>
                <w:color w:val="auto"/>
              </w:rPr>
              <w:t>Inventories</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2,503</w:t>
            </w: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4,625</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(10,831)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tcPr>
          <w:p>
            <w:pPr>
              <w:ind w:left="860"/>
              <w:spacing w:after="0"/>
              <w:rPr>
                <w:sz w:val="20"/>
                <w:szCs w:val="20"/>
                <w:color w:val="auto"/>
              </w:rPr>
            </w:pPr>
            <w:r>
              <w:rPr>
                <w:rFonts w:ascii="Arial" w:cs="Arial" w:eastAsia="Arial" w:hAnsi="Arial"/>
                <w:sz w:val="18"/>
                <w:szCs w:val="18"/>
                <w:color w:val="auto"/>
              </w:rPr>
              <w:t>Other current assets</w:t>
            </w:r>
          </w:p>
        </w:tc>
        <w:tc>
          <w:tcPr>
            <w:tcW w:w="100" w:type="dxa"/>
            <w:vAlign w:val="bottom"/>
          </w:tcPr>
          <w:p>
            <w:pPr>
              <w:spacing w:after="0"/>
              <w:rPr>
                <w:sz w:val="18"/>
                <w:szCs w:val="18"/>
                <w:color w:val="auto"/>
              </w:rPr>
            </w:pPr>
          </w:p>
        </w:tc>
        <w:tc>
          <w:tcPr>
            <w:tcW w:w="1020" w:type="dxa"/>
            <w:vAlign w:val="bottom"/>
            <w:gridSpan w:val="2"/>
          </w:tcPr>
          <w:p>
            <w:pPr>
              <w:jc w:val="right"/>
              <w:ind w:right="420"/>
              <w:spacing w:after="0"/>
              <w:rPr>
                <w:sz w:val="20"/>
                <w:szCs w:val="20"/>
                <w:color w:val="auto"/>
              </w:rPr>
            </w:pPr>
            <w:r>
              <w:rPr>
                <w:rFonts w:ascii="Arial" w:cs="Arial" w:eastAsia="Arial" w:hAnsi="Arial"/>
                <w:sz w:val="18"/>
                <w:szCs w:val="18"/>
                <w:color w:val="auto"/>
              </w:rPr>
              <w:t>(1,477)</w:t>
            </w:r>
          </w:p>
        </w:tc>
        <w:tc>
          <w:tcPr>
            <w:tcW w:w="100" w:type="dxa"/>
            <w:vAlign w:val="bottom"/>
          </w:tcPr>
          <w:p>
            <w:pPr>
              <w:spacing w:after="0"/>
              <w:rPr>
                <w:sz w:val="18"/>
                <w:szCs w:val="18"/>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rPr>
              <w:t>587</w:t>
            </w:r>
          </w:p>
        </w:tc>
        <w:tc>
          <w:tcPr>
            <w:tcW w:w="10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(1,491)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shd w:val="clear" w:color="auto" w:fill="CCEEFF"/>
          </w:tcPr>
          <w:p>
            <w:pPr>
              <w:ind w:left="860"/>
              <w:spacing w:after="0"/>
              <w:rPr>
                <w:sz w:val="20"/>
                <w:szCs w:val="20"/>
                <w:color w:val="auto"/>
              </w:rPr>
            </w:pPr>
            <w:r>
              <w:rPr>
                <w:rFonts w:ascii="Arial" w:cs="Arial" w:eastAsia="Arial" w:hAnsi="Arial"/>
                <w:sz w:val="18"/>
                <w:szCs w:val="18"/>
                <w:color w:val="auto"/>
              </w:rPr>
              <w:t>Accounts payable and accrued liabilities</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(5,659)</w:t>
            </w: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3,232</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420" w:type="dxa"/>
            <w:vAlign w:val="bottom"/>
            <w:vMerge w:val="restart"/>
          </w:tcPr>
          <w:p>
            <w:pPr>
              <w:ind w:left="1280"/>
              <w:spacing w:after="0"/>
              <w:rPr>
                <w:sz w:val="20"/>
                <w:szCs w:val="20"/>
                <w:color w:val="auto"/>
              </w:rPr>
            </w:pPr>
            <w:r>
              <w:rPr>
                <w:rFonts w:ascii="Arial" w:cs="Arial" w:eastAsia="Arial" w:hAnsi="Arial"/>
                <w:sz w:val="18"/>
                <w:szCs w:val="18"/>
                <w:b w:val="1"/>
                <w:bCs w:val="1"/>
                <w:color w:val="auto"/>
              </w:rPr>
              <w:t>Net Cash Provided By (Used In) Operating Activities</w:t>
            </w: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8420" w:type="dxa"/>
            <w:vAlign w:val="bottom"/>
            <w:vMerge w:val="continue"/>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gridSpan w:val="2"/>
          </w:tcPr>
          <w:p>
            <w:pPr>
              <w:jc w:val="right"/>
              <w:ind w:right="420"/>
              <w:spacing w:after="0"/>
              <w:rPr>
                <w:sz w:val="20"/>
                <w:szCs w:val="20"/>
                <w:color w:val="auto"/>
              </w:rPr>
            </w:pPr>
            <w:r>
              <w:rPr>
                <w:rFonts w:ascii="Arial" w:cs="Arial" w:eastAsia="Arial" w:hAnsi="Arial"/>
                <w:sz w:val="18"/>
                <w:szCs w:val="18"/>
                <w:color w:val="auto"/>
              </w:rPr>
              <w:t>(5,125)</w:t>
            </w:r>
          </w:p>
        </w:tc>
        <w:tc>
          <w:tcPr>
            <w:tcW w:w="100" w:type="dxa"/>
            <w:vAlign w:val="bottom"/>
          </w:tcPr>
          <w:p>
            <w:pPr>
              <w:spacing w:after="0"/>
              <w:rPr>
                <w:sz w:val="20"/>
                <w:szCs w:val="20"/>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w w:val="98"/>
              </w:rPr>
              <w:t>11,267</w:t>
            </w:r>
          </w:p>
        </w:tc>
        <w:tc>
          <w:tcPr>
            <w:tcW w:w="100" w:type="dxa"/>
            <w:vAlign w:val="bottom"/>
          </w:tcPr>
          <w:p>
            <w:pPr>
              <w:spacing w:after="0"/>
              <w:rPr>
                <w:sz w:val="20"/>
                <w:szCs w:val="20"/>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(5,307)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Investing Activities</w:t>
            </w:r>
          </w:p>
        </w:tc>
        <w:tc>
          <w:tcPr>
            <w:tcW w:w="10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tcPr>
          <w:p>
            <w:pPr>
              <w:spacing w:after="0"/>
              <w:rPr>
                <w:sz w:val="20"/>
                <w:szCs w:val="20"/>
                <w:color w:val="auto"/>
              </w:rPr>
            </w:pPr>
            <w:r>
              <w:rPr>
                <w:rFonts w:ascii="Arial" w:cs="Arial" w:eastAsia="Arial" w:hAnsi="Arial"/>
                <w:sz w:val="18"/>
                <w:szCs w:val="18"/>
                <w:color w:val="auto"/>
              </w:rPr>
              <w:t>Purchases of property and equipment</w:t>
            </w:r>
          </w:p>
        </w:tc>
        <w:tc>
          <w:tcPr>
            <w:tcW w:w="100" w:type="dxa"/>
            <w:vAlign w:val="bottom"/>
          </w:tcPr>
          <w:p>
            <w:pPr>
              <w:spacing w:after="0"/>
              <w:rPr>
                <w:sz w:val="18"/>
                <w:szCs w:val="18"/>
                <w:color w:val="auto"/>
              </w:rPr>
            </w:pPr>
          </w:p>
        </w:tc>
        <w:tc>
          <w:tcPr>
            <w:tcW w:w="1020" w:type="dxa"/>
            <w:vAlign w:val="bottom"/>
            <w:gridSpan w:val="2"/>
          </w:tcPr>
          <w:p>
            <w:pPr>
              <w:jc w:val="right"/>
              <w:ind w:right="420"/>
              <w:spacing w:after="0"/>
              <w:rPr>
                <w:sz w:val="20"/>
                <w:szCs w:val="20"/>
                <w:color w:val="auto"/>
              </w:rPr>
            </w:pPr>
            <w:r>
              <w:rPr>
                <w:rFonts w:ascii="Arial" w:cs="Arial" w:eastAsia="Arial" w:hAnsi="Arial"/>
                <w:sz w:val="18"/>
                <w:szCs w:val="18"/>
                <w:color w:val="auto"/>
              </w:rPr>
              <w:t>(3,344)</w:t>
            </w:r>
          </w:p>
        </w:tc>
        <w:tc>
          <w:tcPr>
            <w:tcW w:w="100" w:type="dxa"/>
            <w:vAlign w:val="bottom"/>
          </w:tcPr>
          <w:p>
            <w:pPr>
              <w:spacing w:after="0"/>
              <w:rPr>
                <w:sz w:val="18"/>
                <w:szCs w:val="18"/>
                <w:color w:val="auto"/>
              </w:rPr>
            </w:pPr>
          </w:p>
        </w:tc>
        <w:tc>
          <w:tcPr>
            <w:tcW w:w="1040" w:type="dxa"/>
            <w:vAlign w:val="bottom"/>
            <w:gridSpan w:val="2"/>
          </w:tcPr>
          <w:p>
            <w:pPr>
              <w:jc w:val="right"/>
              <w:ind w:right="420"/>
              <w:spacing w:after="0"/>
              <w:rPr>
                <w:sz w:val="20"/>
                <w:szCs w:val="20"/>
                <w:color w:val="auto"/>
              </w:rPr>
            </w:pPr>
            <w:r>
              <w:rPr>
                <w:rFonts w:ascii="Arial" w:cs="Arial" w:eastAsia="Arial" w:hAnsi="Arial"/>
                <w:sz w:val="18"/>
                <w:szCs w:val="18"/>
                <w:color w:val="auto"/>
              </w:rPr>
              <w:t>(4,804)</w:t>
            </w:r>
          </w:p>
        </w:tc>
        <w:tc>
          <w:tcPr>
            <w:tcW w:w="10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(7,866)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shd w:val="clear" w:color="auto" w:fill="CCEEFF"/>
          </w:tcPr>
          <w:p>
            <w:pPr>
              <w:spacing w:after="0"/>
              <w:rPr>
                <w:sz w:val="20"/>
                <w:szCs w:val="20"/>
                <w:color w:val="auto"/>
              </w:rPr>
            </w:pPr>
            <w:r>
              <w:rPr>
                <w:rFonts w:ascii="Arial" w:cs="Arial" w:eastAsia="Arial" w:hAnsi="Arial"/>
                <w:sz w:val="18"/>
                <w:szCs w:val="18"/>
                <w:color w:val="auto"/>
              </w:rPr>
              <w:t>Purchases of retail real estate</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(3,594)</w:t>
            </w: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(6,286)</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(3,177)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tcPr>
          <w:p>
            <w:pPr>
              <w:spacing w:after="0"/>
              <w:rPr>
                <w:sz w:val="20"/>
                <w:szCs w:val="20"/>
                <w:color w:val="auto"/>
              </w:rPr>
            </w:pPr>
            <w:r>
              <w:rPr>
                <w:rFonts w:ascii="Arial" w:cs="Arial" w:eastAsia="Arial" w:hAnsi="Arial"/>
                <w:sz w:val="18"/>
                <w:szCs w:val="18"/>
                <w:color w:val="auto"/>
              </w:rPr>
              <w:t>Proceeds from sales of property and equipment</w:t>
            </w:r>
          </w:p>
        </w:tc>
        <w:tc>
          <w:tcPr>
            <w:tcW w:w="100" w:type="dxa"/>
            <w:vAlign w:val="bottom"/>
          </w:tcPr>
          <w:p>
            <w:pPr>
              <w:spacing w:after="0"/>
              <w:rPr>
                <w:sz w:val="18"/>
                <w:szCs w:val="18"/>
                <w:color w:val="auto"/>
              </w:rPr>
            </w:pPr>
          </w:p>
        </w:tc>
        <w:tc>
          <w:tcPr>
            <w:tcW w:w="1020" w:type="dxa"/>
            <w:vAlign w:val="bottom"/>
            <w:gridSpan w:val="2"/>
          </w:tcPr>
          <w:p>
            <w:pPr>
              <w:jc w:val="right"/>
              <w:ind w:right="480"/>
              <w:spacing w:after="0"/>
              <w:rPr>
                <w:sz w:val="20"/>
                <w:szCs w:val="20"/>
                <w:color w:val="auto"/>
              </w:rPr>
            </w:pPr>
            <w:r>
              <w:rPr>
                <w:rFonts w:ascii="Arial" w:cs="Arial" w:eastAsia="Arial" w:hAnsi="Arial"/>
                <w:sz w:val="18"/>
                <w:szCs w:val="18"/>
                <w:color w:val="auto"/>
              </w:rPr>
              <w:t>1,736</w:t>
            </w:r>
          </w:p>
        </w:tc>
        <w:tc>
          <w:tcPr>
            <w:tcW w:w="100" w:type="dxa"/>
            <w:vAlign w:val="bottom"/>
          </w:tcPr>
          <w:p>
            <w:pPr>
              <w:spacing w:after="0"/>
              <w:rPr>
                <w:sz w:val="18"/>
                <w:szCs w:val="18"/>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rPr>
              <w:t>1,644</w:t>
            </w: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8,362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shd w:val="clear" w:color="auto" w:fill="CCEEFF"/>
          </w:tcPr>
          <w:p>
            <w:pPr>
              <w:spacing w:after="0"/>
              <w:rPr>
                <w:sz w:val="20"/>
                <w:szCs w:val="20"/>
                <w:color w:val="auto"/>
              </w:rPr>
            </w:pPr>
            <w:r>
              <w:rPr>
                <w:rFonts w:ascii="Arial" w:cs="Arial" w:eastAsia="Arial" w:hAnsi="Arial"/>
                <w:sz w:val="18"/>
                <w:szCs w:val="18"/>
                <w:color w:val="auto"/>
              </w:rPr>
              <w:t>Proceeds from sale of Weiman</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1,300</w:t>
            </w: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tcPr>
          <w:p>
            <w:pPr>
              <w:spacing w:after="0"/>
              <w:rPr>
                <w:sz w:val="20"/>
                <w:szCs w:val="20"/>
                <w:color w:val="auto"/>
              </w:rPr>
            </w:pPr>
            <w:r>
              <w:rPr>
                <w:rFonts w:ascii="Arial" w:cs="Arial" w:eastAsia="Arial" w:hAnsi="Arial"/>
                <w:sz w:val="18"/>
                <w:szCs w:val="18"/>
                <w:color w:val="auto"/>
              </w:rPr>
              <w:t>Proceeds from sales of investments</w:t>
            </w:r>
          </w:p>
        </w:tc>
        <w:tc>
          <w:tcPr>
            <w:tcW w:w="100" w:type="dxa"/>
            <w:vAlign w:val="bottom"/>
          </w:tcPr>
          <w:p>
            <w:pPr>
              <w:spacing w:after="0"/>
              <w:rPr>
                <w:sz w:val="18"/>
                <w:szCs w:val="18"/>
                <w:color w:val="auto"/>
              </w:rPr>
            </w:pPr>
          </w:p>
        </w:tc>
        <w:tc>
          <w:tcPr>
            <w:tcW w:w="1020" w:type="dxa"/>
            <w:vAlign w:val="bottom"/>
            <w:gridSpan w:val="2"/>
          </w:tcPr>
          <w:p>
            <w:pPr>
              <w:jc w:val="right"/>
              <w:ind w:right="480"/>
              <w:spacing w:after="0"/>
              <w:rPr>
                <w:sz w:val="20"/>
                <w:szCs w:val="20"/>
                <w:color w:val="auto"/>
              </w:rPr>
            </w:pPr>
            <w:r>
              <w:rPr>
                <w:rFonts w:ascii="Arial" w:cs="Arial" w:eastAsia="Arial" w:hAnsi="Arial"/>
                <w:sz w:val="18"/>
                <w:szCs w:val="18"/>
                <w:color w:val="auto"/>
                <w:w w:val="94"/>
              </w:rPr>
              <w:t>20,593</w:t>
            </w:r>
          </w:p>
        </w:tc>
        <w:tc>
          <w:tcPr>
            <w:tcW w:w="100" w:type="dxa"/>
            <w:vAlign w:val="bottom"/>
          </w:tcPr>
          <w:p>
            <w:pPr>
              <w:spacing w:after="0"/>
              <w:rPr>
                <w:sz w:val="18"/>
                <w:szCs w:val="18"/>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w w:val="98"/>
              </w:rPr>
              <w:t>17,454</w:t>
            </w: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98"/>
              </w:rPr>
              <w:t>24,019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shd w:val="clear" w:color="auto" w:fill="CCEEFF"/>
          </w:tcPr>
          <w:p>
            <w:pPr>
              <w:spacing w:after="0"/>
              <w:rPr>
                <w:sz w:val="20"/>
                <w:szCs w:val="20"/>
                <w:color w:val="auto"/>
              </w:rPr>
            </w:pPr>
            <w:r>
              <w:rPr>
                <w:rFonts w:ascii="Arial" w:cs="Arial" w:eastAsia="Arial" w:hAnsi="Arial"/>
                <w:sz w:val="18"/>
                <w:szCs w:val="18"/>
                <w:color w:val="auto"/>
              </w:rPr>
              <w:t>Purchases of investments</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w w:val="86"/>
              </w:rPr>
              <w:t>(14,748)</w:t>
            </w: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w w:val="89"/>
              </w:rPr>
              <w:t>(14,339)</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(24,979)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tcPr>
          <w:p>
            <w:pPr>
              <w:spacing w:after="0"/>
              <w:rPr>
                <w:sz w:val="20"/>
                <w:szCs w:val="20"/>
                <w:color w:val="auto"/>
              </w:rPr>
            </w:pPr>
            <w:r>
              <w:rPr>
                <w:rFonts w:ascii="Arial" w:cs="Arial" w:eastAsia="Arial" w:hAnsi="Arial"/>
                <w:sz w:val="18"/>
                <w:szCs w:val="18"/>
                <w:color w:val="auto"/>
              </w:rPr>
              <w:t>Dividends from an affiliate</w:t>
            </w:r>
          </w:p>
        </w:tc>
        <w:tc>
          <w:tcPr>
            <w:tcW w:w="100" w:type="dxa"/>
            <w:vAlign w:val="bottom"/>
          </w:tcPr>
          <w:p>
            <w:pPr>
              <w:spacing w:after="0"/>
              <w:rPr>
                <w:sz w:val="18"/>
                <w:szCs w:val="18"/>
                <w:color w:val="auto"/>
              </w:rPr>
            </w:pPr>
          </w:p>
        </w:tc>
        <w:tc>
          <w:tcPr>
            <w:tcW w:w="1020" w:type="dxa"/>
            <w:vAlign w:val="bottom"/>
            <w:gridSpan w:val="2"/>
          </w:tcPr>
          <w:p>
            <w:pPr>
              <w:jc w:val="right"/>
              <w:ind w:right="480"/>
              <w:spacing w:after="0"/>
              <w:rPr>
                <w:sz w:val="20"/>
                <w:szCs w:val="20"/>
                <w:color w:val="auto"/>
              </w:rPr>
            </w:pPr>
            <w:r>
              <w:rPr>
                <w:rFonts w:ascii="Arial" w:cs="Arial" w:eastAsia="Arial" w:hAnsi="Arial"/>
                <w:sz w:val="18"/>
                <w:szCs w:val="18"/>
                <w:color w:val="auto"/>
              </w:rPr>
              <w:t>6,559</w:t>
            </w:r>
          </w:p>
        </w:tc>
        <w:tc>
          <w:tcPr>
            <w:tcW w:w="100" w:type="dxa"/>
            <w:vAlign w:val="bottom"/>
          </w:tcPr>
          <w:p>
            <w:pPr>
              <w:spacing w:after="0"/>
              <w:rPr>
                <w:sz w:val="18"/>
                <w:szCs w:val="18"/>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rPr>
              <w:t>5,623</w:t>
            </w: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5,623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shd w:val="clear" w:color="auto" w:fill="CCEEFF"/>
          </w:tcPr>
          <w:p>
            <w:pPr>
              <w:spacing w:after="0"/>
              <w:rPr>
                <w:sz w:val="20"/>
                <w:szCs w:val="20"/>
                <w:color w:val="auto"/>
              </w:rPr>
            </w:pPr>
            <w:r>
              <w:rPr>
                <w:rFonts w:ascii="Arial" w:cs="Arial" w:eastAsia="Arial" w:hAnsi="Arial"/>
                <w:sz w:val="18"/>
                <w:szCs w:val="18"/>
                <w:color w:val="auto"/>
              </w:rPr>
              <w:t>Net cash received on licensee notes</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411</w:t>
            </w: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828</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tcPr>
          <w:p>
            <w:pPr>
              <w:spacing w:after="0"/>
              <w:rPr>
                <w:sz w:val="20"/>
                <w:szCs w:val="20"/>
                <w:color w:val="auto"/>
              </w:rPr>
            </w:pPr>
            <w:r>
              <w:rPr>
                <w:rFonts w:ascii="Arial" w:cs="Arial" w:eastAsia="Arial" w:hAnsi="Arial"/>
                <w:sz w:val="18"/>
                <w:szCs w:val="18"/>
                <w:color w:val="auto"/>
              </w:rPr>
              <w:t>Acquisition of retail licensee stores, net of cash acquired</w:t>
            </w:r>
          </w:p>
        </w:tc>
        <w:tc>
          <w:tcPr>
            <w:tcW w:w="100" w:type="dxa"/>
            <w:vAlign w:val="bottom"/>
          </w:tcPr>
          <w:p>
            <w:pPr>
              <w:spacing w:after="0"/>
              <w:rPr>
                <w:sz w:val="18"/>
                <w:szCs w:val="18"/>
                <w:color w:val="auto"/>
              </w:rPr>
            </w:pPr>
          </w:p>
        </w:tc>
        <w:tc>
          <w:tcPr>
            <w:tcW w:w="1020" w:type="dxa"/>
            <w:vAlign w:val="bottom"/>
            <w:gridSpan w:val="2"/>
          </w:tcPr>
          <w:p>
            <w:pPr>
              <w:jc w:val="right"/>
              <w:ind w:right="420"/>
              <w:spacing w:after="0"/>
              <w:rPr>
                <w:sz w:val="20"/>
                <w:szCs w:val="20"/>
                <w:color w:val="auto"/>
              </w:rPr>
            </w:pPr>
            <w:r>
              <w:rPr>
                <w:rFonts w:ascii="Arial" w:cs="Arial" w:eastAsia="Arial" w:hAnsi="Arial"/>
                <w:sz w:val="18"/>
                <w:szCs w:val="18"/>
                <w:color w:val="auto"/>
              </w:rPr>
              <w:t>(430)</w:t>
            </w:r>
          </w:p>
        </w:tc>
        <w:tc>
          <w:tcPr>
            <w:tcW w:w="100" w:type="dxa"/>
            <w:vAlign w:val="bottom"/>
          </w:tcPr>
          <w:p>
            <w:pPr>
              <w:spacing w:after="0"/>
              <w:rPr>
                <w:sz w:val="18"/>
                <w:szCs w:val="18"/>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rPr>
              <w:t>67</w:t>
            </w:r>
          </w:p>
        </w:tc>
        <w:tc>
          <w:tcPr>
            <w:tcW w:w="100" w:type="dxa"/>
            <w:vAlign w:val="bottom"/>
          </w:tcPr>
          <w:p>
            <w:pPr>
              <w:spacing w:after="0"/>
              <w:rPr>
                <w:sz w:val="18"/>
                <w:szCs w:val="18"/>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shd w:val="clear" w:color="auto" w:fill="CCEEFF"/>
          </w:tcPr>
          <w:p>
            <w:pPr>
              <w:spacing w:after="0"/>
              <w:rPr>
                <w:sz w:val="20"/>
                <w:szCs w:val="20"/>
                <w:color w:val="auto"/>
              </w:rPr>
            </w:pPr>
            <w:r>
              <w:rPr>
                <w:rFonts w:ascii="Arial" w:cs="Arial" w:eastAsia="Arial" w:hAnsi="Arial"/>
                <w:sz w:val="18"/>
                <w:szCs w:val="18"/>
                <w:color w:val="auto"/>
              </w:rPr>
              <w:t>Other, net</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833</w:t>
            </w: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761</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(715)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420" w:type="dxa"/>
            <w:vAlign w:val="bottom"/>
            <w:vMerge w:val="restart"/>
          </w:tcPr>
          <w:p>
            <w:pPr>
              <w:ind w:left="1280"/>
              <w:spacing w:after="0"/>
              <w:rPr>
                <w:sz w:val="20"/>
                <w:szCs w:val="20"/>
                <w:color w:val="auto"/>
              </w:rPr>
            </w:pPr>
            <w:r>
              <w:rPr>
                <w:rFonts w:ascii="Arial" w:cs="Arial" w:eastAsia="Arial" w:hAnsi="Arial"/>
                <w:sz w:val="18"/>
                <w:szCs w:val="18"/>
                <w:b w:val="1"/>
                <w:bCs w:val="1"/>
                <w:color w:val="auto"/>
              </w:rPr>
              <w:t>Net Cash Provided By Investing Activities</w:t>
            </w: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8420" w:type="dxa"/>
            <w:vAlign w:val="bottom"/>
            <w:vMerge w:val="continue"/>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gridSpan w:val="2"/>
          </w:tcPr>
          <w:p>
            <w:pPr>
              <w:jc w:val="right"/>
              <w:ind w:right="480"/>
              <w:spacing w:after="0"/>
              <w:rPr>
                <w:sz w:val="20"/>
                <w:szCs w:val="20"/>
                <w:color w:val="auto"/>
              </w:rPr>
            </w:pPr>
            <w:r>
              <w:rPr>
                <w:rFonts w:ascii="Arial" w:cs="Arial" w:eastAsia="Arial" w:hAnsi="Arial"/>
                <w:sz w:val="18"/>
                <w:szCs w:val="18"/>
                <w:color w:val="auto"/>
              </w:rPr>
              <w:t>9,316</w:t>
            </w:r>
          </w:p>
        </w:tc>
        <w:tc>
          <w:tcPr>
            <w:tcW w:w="100" w:type="dxa"/>
            <w:vAlign w:val="bottom"/>
          </w:tcPr>
          <w:p>
            <w:pPr>
              <w:spacing w:after="0"/>
              <w:rPr>
                <w:sz w:val="20"/>
                <w:szCs w:val="20"/>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rPr>
              <w:t>948</w:t>
            </w:r>
          </w:p>
        </w:tc>
        <w:tc>
          <w:tcPr>
            <w:tcW w:w="100" w:type="dxa"/>
            <w:vAlign w:val="bottom"/>
          </w:tcPr>
          <w:p>
            <w:pPr>
              <w:spacing w:after="0"/>
              <w:rPr>
                <w:sz w:val="20"/>
                <w:szCs w:val="20"/>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1,889</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Financing Activities</w:t>
            </w:r>
          </w:p>
        </w:tc>
        <w:tc>
          <w:tcPr>
            <w:tcW w:w="10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tcPr>
          <w:p>
            <w:pPr>
              <w:spacing w:after="0"/>
              <w:rPr>
                <w:sz w:val="20"/>
                <w:szCs w:val="20"/>
                <w:color w:val="auto"/>
              </w:rPr>
            </w:pPr>
            <w:r>
              <w:rPr>
                <w:rFonts w:ascii="Arial" w:cs="Arial" w:eastAsia="Arial" w:hAnsi="Arial"/>
                <w:sz w:val="18"/>
                <w:szCs w:val="18"/>
                <w:color w:val="auto"/>
              </w:rPr>
              <w:t>Borrowings under revolving credit arrangement</w:t>
            </w:r>
          </w:p>
        </w:tc>
        <w:tc>
          <w:tcPr>
            <w:tcW w:w="100" w:type="dxa"/>
            <w:vAlign w:val="bottom"/>
          </w:tcPr>
          <w:p>
            <w:pPr>
              <w:spacing w:after="0"/>
              <w:rPr>
                <w:sz w:val="18"/>
                <w:szCs w:val="18"/>
                <w:color w:val="auto"/>
              </w:rPr>
            </w:pPr>
          </w:p>
        </w:tc>
        <w:tc>
          <w:tcPr>
            <w:tcW w:w="1020" w:type="dxa"/>
            <w:vAlign w:val="bottom"/>
            <w:gridSpan w:val="2"/>
          </w:tcPr>
          <w:p>
            <w:pPr>
              <w:jc w:val="right"/>
              <w:ind w:right="480"/>
              <w:spacing w:after="0"/>
              <w:rPr>
                <w:sz w:val="20"/>
                <w:szCs w:val="20"/>
                <w:color w:val="auto"/>
              </w:rPr>
            </w:pPr>
            <w:r>
              <w:rPr>
                <w:rFonts w:ascii="Arial" w:cs="Arial" w:eastAsia="Arial" w:hAnsi="Arial"/>
                <w:sz w:val="18"/>
                <w:szCs w:val="18"/>
                <w:color w:val="auto"/>
              </w:rPr>
              <w:t>1,000</w:t>
            </w:r>
          </w:p>
        </w:tc>
        <w:tc>
          <w:tcPr>
            <w:tcW w:w="100" w:type="dxa"/>
            <w:vAlign w:val="bottom"/>
          </w:tcPr>
          <w:p>
            <w:pPr>
              <w:spacing w:after="0"/>
              <w:rPr>
                <w:sz w:val="18"/>
                <w:szCs w:val="18"/>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rPr>
              <w:t>3,000</w:t>
            </w:r>
          </w:p>
        </w:tc>
        <w:tc>
          <w:tcPr>
            <w:tcW w:w="100" w:type="dxa"/>
            <w:vAlign w:val="bottom"/>
          </w:tcPr>
          <w:p>
            <w:pPr>
              <w:spacing w:after="0"/>
              <w:rPr>
                <w:sz w:val="18"/>
                <w:szCs w:val="18"/>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shd w:val="clear" w:color="auto" w:fill="CCEEFF"/>
          </w:tcPr>
          <w:p>
            <w:pPr>
              <w:spacing w:after="0"/>
              <w:rPr>
                <w:sz w:val="20"/>
                <w:szCs w:val="20"/>
                <w:color w:val="auto"/>
              </w:rPr>
            </w:pPr>
            <w:r>
              <w:rPr>
                <w:rFonts w:ascii="Arial" w:cs="Arial" w:eastAsia="Arial" w:hAnsi="Arial"/>
                <w:sz w:val="18"/>
                <w:szCs w:val="18"/>
                <w:color w:val="auto"/>
              </w:rPr>
              <w:t>Repayments of long-term debt</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(910)</w:t>
            </w: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(3,145)</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tcPr>
          <w:p>
            <w:pPr>
              <w:spacing w:after="0"/>
              <w:rPr>
                <w:sz w:val="20"/>
                <w:szCs w:val="20"/>
                <w:color w:val="auto"/>
              </w:rPr>
            </w:pPr>
            <w:r>
              <w:rPr>
                <w:rFonts w:ascii="Arial" w:cs="Arial" w:eastAsia="Arial" w:hAnsi="Arial"/>
                <w:sz w:val="18"/>
                <w:szCs w:val="18"/>
                <w:color w:val="auto"/>
              </w:rPr>
              <w:t>Borrowings (repayments) under real estate notes payable</w:t>
            </w:r>
          </w:p>
        </w:tc>
        <w:tc>
          <w:tcPr>
            <w:tcW w:w="100" w:type="dxa"/>
            <w:vAlign w:val="bottom"/>
          </w:tcPr>
          <w:p>
            <w:pPr>
              <w:spacing w:after="0"/>
              <w:rPr>
                <w:sz w:val="18"/>
                <w:szCs w:val="18"/>
                <w:color w:val="auto"/>
              </w:rPr>
            </w:pPr>
          </w:p>
        </w:tc>
        <w:tc>
          <w:tcPr>
            <w:tcW w:w="1020" w:type="dxa"/>
            <w:vAlign w:val="bottom"/>
            <w:gridSpan w:val="2"/>
          </w:tcPr>
          <w:p>
            <w:pPr>
              <w:jc w:val="right"/>
              <w:ind w:right="480"/>
              <w:spacing w:after="0"/>
              <w:rPr>
                <w:sz w:val="20"/>
                <w:szCs w:val="20"/>
                <w:color w:val="auto"/>
              </w:rPr>
            </w:pPr>
            <w:r>
              <w:rPr>
                <w:rFonts w:ascii="Arial" w:cs="Arial" w:eastAsia="Arial" w:hAnsi="Arial"/>
                <w:sz w:val="18"/>
                <w:szCs w:val="18"/>
                <w:color w:val="auto"/>
              </w:rPr>
              <w:t>4,378</w:t>
            </w:r>
          </w:p>
        </w:tc>
        <w:tc>
          <w:tcPr>
            <w:tcW w:w="100" w:type="dxa"/>
            <w:vAlign w:val="bottom"/>
          </w:tcPr>
          <w:p>
            <w:pPr>
              <w:spacing w:after="0"/>
              <w:rPr>
                <w:sz w:val="18"/>
                <w:szCs w:val="18"/>
                <w:color w:val="auto"/>
              </w:rPr>
            </w:pPr>
          </w:p>
        </w:tc>
        <w:tc>
          <w:tcPr>
            <w:tcW w:w="1040" w:type="dxa"/>
            <w:vAlign w:val="bottom"/>
            <w:gridSpan w:val="2"/>
          </w:tcPr>
          <w:p>
            <w:pPr>
              <w:jc w:val="right"/>
              <w:ind w:right="420"/>
              <w:spacing w:after="0"/>
              <w:rPr>
                <w:sz w:val="20"/>
                <w:szCs w:val="20"/>
                <w:color w:val="auto"/>
              </w:rPr>
            </w:pPr>
            <w:r>
              <w:rPr>
                <w:rFonts w:ascii="Arial" w:cs="Arial" w:eastAsia="Arial" w:hAnsi="Arial"/>
                <w:sz w:val="18"/>
                <w:szCs w:val="18"/>
                <w:color w:val="auto"/>
              </w:rPr>
              <w:t>(460)</w:t>
            </w:r>
          </w:p>
        </w:tc>
        <w:tc>
          <w:tcPr>
            <w:tcW w:w="10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(201)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shd w:val="clear" w:color="auto" w:fill="CCEEFF"/>
          </w:tcPr>
          <w:p>
            <w:pPr>
              <w:spacing w:after="0"/>
              <w:rPr>
                <w:sz w:val="20"/>
                <w:szCs w:val="20"/>
                <w:color w:val="auto"/>
              </w:rPr>
            </w:pPr>
            <w:r>
              <w:rPr>
                <w:rFonts w:ascii="Arial" w:cs="Arial" w:eastAsia="Arial" w:hAnsi="Arial"/>
                <w:sz w:val="18"/>
                <w:szCs w:val="18"/>
                <w:color w:val="auto"/>
              </w:rPr>
              <w:t>Issuance of common stock</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745</w:t>
            </w: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1,065</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2,587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tcPr>
          <w:p>
            <w:pPr>
              <w:spacing w:after="0"/>
              <w:rPr>
                <w:sz w:val="20"/>
                <w:szCs w:val="20"/>
                <w:color w:val="auto"/>
              </w:rPr>
            </w:pPr>
            <w:r>
              <w:rPr>
                <w:rFonts w:ascii="Arial" w:cs="Arial" w:eastAsia="Arial" w:hAnsi="Arial"/>
                <w:sz w:val="18"/>
                <w:szCs w:val="18"/>
                <w:color w:val="auto"/>
              </w:rPr>
              <w:t>Repurchases of common stock</w:t>
            </w:r>
          </w:p>
        </w:tc>
        <w:tc>
          <w:tcPr>
            <w:tcW w:w="100" w:type="dxa"/>
            <w:vAlign w:val="bottom"/>
          </w:tcPr>
          <w:p>
            <w:pPr>
              <w:spacing w:after="0"/>
              <w:rPr>
                <w:sz w:val="18"/>
                <w:szCs w:val="18"/>
                <w:color w:val="auto"/>
              </w:rPr>
            </w:pPr>
          </w:p>
        </w:tc>
        <w:tc>
          <w:tcPr>
            <w:tcW w:w="1020" w:type="dxa"/>
            <w:vAlign w:val="bottom"/>
            <w:gridSpan w:val="2"/>
          </w:tcPr>
          <w:p>
            <w:pPr>
              <w:jc w:val="right"/>
              <w:ind w:right="420"/>
              <w:spacing w:after="0"/>
              <w:rPr>
                <w:sz w:val="20"/>
                <w:szCs w:val="20"/>
                <w:color w:val="auto"/>
              </w:rPr>
            </w:pPr>
            <w:r>
              <w:rPr>
                <w:rFonts w:ascii="Arial" w:cs="Arial" w:eastAsia="Arial" w:hAnsi="Arial"/>
                <w:sz w:val="18"/>
                <w:szCs w:val="18"/>
                <w:color w:val="auto"/>
              </w:rPr>
              <w:t>(1,013)</w:t>
            </w:r>
          </w:p>
        </w:tc>
        <w:tc>
          <w:tcPr>
            <w:tcW w:w="100" w:type="dxa"/>
            <w:vAlign w:val="bottom"/>
          </w:tcPr>
          <w:p>
            <w:pPr>
              <w:spacing w:after="0"/>
              <w:rPr>
                <w:sz w:val="18"/>
                <w:szCs w:val="18"/>
                <w:color w:val="auto"/>
              </w:rPr>
            </w:pPr>
          </w:p>
        </w:tc>
        <w:tc>
          <w:tcPr>
            <w:tcW w:w="1040" w:type="dxa"/>
            <w:vAlign w:val="bottom"/>
            <w:gridSpan w:val="2"/>
          </w:tcPr>
          <w:p>
            <w:pPr>
              <w:jc w:val="right"/>
              <w:ind w:right="420"/>
              <w:spacing w:after="0"/>
              <w:rPr>
                <w:sz w:val="20"/>
                <w:szCs w:val="20"/>
                <w:color w:val="auto"/>
              </w:rPr>
            </w:pPr>
            <w:r>
              <w:rPr>
                <w:rFonts w:ascii="Arial" w:cs="Arial" w:eastAsia="Arial" w:hAnsi="Arial"/>
                <w:sz w:val="18"/>
                <w:szCs w:val="18"/>
                <w:color w:val="auto"/>
              </w:rPr>
              <w:t>(155)</w:t>
            </w:r>
          </w:p>
        </w:tc>
        <w:tc>
          <w:tcPr>
            <w:tcW w:w="10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(772)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shd w:val="clear" w:color="auto" w:fill="CCEEFF"/>
          </w:tcPr>
          <w:p>
            <w:pPr>
              <w:spacing w:after="0"/>
              <w:rPr>
                <w:sz w:val="20"/>
                <w:szCs w:val="20"/>
                <w:color w:val="auto"/>
              </w:rPr>
            </w:pPr>
            <w:r>
              <w:rPr>
                <w:rFonts w:ascii="Arial" w:cs="Arial" w:eastAsia="Arial" w:hAnsi="Arial"/>
                <w:sz w:val="18"/>
                <w:szCs w:val="18"/>
                <w:color w:val="auto"/>
              </w:rPr>
              <w:t>Cash dividends</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(9,449)</w:t>
            </w: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(9,433)</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(9,355)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420" w:type="dxa"/>
            <w:vAlign w:val="bottom"/>
            <w:vMerge w:val="restart"/>
          </w:tcPr>
          <w:p>
            <w:pPr>
              <w:ind w:left="1280"/>
              <w:spacing w:after="0"/>
              <w:rPr>
                <w:sz w:val="20"/>
                <w:szCs w:val="20"/>
                <w:color w:val="auto"/>
              </w:rPr>
            </w:pPr>
            <w:r>
              <w:rPr>
                <w:rFonts w:ascii="Arial" w:cs="Arial" w:eastAsia="Arial" w:hAnsi="Arial"/>
                <w:sz w:val="18"/>
                <w:szCs w:val="18"/>
                <w:b w:val="1"/>
                <w:bCs w:val="1"/>
                <w:color w:val="auto"/>
              </w:rPr>
              <w:t>Net Cash Used In Financing Activities</w:t>
            </w: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842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gridSpan w:val="2"/>
          </w:tcPr>
          <w:p>
            <w:pPr>
              <w:jc w:val="right"/>
              <w:ind w:right="420"/>
              <w:spacing w:after="0"/>
              <w:rPr>
                <w:sz w:val="20"/>
                <w:szCs w:val="20"/>
                <w:color w:val="auto"/>
              </w:rPr>
            </w:pPr>
            <w:r>
              <w:rPr>
                <w:rFonts w:ascii="Arial" w:cs="Arial" w:eastAsia="Arial" w:hAnsi="Arial"/>
                <w:sz w:val="18"/>
                <w:szCs w:val="18"/>
                <w:color w:val="auto"/>
              </w:rPr>
              <w:t>(5,249)</w:t>
            </w:r>
          </w:p>
        </w:tc>
        <w:tc>
          <w:tcPr>
            <w:tcW w:w="100" w:type="dxa"/>
            <w:vAlign w:val="bottom"/>
          </w:tcPr>
          <w:p>
            <w:pPr>
              <w:spacing w:after="0"/>
              <w:rPr>
                <w:sz w:val="19"/>
                <w:szCs w:val="19"/>
                <w:color w:val="auto"/>
              </w:rPr>
            </w:pPr>
          </w:p>
        </w:tc>
        <w:tc>
          <w:tcPr>
            <w:tcW w:w="1040" w:type="dxa"/>
            <w:vAlign w:val="bottom"/>
            <w:gridSpan w:val="2"/>
          </w:tcPr>
          <w:p>
            <w:pPr>
              <w:jc w:val="right"/>
              <w:ind w:right="420"/>
              <w:spacing w:after="0"/>
              <w:rPr>
                <w:sz w:val="20"/>
                <w:szCs w:val="20"/>
                <w:color w:val="auto"/>
              </w:rPr>
            </w:pPr>
            <w:r>
              <w:rPr>
                <w:rFonts w:ascii="Arial" w:cs="Arial" w:eastAsia="Arial" w:hAnsi="Arial"/>
                <w:sz w:val="18"/>
                <w:szCs w:val="18"/>
                <w:color w:val="auto"/>
              </w:rPr>
              <w:t>(9,128)</w:t>
            </w:r>
          </w:p>
        </w:tc>
        <w:tc>
          <w:tcPr>
            <w:tcW w:w="100" w:type="dxa"/>
            <w:vAlign w:val="bottom"/>
          </w:tcPr>
          <w:p>
            <w:pPr>
              <w:spacing w:after="0"/>
              <w:rPr>
                <w:sz w:val="19"/>
                <w:szCs w:val="19"/>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(7,741)</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84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8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Change In Cash And Cash Equivalents</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(1,058)</w:t>
            </w: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3,087</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(11,159)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tcPr>
          <w:p>
            <w:pPr>
              <w:spacing w:after="0"/>
              <w:rPr>
                <w:sz w:val="20"/>
                <w:szCs w:val="20"/>
                <w:color w:val="auto"/>
              </w:rPr>
            </w:pPr>
            <w:r>
              <w:rPr>
                <w:rFonts w:ascii="Arial" w:cs="Arial" w:eastAsia="Arial" w:hAnsi="Arial"/>
                <w:sz w:val="18"/>
                <w:szCs w:val="18"/>
                <w:b w:val="1"/>
                <w:bCs w:val="1"/>
                <w:color w:val="auto"/>
              </w:rPr>
              <w:t>Cash And Cash Equivalents - beginning of year</w:t>
            </w:r>
          </w:p>
        </w:tc>
        <w:tc>
          <w:tcPr>
            <w:tcW w:w="100" w:type="dxa"/>
            <w:vAlign w:val="bottom"/>
          </w:tcPr>
          <w:p>
            <w:pPr>
              <w:spacing w:after="0"/>
              <w:rPr>
                <w:sz w:val="18"/>
                <w:szCs w:val="18"/>
                <w:color w:val="auto"/>
              </w:rPr>
            </w:pPr>
          </w:p>
        </w:tc>
        <w:tc>
          <w:tcPr>
            <w:tcW w:w="1020" w:type="dxa"/>
            <w:vAlign w:val="bottom"/>
            <w:gridSpan w:val="2"/>
          </w:tcPr>
          <w:p>
            <w:pPr>
              <w:jc w:val="right"/>
              <w:ind w:right="480"/>
              <w:spacing w:after="0"/>
              <w:rPr>
                <w:sz w:val="20"/>
                <w:szCs w:val="20"/>
                <w:color w:val="auto"/>
              </w:rPr>
            </w:pPr>
            <w:r>
              <w:rPr>
                <w:rFonts w:ascii="Arial" w:cs="Arial" w:eastAsia="Arial" w:hAnsi="Arial"/>
                <w:sz w:val="18"/>
                <w:szCs w:val="18"/>
                <w:color w:val="auto"/>
              </w:rPr>
              <w:t>7,109</w:t>
            </w:r>
          </w:p>
        </w:tc>
        <w:tc>
          <w:tcPr>
            <w:tcW w:w="100" w:type="dxa"/>
            <w:vAlign w:val="bottom"/>
          </w:tcPr>
          <w:p>
            <w:pPr>
              <w:spacing w:after="0"/>
              <w:rPr>
                <w:sz w:val="18"/>
                <w:szCs w:val="18"/>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rPr>
              <w:t>4,022</w:t>
            </w: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98"/>
              </w:rPr>
              <w:t>15,181</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4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8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 end of year</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6,051</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7,109</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4,022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to consolidated financial statements are an integral part of these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- 19</w:t>
      </w:r>
    </w:p>
    <w:p>
      <w:pPr>
        <w:sectPr>
          <w:pgSz w:w="11900" w:h="16838" w:orient="portrait"/>
          <w:cols w:equalWidth="0" w:num="1">
            <w:col w:w="11420"/>
          </w:cols>
          <w:pgMar w:left="240" w:top="459" w:right="2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Bassett Furniture Industries, Incorporated and Subsidiaries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Description of Business</w:t>
      </w:r>
    </w:p>
    <w:p>
      <w:pPr>
        <w:spacing w:after="0" w:line="96" w:lineRule="exact"/>
        <w:rPr>
          <w:sz w:val="20"/>
          <w:szCs w:val="20"/>
          <w:color w:val="auto"/>
        </w:rPr>
      </w:pPr>
    </w:p>
    <w:p>
      <w:pPr>
        <w:ind w:right="120"/>
        <w:spacing w:after="0" w:line="289" w:lineRule="auto"/>
        <w:rPr>
          <w:sz w:val="20"/>
          <w:szCs w:val="20"/>
          <w:color w:val="auto"/>
        </w:rPr>
      </w:pPr>
      <w:r>
        <w:rPr>
          <w:rFonts w:ascii="Arial" w:cs="Arial" w:eastAsia="Arial" w:hAnsi="Arial"/>
          <w:sz w:val="16"/>
          <w:szCs w:val="16"/>
          <w:color w:val="auto"/>
        </w:rPr>
        <w:t>Bassett Furniture Industries, Incorporated (together with its consolidated subsidiaries, “Bassett”, “we”, “our”, “the Company”) based in Bassett, Va., is a leading manufacturer, marketer and retailer of branded home furnishings. Bassett’s products, designed to provide quality, style and value, are sold through Bassett</w:t>
      </w:r>
    </w:p>
    <w:p>
      <w:pPr>
        <w:spacing w:after="0" w:line="287" w:lineRule="auto"/>
        <w:rPr>
          <w:sz w:val="20"/>
          <w:szCs w:val="20"/>
          <w:color w:val="auto"/>
        </w:rPr>
      </w:pPr>
      <w:r>
        <w:rPr>
          <w:rFonts w:ascii="Arial" w:cs="Arial" w:eastAsia="Arial" w:hAnsi="Arial"/>
          <w:sz w:val="16"/>
          <w:szCs w:val="16"/>
          <w:color w:val="auto"/>
        </w:rPr>
        <w:t>Furniture Direct</w:t>
      </w:r>
      <w:r>
        <w:rPr>
          <w:rFonts w:ascii="Arial" w:cs="Arial" w:eastAsia="Arial" w:hAnsi="Arial"/>
          <w:sz w:val="16"/>
          <w:szCs w:val="16"/>
          <w:color w:val="auto"/>
          <w:vertAlign w:val="superscript"/>
        </w:rPr>
        <w:t>®</w:t>
      </w:r>
      <w:r>
        <w:rPr>
          <w:rFonts w:ascii="Arial" w:cs="Arial" w:eastAsia="Arial" w:hAnsi="Arial"/>
          <w:sz w:val="16"/>
          <w:szCs w:val="16"/>
          <w:color w:val="auto"/>
        </w:rPr>
        <w:t xml:space="preserve"> stores, Bassett Design Centers, and other furniture stores. Bassett’s full range of furniture products and accessories are sold through an exclusive network of 134 retail stores known as Bassett Furniture Direct (“BFD”), of which 100 are independently owned (“licensee operated”), 27 are controlled and consolidated by the Company (“Company-owned retail stores”) and 7 are operated by joint ventures (“partnership licensees”), as well as over 800 furniture and department stores located throughout the United States. The Company has three domestic manufacturing facilities and one fiberboard supply plant.</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Restatements of Previously Reported Results</w:t>
      </w:r>
    </w:p>
    <w:p>
      <w:pPr>
        <w:spacing w:after="0" w:line="96" w:lineRule="exact"/>
        <w:rPr>
          <w:sz w:val="20"/>
          <w:szCs w:val="20"/>
          <w:color w:val="auto"/>
        </w:rPr>
      </w:pPr>
    </w:p>
    <w:p>
      <w:pPr>
        <w:ind w:right="360"/>
        <w:spacing w:after="0" w:line="335" w:lineRule="auto"/>
        <w:rPr>
          <w:sz w:val="20"/>
          <w:szCs w:val="20"/>
          <w:color w:val="auto"/>
        </w:rPr>
      </w:pPr>
      <w:r>
        <w:rPr>
          <w:rFonts w:ascii="Arial" w:cs="Arial" w:eastAsia="Arial" w:hAnsi="Arial"/>
          <w:sz w:val="15"/>
          <w:szCs w:val="15"/>
          <w:color w:val="auto"/>
        </w:rPr>
        <w:t>During 2006, the Staff of the Securities and Exchange Commission commenced a review of our 2005 Annual Report on Form 10-K. The Staff recommended changes to our accounting treatment associated with our acquisitions of three retail licensee operations in fiscal 2005 and our classification of certain notes receivable activity in the statement of cash flows. Upon further review, we concurred with the accounting treatment recommended by the Staff.</w:t>
      </w:r>
    </w:p>
    <w:p>
      <w:pPr>
        <w:spacing w:after="0" w:line="88" w:lineRule="exact"/>
        <w:rPr>
          <w:sz w:val="20"/>
          <w:szCs w:val="20"/>
          <w:color w:val="auto"/>
        </w:rPr>
      </w:pPr>
    </w:p>
    <w:p>
      <w:pPr>
        <w:ind w:right="40"/>
        <w:spacing w:after="0" w:line="287" w:lineRule="auto"/>
        <w:rPr>
          <w:sz w:val="20"/>
          <w:szCs w:val="20"/>
          <w:color w:val="auto"/>
        </w:rPr>
      </w:pPr>
      <w:r>
        <w:rPr>
          <w:rFonts w:ascii="Arial" w:cs="Arial" w:eastAsia="Arial" w:hAnsi="Arial"/>
          <w:sz w:val="16"/>
          <w:szCs w:val="16"/>
          <w:color w:val="auto"/>
        </w:rPr>
        <w:t>In connection with our acquisitions of the three retail licensee operations in 2005, we initially recognized pre-tax charges of $4,204 to (1) eliminate the gross profit on inventories previously sold to the licensees by Bassett and subsequently acquired in the acquisitions and (2) reduce goodwill associated with the acquisitions to a value we believed was appropriate. Upon further review, we have determined that these charges should not have been recognized in 2005. Accordingly, the inventories should have been stated at their estimated selling prices less cost of disposal as provided in the Financial Accounting Standards Board (FASB) Statement of Financial Accounting Standards No. 141, “Business Combinations” and the full amount of the goodwill should have been recorded on the balance sheet and allocated among the Company’s respective reporting units. These changes resulted in increases to pre-tax income in the second and third quarters of 2005 and corresponding increases in previously reported goodwill and inventory amounts. The third quarter of 2005 and all quarters subsequent to the three acquisitions include increases to cost of sales and lower pre-tax income amounts to reflect the additional costs of certain of the acquired inventories that were subsequently sold. These retail inventories consist of a mix of floor samples, store accessories, inventory committed for delivery and other inventories held for resale.</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color w:val="auto"/>
        </w:rPr>
        <w:t>This purchase accounting restatement had the following effects as of the date of the respective acquisitions:</w:t>
      </w:r>
    </w:p>
    <w:p>
      <w:pPr>
        <w:spacing w:after="0" w:line="19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9820" w:type="dxa"/>
            <w:vAlign w:val="bottom"/>
          </w:tcPr>
          <w:p>
            <w:pPr>
              <w:spacing w:after="0"/>
              <w:rPr>
                <w:sz w:val="14"/>
                <w:szCs w:val="14"/>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4"/>
                <w:szCs w:val="14"/>
                <w:b w:val="1"/>
                <w:bCs w:val="1"/>
                <w:color w:val="auto"/>
                <w:w w:val="94"/>
              </w:rPr>
              <w:t>Increase</w:t>
            </w:r>
          </w:p>
        </w:tc>
      </w:tr>
      <w:tr>
        <w:trPr>
          <w:trHeight w:val="175"/>
        </w:trPr>
        <w:tc>
          <w:tcPr>
            <w:tcW w:w="9820" w:type="dxa"/>
            <w:vAlign w:val="bottom"/>
          </w:tcPr>
          <w:p>
            <w:pPr>
              <w:spacing w:after="0"/>
              <w:rPr>
                <w:sz w:val="15"/>
                <w:szCs w:val="15"/>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3"/>
              </w:rPr>
              <w:t>(Decrease)</w:t>
            </w:r>
          </w:p>
        </w:tc>
        <w:tc>
          <w:tcPr>
            <w:tcW w:w="60" w:type="dxa"/>
            <w:vAlign w:val="bottom"/>
          </w:tcPr>
          <w:p>
            <w:pPr>
              <w:spacing w:after="0"/>
              <w:rPr>
                <w:sz w:val="15"/>
                <w:szCs w:val="15"/>
                <w:color w:val="auto"/>
              </w:rPr>
            </w:pPr>
          </w:p>
        </w:tc>
      </w:tr>
      <w:tr>
        <w:trPr>
          <w:trHeight w:val="210"/>
        </w:trPr>
        <w:tc>
          <w:tcPr>
            <w:tcW w:w="9820" w:type="dxa"/>
            <w:vAlign w:val="bottom"/>
            <w:shd w:val="clear" w:color="auto" w:fill="CCEEFF"/>
          </w:tcPr>
          <w:p>
            <w:pPr>
              <w:spacing w:after="0"/>
              <w:rPr>
                <w:sz w:val="20"/>
                <w:szCs w:val="20"/>
                <w:color w:val="auto"/>
              </w:rPr>
            </w:pPr>
            <w:r>
              <w:rPr>
                <w:rFonts w:ascii="Arial" w:cs="Arial" w:eastAsia="Arial" w:hAnsi="Arial"/>
                <w:sz w:val="18"/>
                <w:szCs w:val="18"/>
                <w:color w:val="auto"/>
              </w:rPr>
              <w:t>Asset impairment charges</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1"/>
              </w:rPr>
              <w:t>$ (4,204)</w:t>
            </w:r>
          </w:p>
        </w:tc>
      </w:tr>
      <w:tr>
        <w:trPr>
          <w:trHeight w:val="216"/>
        </w:trPr>
        <w:tc>
          <w:tcPr>
            <w:tcW w:w="9820" w:type="dxa"/>
            <w:vAlign w:val="bottom"/>
          </w:tcPr>
          <w:p>
            <w:pPr>
              <w:spacing w:after="0"/>
              <w:rPr>
                <w:sz w:val="20"/>
                <w:szCs w:val="20"/>
                <w:color w:val="auto"/>
              </w:rPr>
            </w:pPr>
            <w:r>
              <w:rPr>
                <w:rFonts w:ascii="Arial" w:cs="Arial" w:eastAsia="Arial" w:hAnsi="Arial"/>
                <w:sz w:val="18"/>
                <w:szCs w:val="18"/>
                <w:color w:val="auto"/>
              </w:rPr>
              <w:t>Income tax expense</w:t>
            </w:r>
          </w:p>
        </w:tc>
        <w:tc>
          <w:tcPr>
            <w:tcW w:w="620" w:type="dxa"/>
            <w:vAlign w:val="bottom"/>
          </w:tcPr>
          <w:p>
            <w:pPr>
              <w:jc w:val="right"/>
              <w:spacing w:after="0"/>
              <w:rPr>
                <w:sz w:val="20"/>
                <w:szCs w:val="20"/>
                <w:color w:val="auto"/>
              </w:rPr>
            </w:pPr>
            <w:r>
              <w:rPr>
                <w:rFonts w:ascii="Arial" w:cs="Arial" w:eastAsia="Arial" w:hAnsi="Arial"/>
                <w:sz w:val="18"/>
                <w:szCs w:val="18"/>
                <w:color w:val="auto"/>
              </w:rPr>
              <w:t>1,681</w:t>
            </w:r>
          </w:p>
        </w:tc>
        <w:tc>
          <w:tcPr>
            <w:tcW w:w="60" w:type="dxa"/>
            <w:vAlign w:val="bottom"/>
          </w:tcPr>
          <w:p>
            <w:pPr>
              <w:spacing w:after="0"/>
              <w:rPr>
                <w:sz w:val="18"/>
                <w:szCs w:val="18"/>
                <w:color w:val="auto"/>
              </w:rPr>
            </w:pPr>
          </w:p>
        </w:tc>
      </w:tr>
      <w:tr>
        <w:trPr>
          <w:trHeight w:val="216"/>
        </w:trPr>
        <w:tc>
          <w:tcPr>
            <w:tcW w:w="9820" w:type="dxa"/>
            <w:vAlign w:val="bottom"/>
            <w:shd w:val="clear" w:color="auto" w:fill="CCEEFF"/>
          </w:tcPr>
          <w:p>
            <w:pPr>
              <w:spacing w:after="0"/>
              <w:rPr>
                <w:sz w:val="20"/>
                <w:szCs w:val="20"/>
                <w:color w:val="auto"/>
              </w:rPr>
            </w:pPr>
            <w:r>
              <w:rPr>
                <w:rFonts w:ascii="Arial" w:cs="Arial" w:eastAsia="Arial" w:hAnsi="Arial"/>
                <w:sz w:val="18"/>
                <w:szCs w:val="18"/>
                <w:color w:val="auto"/>
              </w:rPr>
              <w:t>Deferred tax assets</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(1,681)</w:t>
            </w:r>
          </w:p>
        </w:tc>
      </w:tr>
      <w:tr>
        <w:trPr>
          <w:trHeight w:val="216"/>
        </w:trPr>
        <w:tc>
          <w:tcPr>
            <w:tcW w:w="9820" w:type="dxa"/>
            <w:vAlign w:val="bottom"/>
          </w:tcPr>
          <w:p>
            <w:pPr>
              <w:spacing w:after="0"/>
              <w:rPr>
                <w:sz w:val="20"/>
                <w:szCs w:val="20"/>
                <w:color w:val="auto"/>
              </w:rPr>
            </w:pPr>
            <w:r>
              <w:rPr>
                <w:rFonts w:ascii="Arial" w:cs="Arial" w:eastAsia="Arial" w:hAnsi="Arial"/>
                <w:sz w:val="18"/>
                <w:szCs w:val="18"/>
                <w:color w:val="auto"/>
              </w:rPr>
              <w:t>Goodwill</w:t>
            </w:r>
          </w:p>
        </w:tc>
        <w:tc>
          <w:tcPr>
            <w:tcW w:w="620" w:type="dxa"/>
            <w:vAlign w:val="bottom"/>
          </w:tcPr>
          <w:p>
            <w:pPr>
              <w:jc w:val="right"/>
              <w:spacing w:after="0"/>
              <w:rPr>
                <w:sz w:val="20"/>
                <w:szCs w:val="20"/>
                <w:color w:val="auto"/>
              </w:rPr>
            </w:pPr>
            <w:r>
              <w:rPr>
                <w:rFonts w:ascii="Arial" w:cs="Arial" w:eastAsia="Arial" w:hAnsi="Arial"/>
                <w:sz w:val="18"/>
                <w:szCs w:val="18"/>
                <w:color w:val="auto"/>
              </w:rPr>
              <w:t>1,837</w:t>
            </w:r>
          </w:p>
        </w:tc>
        <w:tc>
          <w:tcPr>
            <w:tcW w:w="60" w:type="dxa"/>
            <w:vAlign w:val="bottom"/>
          </w:tcPr>
          <w:p>
            <w:pPr>
              <w:spacing w:after="0"/>
              <w:rPr>
                <w:sz w:val="18"/>
                <w:szCs w:val="18"/>
                <w:color w:val="auto"/>
              </w:rPr>
            </w:pPr>
          </w:p>
        </w:tc>
      </w:tr>
      <w:tr>
        <w:trPr>
          <w:trHeight w:val="216"/>
        </w:trPr>
        <w:tc>
          <w:tcPr>
            <w:tcW w:w="9820" w:type="dxa"/>
            <w:vAlign w:val="bottom"/>
            <w:shd w:val="clear" w:color="auto" w:fill="CCEEFF"/>
          </w:tcPr>
          <w:p>
            <w:pPr>
              <w:spacing w:after="0"/>
              <w:rPr>
                <w:sz w:val="20"/>
                <w:szCs w:val="20"/>
                <w:color w:val="auto"/>
              </w:rPr>
            </w:pPr>
            <w:r>
              <w:rPr>
                <w:rFonts w:ascii="Arial" w:cs="Arial" w:eastAsia="Arial" w:hAnsi="Arial"/>
                <w:sz w:val="18"/>
                <w:szCs w:val="18"/>
                <w:color w:val="auto"/>
              </w:rPr>
              <w:t>Inventories (reverse previous write down to Bassett cost)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2,074</w:t>
            </w:r>
          </w:p>
        </w:tc>
        <w:tc>
          <w:tcPr>
            <w:tcW w:w="60" w:type="dxa"/>
            <w:vAlign w:val="bottom"/>
            <w:shd w:val="clear" w:color="auto" w:fill="CCEEFF"/>
          </w:tcPr>
          <w:p>
            <w:pPr>
              <w:spacing w:after="0"/>
              <w:rPr>
                <w:sz w:val="18"/>
                <w:szCs w:val="18"/>
                <w:color w:val="auto"/>
              </w:rPr>
            </w:pPr>
          </w:p>
        </w:tc>
      </w:tr>
      <w:tr>
        <w:trPr>
          <w:trHeight w:val="216"/>
        </w:trPr>
        <w:tc>
          <w:tcPr>
            <w:tcW w:w="9820" w:type="dxa"/>
            <w:vAlign w:val="bottom"/>
          </w:tcPr>
          <w:p>
            <w:pPr>
              <w:spacing w:after="0"/>
              <w:rPr>
                <w:sz w:val="20"/>
                <w:szCs w:val="20"/>
                <w:color w:val="auto"/>
              </w:rPr>
            </w:pPr>
            <w:r>
              <w:rPr>
                <w:rFonts w:ascii="Arial" w:cs="Arial" w:eastAsia="Arial" w:hAnsi="Arial"/>
                <w:sz w:val="18"/>
                <w:szCs w:val="18"/>
                <w:color w:val="auto"/>
              </w:rPr>
              <w:t>Inventories (write-up to fair value)</w:t>
            </w:r>
          </w:p>
        </w:tc>
        <w:tc>
          <w:tcPr>
            <w:tcW w:w="620" w:type="dxa"/>
            <w:vAlign w:val="bottom"/>
          </w:tcPr>
          <w:p>
            <w:pPr>
              <w:jc w:val="right"/>
              <w:spacing w:after="0"/>
              <w:rPr>
                <w:sz w:val="20"/>
                <w:szCs w:val="20"/>
                <w:color w:val="auto"/>
              </w:rPr>
            </w:pPr>
            <w:r>
              <w:rPr>
                <w:rFonts w:ascii="Arial" w:cs="Arial" w:eastAsia="Arial" w:hAnsi="Arial"/>
                <w:sz w:val="18"/>
                <w:szCs w:val="18"/>
                <w:color w:val="auto"/>
              </w:rPr>
              <w:t>487</w:t>
            </w:r>
          </w:p>
        </w:tc>
        <w:tc>
          <w:tcPr>
            <w:tcW w:w="60" w:type="dxa"/>
            <w:vAlign w:val="bottom"/>
          </w:tcPr>
          <w:p>
            <w:pPr>
              <w:spacing w:after="0"/>
              <w:rPr>
                <w:sz w:val="18"/>
                <w:szCs w:val="18"/>
                <w:color w:val="auto"/>
              </w:rPr>
            </w:pPr>
          </w:p>
        </w:tc>
      </w:tr>
      <w:tr>
        <w:trPr>
          <w:trHeight w:val="216"/>
        </w:trPr>
        <w:tc>
          <w:tcPr>
            <w:tcW w:w="9820" w:type="dxa"/>
            <w:vAlign w:val="bottom"/>
            <w:shd w:val="clear" w:color="auto" w:fill="CCEEFF"/>
          </w:tcPr>
          <w:p>
            <w:pPr>
              <w:spacing w:after="0"/>
              <w:rPr>
                <w:sz w:val="20"/>
                <w:szCs w:val="20"/>
                <w:color w:val="auto"/>
              </w:rPr>
            </w:pPr>
            <w:r>
              <w:rPr>
                <w:rFonts w:ascii="Arial" w:cs="Arial" w:eastAsia="Arial" w:hAnsi="Arial"/>
                <w:sz w:val="18"/>
                <w:szCs w:val="18"/>
                <w:color w:val="auto"/>
              </w:rPr>
              <w:t>Deferred tax assets (associated with write-up to inventories)</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(194)</w:t>
            </w:r>
          </w:p>
        </w:tc>
      </w:tr>
    </w:tbl>
    <w:p>
      <w:pPr>
        <w:spacing w:after="0" w:line="154"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color w:val="auto"/>
        </w:rPr>
        <w:t>This purchase accounting restatement resulted in a decrease to net income for fiscal 2006 of $558 and an increase to net income for fiscal 2005 of $2,251. Please refer to Note 20 for the effects on the quarterly periods for 2006 and 2005.</w:t>
      </w:r>
    </w:p>
    <w:p>
      <w:pPr>
        <w:spacing w:after="0" w:line="132" w:lineRule="exact"/>
        <w:rPr>
          <w:sz w:val="20"/>
          <w:szCs w:val="20"/>
          <w:color w:val="auto"/>
        </w:rPr>
      </w:pPr>
    </w:p>
    <w:p>
      <w:pPr>
        <w:ind w:right="80"/>
        <w:spacing w:after="0" w:line="256" w:lineRule="auto"/>
        <w:rPr>
          <w:sz w:val="20"/>
          <w:szCs w:val="20"/>
          <w:color w:val="auto"/>
        </w:rPr>
      </w:pPr>
      <w:r>
        <w:rPr>
          <w:rFonts w:ascii="Arial" w:cs="Arial" w:eastAsia="Arial" w:hAnsi="Arial"/>
          <w:sz w:val="18"/>
          <w:szCs w:val="18"/>
          <w:color w:val="auto"/>
        </w:rPr>
        <w:t>As stated above, we also reduced our cash flows from operations by reclassifying net cash inflows of $828 and $622 from cash flows from operating activities to cash flows from investing activities for fiscal 2005 and 2004, respectively, related to certain notes receivable due from retail licensees. The effect of this restatement has also been reflected in footnote disclosures regarding goodwill (Notes 3 and 8), earnings per share (Notes 3 and 18), inventories (Note 4), income taxes (Note 10), segment information (Note 19) and quarterly information (Note 20).</w:t>
      </w:r>
    </w:p>
    <w:p>
      <w:pPr>
        <w:spacing w:after="0" w:line="143" w:lineRule="exact"/>
        <w:rPr>
          <w:sz w:val="20"/>
          <w:szCs w:val="20"/>
          <w:color w:val="auto"/>
        </w:rPr>
      </w:pPr>
    </w:p>
    <w:p>
      <w:pPr>
        <w:ind w:right="240"/>
        <w:spacing w:after="0" w:line="256" w:lineRule="auto"/>
        <w:rPr>
          <w:sz w:val="20"/>
          <w:szCs w:val="20"/>
          <w:color w:val="auto"/>
        </w:rPr>
      </w:pPr>
      <w:r>
        <w:rPr>
          <w:rFonts w:ascii="Arial" w:cs="Arial" w:eastAsia="Arial" w:hAnsi="Arial"/>
          <w:sz w:val="18"/>
          <w:szCs w:val="18"/>
          <w:color w:val="auto"/>
        </w:rPr>
        <w:t>During our 2006 year end closing process, we also determined that previous actuarial assumptions and calculations associated with the death benefit, mortality and discount rates used in our actuarial valuation for our unfunded Supplemental Retirement Income Plan (“the Supplemental Plan”) were not correct. As specified by Statement of Financial Accounting Standards No. 154, “Accounting Changes and Error Corrections, a replacement of APB Opinion No. 20 and FASB Statement No. 3,” we have treated the</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- 20</w:t>
      </w:r>
    </w:p>
    <w:p>
      <w:pPr>
        <w:sectPr>
          <w:pgSz w:w="11900" w:h="16838" w:orient="portrait"/>
          <w:cols w:equalWidth="0" w:num="1">
            <w:col w:w="11400"/>
          </w:cols>
          <w:pgMar w:left="240" w:top="459" w:right="25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65"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effects of correcting the errors as a prior period adjustment as of November 30, 2003, the first day of the fiscal year ended November 27, 2004, and accordingly have restated our consolidated balance sheet. The cumulative effect of the restatement adjustments increased post employment benefit obligations by $5,278, increased deferred tax assets by $2,111 and decreased retained earnings by $3,167 as of the end of fiscal 2003 and 2004. The cumulative effect of the restatement adjustments as of November 26, 2005, were as follows:</w:t>
      </w:r>
    </w:p>
    <w:p>
      <w:pPr>
        <w:spacing w:after="0" w:line="167"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6160" w:type="dxa"/>
            <w:vAlign w:val="bottom"/>
          </w:tcPr>
          <w:p>
            <w:pPr>
              <w:spacing w:after="0"/>
              <w:rPr>
                <w:sz w:val="14"/>
                <w:szCs w:val="14"/>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w w:val="91"/>
              </w:rPr>
              <w:t>Increase</w:t>
            </w:r>
          </w:p>
        </w:tc>
      </w:tr>
      <w:tr>
        <w:trPr>
          <w:trHeight w:val="161"/>
        </w:trPr>
        <w:tc>
          <w:tcPr>
            <w:tcW w:w="6160" w:type="dxa"/>
            <w:vAlign w:val="bottom"/>
          </w:tcPr>
          <w:p>
            <w:pPr>
              <w:spacing w:after="0"/>
              <w:rPr>
                <w:sz w:val="14"/>
                <w:szCs w:val="14"/>
                <w:color w:val="auto"/>
              </w:rPr>
            </w:pPr>
          </w:p>
        </w:tc>
        <w:tc>
          <w:tcPr>
            <w:tcW w:w="680" w:type="dxa"/>
            <w:vAlign w:val="bottom"/>
            <w:gridSpan w:val="2"/>
          </w:tcPr>
          <w:p>
            <w:pPr>
              <w:jc w:val="right"/>
              <w:ind w:right="80"/>
              <w:spacing w:after="0"/>
              <w:rPr>
                <w:sz w:val="20"/>
                <w:szCs w:val="20"/>
                <w:color w:val="auto"/>
              </w:rPr>
            </w:pPr>
            <w:r>
              <w:rPr>
                <w:rFonts w:ascii="Arial" w:cs="Arial" w:eastAsia="Arial" w:hAnsi="Arial"/>
                <w:sz w:val="14"/>
                <w:szCs w:val="14"/>
                <w:b w:val="1"/>
                <w:bCs w:val="1"/>
                <w:color w:val="auto"/>
                <w:w w:val="80"/>
              </w:rPr>
              <w:t>(Decrease)</w:t>
            </w:r>
          </w:p>
        </w:tc>
      </w:tr>
      <w:tr>
        <w:trPr>
          <w:trHeight w:val="210"/>
        </w:trPr>
        <w:tc>
          <w:tcPr>
            <w:tcW w:w="6160" w:type="dxa"/>
            <w:vAlign w:val="bottom"/>
            <w:shd w:val="clear" w:color="auto" w:fill="CCEEFF"/>
          </w:tcPr>
          <w:p>
            <w:pPr>
              <w:spacing w:after="0"/>
              <w:rPr>
                <w:sz w:val="20"/>
                <w:szCs w:val="20"/>
                <w:color w:val="auto"/>
              </w:rPr>
            </w:pPr>
            <w:r>
              <w:rPr>
                <w:rFonts w:ascii="Arial" w:cs="Arial" w:eastAsia="Arial" w:hAnsi="Arial"/>
                <w:sz w:val="18"/>
                <w:szCs w:val="18"/>
                <w:color w:val="auto"/>
              </w:rPr>
              <w:t>Post employment benefit obligations</w:t>
            </w: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  5,649</w:t>
            </w:r>
          </w:p>
        </w:tc>
        <w:tc>
          <w:tcPr>
            <w:tcW w:w="60" w:type="dxa"/>
            <w:vAlign w:val="bottom"/>
            <w:shd w:val="clear" w:color="auto" w:fill="CCEEFF"/>
          </w:tcPr>
          <w:p>
            <w:pPr>
              <w:spacing w:after="0"/>
              <w:rPr>
                <w:sz w:val="18"/>
                <w:szCs w:val="18"/>
                <w:color w:val="auto"/>
              </w:rPr>
            </w:pPr>
          </w:p>
        </w:tc>
      </w:tr>
      <w:tr>
        <w:trPr>
          <w:trHeight w:val="216"/>
        </w:trPr>
        <w:tc>
          <w:tcPr>
            <w:tcW w:w="6160" w:type="dxa"/>
            <w:vAlign w:val="bottom"/>
          </w:tcPr>
          <w:p>
            <w:pPr>
              <w:spacing w:after="0"/>
              <w:rPr>
                <w:sz w:val="20"/>
                <w:szCs w:val="20"/>
                <w:color w:val="auto"/>
              </w:rPr>
            </w:pPr>
            <w:r>
              <w:rPr>
                <w:rFonts w:ascii="Arial" w:cs="Arial" w:eastAsia="Arial" w:hAnsi="Arial"/>
                <w:sz w:val="18"/>
                <w:szCs w:val="18"/>
                <w:color w:val="auto"/>
              </w:rPr>
              <w:t>Other accrued liabilities</w:t>
            </w: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(231)</w:t>
            </w:r>
          </w:p>
        </w:tc>
      </w:tr>
      <w:tr>
        <w:trPr>
          <w:trHeight w:val="216"/>
        </w:trPr>
        <w:tc>
          <w:tcPr>
            <w:tcW w:w="6160" w:type="dxa"/>
            <w:vAlign w:val="bottom"/>
            <w:shd w:val="clear" w:color="auto" w:fill="CCEEFF"/>
          </w:tcPr>
          <w:p>
            <w:pPr>
              <w:spacing w:after="0"/>
              <w:rPr>
                <w:sz w:val="20"/>
                <w:szCs w:val="20"/>
                <w:color w:val="auto"/>
              </w:rPr>
            </w:pPr>
            <w:r>
              <w:rPr>
                <w:rFonts w:ascii="Arial" w:cs="Arial" w:eastAsia="Arial" w:hAnsi="Arial"/>
                <w:sz w:val="18"/>
                <w:szCs w:val="18"/>
                <w:color w:val="auto"/>
              </w:rPr>
              <w:t>Deferred tax assets</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2,111</w:t>
            </w:r>
          </w:p>
        </w:tc>
      </w:tr>
      <w:tr>
        <w:trPr>
          <w:trHeight w:val="216"/>
        </w:trPr>
        <w:tc>
          <w:tcPr>
            <w:tcW w:w="6160" w:type="dxa"/>
            <w:vAlign w:val="bottom"/>
          </w:tcPr>
          <w:p>
            <w:pPr>
              <w:spacing w:after="0"/>
              <w:rPr>
                <w:sz w:val="20"/>
                <w:szCs w:val="20"/>
                <w:color w:val="auto"/>
              </w:rPr>
            </w:pPr>
            <w:r>
              <w:rPr>
                <w:rFonts w:ascii="Arial" w:cs="Arial" w:eastAsia="Arial" w:hAnsi="Arial"/>
                <w:sz w:val="18"/>
                <w:szCs w:val="18"/>
                <w:color w:val="auto"/>
              </w:rPr>
              <w:t>Retained earnings</w:t>
            </w: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(3,167)</w:t>
            </w:r>
          </w:p>
        </w:tc>
      </w:tr>
      <w:tr>
        <w:trPr>
          <w:trHeight w:val="216"/>
        </w:trPr>
        <w:tc>
          <w:tcPr>
            <w:tcW w:w="6160" w:type="dxa"/>
            <w:vAlign w:val="bottom"/>
            <w:shd w:val="clear" w:color="auto" w:fill="CCEEFF"/>
          </w:tcPr>
          <w:p>
            <w:pPr>
              <w:spacing w:after="0"/>
              <w:rPr>
                <w:sz w:val="20"/>
                <w:szCs w:val="20"/>
                <w:color w:val="auto"/>
              </w:rPr>
            </w:pPr>
            <w:r>
              <w:rPr>
                <w:rFonts w:ascii="Arial" w:cs="Arial" w:eastAsia="Arial" w:hAnsi="Arial"/>
                <w:sz w:val="18"/>
                <w:szCs w:val="18"/>
                <w:color w:val="auto"/>
              </w:rPr>
              <w:t>Other long-term assets</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w:t>
            </w:r>
          </w:p>
        </w:tc>
        <w:tc>
          <w:tcPr>
            <w:tcW w:w="60" w:type="dxa"/>
            <w:vAlign w:val="bottom"/>
            <w:shd w:val="clear" w:color="auto" w:fill="CCEEFF"/>
          </w:tcPr>
          <w:p>
            <w:pPr>
              <w:spacing w:after="0"/>
              <w:rPr>
                <w:sz w:val="18"/>
                <w:szCs w:val="18"/>
                <w:color w:val="auto"/>
              </w:rPr>
            </w:pPr>
          </w:p>
        </w:tc>
      </w:tr>
    </w:tbl>
    <w:p>
      <w:pPr>
        <w:spacing w:after="0" w:line="154" w:lineRule="exact"/>
        <w:rPr>
          <w:sz w:val="20"/>
          <w:szCs w:val="20"/>
          <w:color w:val="auto"/>
        </w:rPr>
      </w:pPr>
    </w:p>
    <w:p>
      <w:pPr>
        <w:jc w:val="both"/>
        <w:ind w:right="100"/>
        <w:spacing w:after="0" w:line="259" w:lineRule="auto"/>
        <w:rPr>
          <w:sz w:val="20"/>
          <w:szCs w:val="20"/>
          <w:color w:val="auto"/>
        </w:rPr>
      </w:pPr>
      <w:r>
        <w:rPr>
          <w:rFonts w:ascii="Arial" w:cs="Arial" w:eastAsia="Arial" w:hAnsi="Arial"/>
          <w:sz w:val="18"/>
          <w:szCs w:val="18"/>
          <w:color w:val="auto"/>
        </w:rPr>
        <w:t>As the effects of this adjustment on the net plan expense were not material for the years presented, we have not restated the consolidated statements of income. The effects of these restatements have also been reflected in the income tax note (Note 10). Please refer to Note 12 to the Consolidated Financial Statements for more information on the Supplemental Plan.</w:t>
      </w:r>
    </w:p>
    <w:p>
      <w:pPr>
        <w:spacing w:after="0" w:line="140" w:lineRule="exact"/>
        <w:rPr>
          <w:sz w:val="20"/>
          <w:szCs w:val="20"/>
          <w:color w:val="auto"/>
        </w:rPr>
      </w:pPr>
    </w:p>
    <w:p>
      <w:pPr>
        <w:ind w:right="60"/>
        <w:spacing w:after="0" w:line="268" w:lineRule="auto"/>
        <w:rPr>
          <w:sz w:val="20"/>
          <w:szCs w:val="20"/>
          <w:color w:val="auto"/>
        </w:rPr>
      </w:pPr>
      <w:r>
        <w:rPr>
          <w:rFonts w:ascii="Arial" w:cs="Arial" w:eastAsia="Arial" w:hAnsi="Arial"/>
          <w:sz w:val="18"/>
          <w:szCs w:val="18"/>
          <w:color w:val="auto"/>
        </w:rPr>
        <w:t>The following consolidated balance sheet, statement of income, statement of stockholders’ equity and statements of cash flows reconcile the previously reported and restated financial information.</w:t>
      </w:r>
    </w:p>
    <w:p>
      <w:pPr>
        <w:spacing w:after="0" w:line="11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F - 21</w:t>
      </w:r>
    </w:p>
    <w:p>
      <w:pPr>
        <w:sectPr>
          <w:pgSz w:w="11900" w:h="16838" w:orient="portrait"/>
          <w:cols w:equalWidth="0" w:num="1">
            <w:col w:w="11340"/>
          </w:cols>
          <w:pgMar w:left="240" w:top="459" w:right="31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2005 Consolidated Balance Sheet (Restated)</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1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gridSpan w:val="4"/>
          </w:tcPr>
          <w:p>
            <w:pPr>
              <w:jc w:val="right"/>
              <w:ind w:right="120"/>
              <w:spacing w:after="0"/>
              <w:rPr>
                <w:sz w:val="20"/>
                <w:szCs w:val="20"/>
                <w:color w:val="auto"/>
              </w:rPr>
            </w:pPr>
            <w:r>
              <w:rPr>
                <w:rFonts w:ascii="Arial" w:cs="Arial" w:eastAsia="Arial" w:hAnsi="Arial"/>
                <w:sz w:val="14"/>
                <w:szCs w:val="14"/>
                <w:b w:val="1"/>
                <w:bCs w:val="1"/>
                <w:color w:val="auto"/>
                <w:w w:val="89"/>
              </w:rPr>
              <w:t>As of November 26, 2005</w:t>
            </w: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180" w:type="dxa"/>
            <w:vAlign w:val="bottom"/>
          </w:tcPr>
          <w:p>
            <w:pPr>
              <w:spacing w:after="0"/>
              <w:rPr>
                <w:sz w:val="11"/>
                <w:szCs w:val="11"/>
                <w:color w:val="auto"/>
              </w:rPr>
            </w:pPr>
          </w:p>
        </w:tc>
        <w:tc>
          <w:tcPr>
            <w:tcW w:w="860" w:type="dxa"/>
            <w:vAlign w:val="bottom"/>
            <w:gridSpan w:val="3"/>
          </w:tcPr>
          <w:p>
            <w:pPr>
              <w:spacing w:after="0" w:line="129" w:lineRule="exact"/>
              <w:rPr>
                <w:sz w:val="20"/>
                <w:szCs w:val="20"/>
                <w:color w:val="auto"/>
              </w:rPr>
            </w:pPr>
            <w:r>
              <w:rPr>
                <w:rFonts w:ascii="Arial" w:cs="Arial" w:eastAsia="Arial" w:hAnsi="Arial"/>
                <w:sz w:val="14"/>
                <w:szCs w:val="14"/>
                <w:b w:val="1"/>
                <w:bCs w:val="1"/>
                <w:color w:val="auto"/>
                <w:w w:val="91"/>
              </w:rPr>
              <w:t>As previously</w:t>
            </w:r>
          </w:p>
        </w:tc>
        <w:tc>
          <w:tcPr>
            <w:tcW w:w="340" w:type="dxa"/>
            <w:vAlign w:val="bottom"/>
          </w:tcPr>
          <w:p>
            <w:pPr>
              <w:spacing w:after="0"/>
              <w:rPr>
                <w:sz w:val="11"/>
                <w:szCs w:val="11"/>
                <w:color w:val="auto"/>
              </w:rPr>
            </w:pPr>
          </w:p>
        </w:tc>
        <w:tc>
          <w:tcPr>
            <w:tcW w:w="1280" w:type="dxa"/>
            <w:vAlign w:val="bottom"/>
            <w:gridSpan w:val="3"/>
          </w:tcPr>
          <w:p>
            <w:pPr>
              <w:ind w:left="20"/>
              <w:spacing w:after="0" w:line="129" w:lineRule="exact"/>
              <w:rPr>
                <w:sz w:val="20"/>
                <w:szCs w:val="20"/>
                <w:color w:val="auto"/>
              </w:rPr>
            </w:pPr>
            <w:r>
              <w:rPr>
                <w:rFonts w:ascii="Arial" w:cs="Arial" w:eastAsia="Arial" w:hAnsi="Arial"/>
                <w:sz w:val="14"/>
                <w:szCs w:val="14"/>
                <w:b w:val="1"/>
                <w:bCs w:val="1"/>
                <w:color w:val="auto"/>
              </w:rPr>
              <w:t>Restatement</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87"/>
              </w:rPr>
              <w:t>reported</w:t>
            </w:r>
          </w:p>
        </w:tc>
        <w:tc>
          <w:tcPr>
            <w:tcW w:w="340" w:type="dxa"/>
            <w:vAlign w:val="bottom"/>
          </w:tcPr>
          <w:p>
            <w:pPr>
              <w:spacing w:after="0"/>
              <w:rPr>
                <w:sz w:val="15"/>
                <w:szCs w:val="15"/>
                <w:color w:val="auto"/>
              </w:rPr>
            </w:pPr>
          </w:p>
        </w:tc>
        <w:tc>
          <w:tcPr>
            <w:tcW w:w="1280" w:type="dxa"/>
            <w:vAlign w:val="bottom"/>
            <w:gridSpan w:val="3"/>
          </w:tcPr>
          <w:p>
            <w:pPr>
              <w:spacing w:after="0"/>
              <w:rPr>
                <w:sz w:val="20"/>
                <w:szCs w:val="20"/>
                <w:color w:val="auto"/>
              </w:rPr>
            </w:pPr>
            <w:r>
              <w:rPr>
                <w:rFonts w:ascii="Arial" w:cs="Arial" w:eastAsia="Arial" w:hAnsi="Arial"/>
                <w:sz w:val="14"/>
                <w:szCs w:val="14"/>
                <w:b w:val="1"/>
                <w:bCs w:val="1"/>
                <w:color w:val="auto"/>
              </w:rPr>
              <w:t>Adjustments</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w w:val="81"/>
              </w:rPr>
              <w:t>Restated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2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2"/>
        </w:trPr>
        <w:tc>
          <w:tcPr>
            <w:tcW w:w="8140" w:type="dxa"/>
            <w:vAlign w:val="bottom"/>
            <w:gridSpan w:val="3"/>
          </w:tcPr>
          <w:p>
            <w:pPr>
              <w:spacing w:after="0"/>
              <w:rPr>
                <w:sz w:val="20"/>
                <w:szCs w:val="20"/>
                <w:color w:val="auto"/>
              </w:rPr>
            </w:pPr>
            <w:r>
              <w:rPr>
                <w:rFonts w:ascii="Arial" w:cs="Arial" w:eastAsia="Arial" w:hAnsi="Arial"/>
                <w:sz w:val="18"/>
                <w:szCs w:val="18"/>
                <w:b w:val="1"/>
                <w:bCs w:val="1"/>
                <w:color w:val="auto"/>
              </w:rPr>
              <w:t>Current assets</w:t>
            </w:r>
          </w:p>
        </w:tc>
        <w:tc>
          <w:tcPr>
            <w:tcW w:w="1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1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Cash and cash equivalents</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7,109</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7,109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tcPr>
          <w:p>
            <w:pPr>
              <w:ind w:left="420"/>
              <w:spacing w:after="0"/>
              <w:rPr>
                <w:sz w:val="20"/>
                <w:szCs w:val="20"/>
                <w:color w:val="auto"/>
              </w:rPr>
            </w:pPr>
            <w:r>
              <w:rPr>
                <w:rFonts w:ascii="Arial" w:cs="Arial" w:eastAsia="Arial" w:hAnsi="Arial"/>
                <w:sz w:val="18"/>
                <w:szCs w:val="18"/>
                <w:color w:val="auto"/>
              </w:rPr>
              <w:t>Accounts receivable</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37,069</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37,069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Inventories</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48,887</w:t>
            </w:r>
          </w:p>
        </w:tc>
        <w:tc>
          <w:tcPr>
            <w:tcW w:w="80" w:type="dxa"/>
            <w:vAlign w:val="bottom"/>
            <w:shd w:val="clear" w:color="auto" w:fill="CCEEFF"/>
          </w:tcPr>
          <w:p>
            <w:pPr>
              <w:spacing w:after="0"/>
              <w:rPr>
                <w:sz w:val="18"/>
                <w:szCs w:val="18"/>
                <w:color w:val="auto"/>
              </w:rPr>
            </w:pPr>
          </w:p>
        </w:tc>
        <w:tc>
          <w:tcPr>
            <w:tcW w:w="5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99"/>
              </w:rPr>
              <w:t>2,108 (a)</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50,995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tcPr>
          <w:p>
            <w:pPr>
              <w:ind w:left="420"/>
              <w:spacing w:after="0"/>
              <w:rPr>
                <w:sz w:val="20"/>
                <w:szCs w:val="20"/>
                <w:color w:val="auto"/>
              </w:rPr>
            </w:pPr>
            <w:r>
              <w:rPr>
                <w:rFonts w:ascii="Arial" w:cs="Arial" w:eastAsia="Arial" w:hAnsi="Arial"/>
                <w:sz w:val="18"/>
                <w:szCs w:val="18"/>
                <w:color w:val="auto"/>
              </w:rPr>
              <w:t>Deferred income taxes</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5,188</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5,188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Assets held for sale</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1,185</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120" w:type="dxa"/>
            <w:vAlign w:val="bottom"/>
            <w:gridSpan w:val="2"/>
          </w:tcPr>
          <w:p>
            <w:pPr>
              <w:ind w:left="420"/>
              <w:spacing w:after="0"/>
              <w:rPr>
                <w:sz w:val="20"/>
                <w:szCs w:val="20"/>
                <w:color w:val="auto"/>
              </w:rPr>
            </w:pPr>
            <w:r>
              <w:rPr>
                <w:rFonts w:ascii="Arial" w:cs="Arial" w:eastAsia="Arial" w:hAnsi="Arial"/>
                <w:sz w:val="18"/>
                <w:szCs w:val="18"/>
                <w:color w:val="auto"/>
              </w:rPr>
              <w:t>Other current assets</w:t>
            </w:r>
          </w:p>
        </w:tc>
        <w:tc>
          <w:tcPr>
            <w:tcW w:w="12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3,626</w:t>
            </w: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3,626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current assets</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103,064</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2,108</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105,172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0"/>
        </w:trPr>
        <w:tc>
          <w:tcPr>
            <w:tcW w:w="8140" w:type="dxa"/>
            <w:vAlign w:val="bottom"/>
            <w:gridSpan w:val="3"/>
          </w:tcPr>
          <w:p>
            <w:pPr>
              <w:spacing w:after="0"/>
              <w:rPr>
                <w:sz w:val="20"/>
                <w:szCs w:val="20"/>
                <w:color w:val="auto"/>
              </w:rPr>
            </w:pPr>
            <w:r>
              <w:rPr>
                <w:rFonts w:ascii="Arial" w:cs="Arial" w:eastAsia="Arial" w:hAnsi="Arial"/>
                <w:sz w:val="18"/>
                <w:szCs w:val="18"/>
                <w:b w:val="1"/>
                <w:bCs w:val="1"/>
                <w:color w:val="auto"/>
              </w:rPr>
              <w:t>Property and equipment, net</w:t>
            </w:r>
          </w:p>
        </w:tc>
        <w:tc>
          <w:tcPr>
            <w:tcW w:w="120" w:type="dxa"/>
            <w:vAlign w:val="bottom"/>
            <w:tcBorders>
              <w:top w:val="single" w:sz="8" w:color="auto"/>
              <w:bottom w:val="single" w:sz="8" w:color="auto"/>
            </w:tcBorders>
          </w:tcPr>
          <w:p>
            <w:pPr>
              <w:spacing w:after="0"/>
              <w:rPr>
                <w:sz w:val="24"/>
                <w:szCs w:val="24"/>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64,644</w:t>
            </w: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Borders>
              <w:top w:val="single" w:sz="8" w:color="auto"/>
              <w:bottom w:val="single" w:sz="8" w:color="auto"/>
            </w:tcBorders>
          </w:tcPr>
          <w:p>
            <w:pPr>
              <w:spacing w:after="0"/>
              <w:rPr>
                <w:sz w:val="24"/>
                <w:szCs w:val="24"/>
                <w:color w:val="auto"/>
              </w:rPr>
            </w:pPr>
          </w:p>
        </w:tc>
        <w:tc>
          <w:tcPr>
            <w:tcW w:w="540" w:type="dxa"/>
            <w:vAlign w:val="bottom"/>
            <w:tcBorders>
              <w:top w:val="single" w:sz="8" w:color="auto"/>
              <w:bottom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Borders>
              <w:top w:val="single" w:sz="8" w:color="auto"/>
              <w:bottom w:val="single" w:sz="8" w:color="auto"/>
            </w:tcBorders>
          </w:tcPr>
          <w:p>
            <w:pPr>
              <w:spacing w:after="0"/>
              <w:rPr>
                <w:sz w:val="24"/>
                <w:szCs w:val="24"/>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64,644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6"/>
        </w:trPr>
        <w:tc>
          <w:tcPr>
            <w:tcW w:w="20" w:type="dxa"/>
            <w:vAlign w:val="bottom"/>
            <w:vMerge w:val="restart"/>
          </w:tcPr>
          <w:p>
            <w:pPr>
              <w:spacing w:after="0"/>
              <w:rPr>
                <w:sz w:val="10"/>
                <w:szCs w:val="10"/>
                <w:color w:val="auto"/>
              </w:rPr>
            </w:pPr>
          </w:p>
        </w:tc>
        <w:tc>
          <w:tcPr>
            <w:tcW w:w="940" w:type="dxa"/>
            <w:vAlign w:val="bottom"/>
          </w:tcPr>
          <w:p>
            <w:pPr>
              <w:spacing w:after="0"/>
              <w:rPr>
                <w:sz w:val="10"/>
                <w:szCs w:val="10"/>
                <w:color w:val="auto"/>
              </w:rPr>
            </w:pPr>
          </w:p>
        </w:tc>
        <w:tc>
          <w:tcPr>
            <w:tcW w:w="71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20" w:type="dxa"/>
            <w:vAlign w:val="bottom"/>
            <w:vMerge w:val="restart"/>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Investments</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76,890</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76,890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tcPr>
          <w:p>
            <w:pPr>
              <w:spacing w:after="0"/>
              <w:rPr>
                <w:sz w:val="20"/>
                <w:szCs w:val="20"/>
                <w:color w:val="auto"/>
              </w:rPr>
            </w:pPr>
            <w:r>
              <w:rPr>
                <w:rFonts w:ascii="Arial" w:cs="Arial" w:eastAsia="Arial" w:hAnsi="Arial"/>
                <w:sz w:val="18"/>
                <w:szCs w:val="18"/>
                <w:color w:val="auto"/>
              </w:rPr>
              <w:t>Retail real estate</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31,640</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31,640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Notes receivable</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15,768</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15,768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tcPr>
          <w:p>
            <w:pPr>
              <w:spacing w:after="0"/>
              <w:rPr>
                <w:sz w:val="20"/>
                <w:szCs w:val="20"/>
                <w:color w:val="auto"/>
              </w:rPr>
            </w:pPr>
            <w:r>
              <w:rPr>
                <w:rFonts w:ascii="Arial" w:cs="Arial" w:eastAsia="Arial" w:hAnsi="Arial"/>
                <w:sz w:val="18"/>
                <w:szCs w:val="18"/>
                <w:color w:val="auto"/>
              </w:rPr>
              <w:t>Other, net</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16,650</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80" w:type="dxa"/>
            <w:vAlign w:val="bottom"/>
            <w:gridSpan w:val="2"/>
          </w:tcPr>
          <w:p>
            <w:pPr>
              <w:jc w:val="right"/>
              <w:ind w:right="340"/>
              <w:spacing w:after="0"/>
              <w:rPr>
                <w:sz w:val="20"/>
                <w:szCs w:val="20"/>
                <w:color w:val="auto"/>
              </w:rPr>
            </w:pPr>
            <w:r>
              <w:rPr>
                <w:rFonts w:ascii="Arial" w:cs="Arial" w:eastAsia="Arial" w:hAnsi="Arial"/>
                <w:sz w:val="18"/>
                <w:szCs w:val="18"/>
                <w:color w:val="auto"/>
              </w:rPr>
              <w:t>2,394(b)</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19,044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940" w:type="dxa"/>
            <w:vAlign w:val="bottom"/>
          </w:tcPr>
          <w:p>
            <w:pPr>
              <w:spacing w:after="0"/>
              <w:rPr>
                <w:sz w:val="2"/>
                <w:szCs w:val="2"/>
                <w:color w:val="auto"/>
              </w:rPr>
            </w:pPr>
          </w:p>
        </w:tc>
        <w:tc>
          <w:tcPr>
            <w:tcW w:w="71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7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140,948</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2,394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143,342</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14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Total assets</w:t>
            </w:r>
          </w:p>
        </w:tc>
        <w:tc>
          <w:tcPr>
            <w:tcW w:w="1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8140" w:type="dxa"/>
            <w:vAlign w:val="bottom"/>
            <w:gridSpan w:val="3"/>
            <w:vMerge w:val="continue"/>
          </w:tcPr>
          <w:p>
            <w:pPr>
              <w:spacing w:after="0"/>
              <w:rPr>
                <w:sz w:val="19"/>
                <w:szCs w:val="19"/>
                <w:color w:val="auto"/>
              </w:rPr>
            </w:pP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8"/>
              </w:rPr>
              <w:t>308,656</w:t>
            </w: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4,502</w:t>
            </w:r>
          </w:p>
        </w:tc>
        <w:tc>
          <w:tcPr>
            <w:tcW w:w="22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600" w:type="dxa"/>
            <w:vAlign w:val="bottom"/>
            <w:gridSpan w:val="2"/>
          </w:tcPr>
          <w:p>
            <w:pPr>
              <w:jc w:val="right"/>
              <w:ind w:right="20"/>
              <w:spacing w:after="0"/>
              <w:rPr>
                <w:sz w:val="20"/>
                <w:szCs w:val="20"/>
                <w:color w:val="auto"/>
              </w:rPr>
            </w:pPr>
            <w:r>
              <w:rPr>
                <w:rFonts w:ascii="Arial" w:cs="Arial" w:eastAsia="Arial" w:hAnsi="Arial"/>
                <w:sz w:val="18"/>
                <w:szCs w:val="18"/>
                <w:color w:val="auto"/>
                <w:w w:val="86"/>
              </w:rPr>
              <w:t>313,158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71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81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Liabilities and Stockholders’ Equity</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2"/>
        </w:trPr>
        <w:tc>
          <w:tcPr>
            <w:tcW w:w="8140" w:type="dxa"/>
            <w:vAlign w:val="bottom"/>
            <w:gridSpan w:val="3"/>
          </w:tcPr>
          <w:p>
            <w:pPr>
              <w:spacing w:after="0"/>
              <w:rPr>
                <w:sz w:val="20"/>
                <w:szCs w:val="20"/>
                <w:color w:val="auto"/>
              </w:rPr>
            </w:pPr>
            <w:r>
              <w:rPr>
                <w:rFonts w:ascii="Arial" w:cs="Arial" w:eastAsia="Arial" w:hAnsi="Arial"/>
                <w:sz w:val="18"/>
                <w:szCs w:val="18"/>
                <w:b w:val="1"/>
                <w:bCs w:val="1"/>
                <w:color w:val="auto"/>
              </w:rPr>
              <w:t>Current liabilities</w:t>
            </w:r>
          </w:p>
        </w:tc>
        <w:tc>
          <w:tcPr>
            <w:tcW w:w="1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1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Accounts payable</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19,421</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19,421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tcPr>
          <w:p>
            <w:pPr>
              <w:ind w:left="420"/>
              <w:spacing w:after="0"/>
              <w:rPr>
                <w:sz w:val="20"/>
                <w:szCs w:val="20"/>
                <w:color w:val="auto"/>
              </w:rPr>
            </w:pPr>
            <w:r>
              <w:rPr>
                <w:rFonts w:ascii="Arial" w:cs="Arial" w:eastAsia="Arial" w:hAnsi="Arial"/>
                <w:sz w:val="18"/>
                <w:szCs w:val="18"/>
                <w:color w:val="auto"/>
              </w:rPr>
              <w:t>Accrued compensation and benefits</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7,094</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7,094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Customer deposits</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7,525</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7,525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tcPr>
          <w:p>
            <w:pPr>
              <w:ind w:left="420"/>
              <w:spacing w:after="0"/>
              <w:rPr>
                <w:sz w:val="20"/>
                <w:szCs w:val="20"/>
                <w:color w:val="auto"/>
              </w:rPr>
            </w:pPr>
            <w:r>
              <w:rPr>
                <w:rFonts w:ascii="Arial" w:cs="Arial" w:eastAsia="Arial" w:hAnsi="Arial"/>
                <w:sz w:val="18"/>
                <w:szCs w:val="18"/>
                <w:color w:val="auto"/>
              </w:rPr>
              <w:t>Dividends payable</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2,363</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2,363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Other accrued liabilities</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11,945</w:t>
            </w:r>
          </w:p>
        </w:tc>
        <w:tc>
          <w:tcPr>
            <w:tcW w:w="5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(231)(c)</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11,714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20" w:type="dxa"/>
            <w:vAlign w:val="bottom"/>
            <w:gridSpan w:val="2"/>
            <w:vMerge w:val="restart"/>
          </w:tcPr>
          <w:p>
            <w:pPr>
              <w:ind w:left="420"/>
              <w:spacing w:after="0"/>
              <w:rPr>
                <w:sz w:val="20"/>
                <w:szCs w:val="20"/>
                <w:color w:val="auto"/>
              </w:rPr>
            </w:pPr>
            <w:r>
              <w:rPr>
                <w:rFonts w:ascii="Arial" w:cs="Arial" w:eastAsia="Arial" w:hAnsi="Arial"/>
                <w:sz w:val="18"/>
                <w:szCs w:val="18"/>
                <w:color w:val="auto"/>
              </w:rPr>
              <w:t>Total current liabilities</w:t>
            </w:r>
          </w:p>
        </w:tc>
        <w:tc>
          <w:tcPr>
            <w:tcW w:w="1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8120" w:type="dxa"/>
            <w:vAlign w:val="bottom"/>
            <w:gridSpan w:val="2"/>
            <w:vMerge w:val="continue"/>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48,348</w:t>
            </w: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80" w:type="dxa"/>
            <w:vAlign w:val="bottom"/>
            <w:gridSpan w:val="2"/>
          </w:tcPr>
          <w:p>
            <w:pPr>
              <w:jc w:val="right"/>
              <w:ind w:right="480"/>
              <w:spacing w:after="0"/>
              <w:rPr>
                <w:sz w:val="20"/>
                <w:szCs w:val="20"/>
                <w:color w:val="auto"/>
              </w:rPr>
            </w:pPr>
            <w:r>
              <w:rPr>
                <w:rFonts w:ascii="Arial" w:cs="Arial" w:eastAsia="Arial" w:hAnsi="Arial"/>
                <w:sz w:val="18"/>
                <w:szCs w:val="18"/>
                <w:color w:val="auto"/>
              </w:rPr>
              <w:t>(231)</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gridSpan w:val="2"/>
          </w:tcPr>
          <w:p>
            <w:pPr>
              <w:jc w:val="right"/>
              <w:ind w:right="20"/>
              <w:spacing w:after="0"/>
              <w:rPr>
                <w:sz w:val="20"/>
                <w:szCs w:val="20"/>
                <w:color w:val="auto"/>
              </w:rPr>
            </w:pPr>
            <w:r>
              <w:rPr>
                <w:rFonts w:ascii="Arial" w:cs="Arial" w:eastAsia="Arial" w:hAnsi="Arial"/>
                <w:sz w:val="18"/>
                <w:szCs w:val="18"/>
                <w:color w:val="auto"/>
              </w:rPr>
              <w:t>48,117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Long-term liabilities</w:t>
            </w:r>
          </w:p>
        </w:tc>
        <w:tc>
          <w:tcPr>
            <w:tcW w:w="12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tcPr>
          <w:p>
            <w:pPr>
              <w:ind w:left="420"/>
              <w:spacing w:after="0"/>
              <w:rPr>
                <w:sz w:val="20"/>
                <w:szCs w:val="20"/>
                <w:color w:val="auto"/>
              </w:rPr>
            </w:pPr>
            <w:r>
              <w:rPr>
                <w:rFonts w:ascii="Arial" w:cs="Arial" w:eastAsia="Arial" w:hAnsi="Arial"/>
                <w:sz w:val="18"/>
                <w:szCs w:val="18"/>
                <w:color w:val="auto"/>
              </w:rPr>
              <w:t>Post employment benefit obligations</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9,208</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80" w:type="dxa"/>
            <w:vAlign w:val="bottom"/>
            <w:gridSpan w:val="2"/>
          </w:tcPr>
          <w:p>
            <w:pPr>
              <w:jc w:val="right"/>
              <w:ind w:right="340"/>
              <w:spacing w:after="0"/>
              <w:rPr>
                <w:sz w:val="20"/>
                <w:szCs w:val="20"/>
                <w:color w:val="auto"/>
              </w:rPr>
            </w:pPr>
            <w:r>
              <w:rPr>
                <w:rFonts w:ascii="Arial" w:cs="Arial" w:eastAsia="Arial" w:hAnsi="Arial"/>
                <w:sz w:val="18"/>
                <w:szCs w:val="18"/>
                <w:color w:val="auto"/>
              </w:rPr>
              <w:t>5,649(d)</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14,857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Long-term debt</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3,910</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tcPr>
          <w:p>
            <w:pPr>
              <w:ind w:left="420"/>
              <w:spacing w:after="0"/>
              <w:rPr>
                <w:sz w:val="20"/>
                <w:szCs w:val="20"/>
                <w:color w:val="auto"/>
              </w:rPr>
            </w:pPr>
            <w:r>
              <w:rPr>
                <w:rFonts w:ascii="Arial" w:cs="Arial" w:eastAsia="Arial" w:hAnsi="Arial"/>
                <w:sz w:val="18"/>
                <w:szCs w:val="18"/>
                <w:color w:val="auto"/>
              </w:rPr>
              <w:t>Real estate notes payable</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15,144</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15,144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Distributions in excess of affiliate earnings</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11,833</w:t>
            </w: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11,833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71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40,095</w:t>
            </w: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5,649</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gridSpan w:val="2"/>
          </w:tcPr>
          <w:p>
            <w:pPr>
              <w:jc w:val="right"/>
              <w:ind w:right="20"/>
              <w:spacing w:after="0"/>
              <w:rPr>
                <w:sz w:val="20"/>
                <w:szCs w:val="20"/>
                <w:color w:val="auto"/>
              </w:rPr>
            </w:pPr>
            <w:r>
              <w:rPr>
                <w:rFonts w:ascii="Arial" w:cs="Arial" w:eastAsia="Arial" w:hAnsi="Arial"/>
                <w:sz w:val="18"/>
                <w:szCs w:val="18"/>
                <w:color w:val="auto"/>
              </w:rPr>
              <w:t>45,744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Commitments and Contingencies</w:t>
            </w:r>
          </w:p>
        </w:tc>
        <w:tc>
          <w:tcPr>
            <w:tcW w:w="12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2"/>
        </w:trPr>
        <w:tc>
          <w:tcPr>
            <w:tcW w:w="8140" w:type="dxa"/>
            <w:vAlign w:val="bottom"/>
            <w:gridSpan w:val="3"/>
          </w:tcPr>
          <w:p>
            <w:pPr>
              <w:spacing w:after="0"/>
              <w:rPr>
                <w:sz w:val="20"/>
                <w:szCs w:val="20"/>
                <w:color w:val="auto"/>
              </w:rPr>
            </w:pPr>
            <w:r>
              <w:rPr>
                <w:rFonts w:ascii="Arial" w:cs="Arial" w:eastAsia="Arial" w:hAnsi="Arial"/>
                <w:sz w:val="18"/>
                <w:szCs w:val="18"/>
                <w:b w:val="1"/>
                <w:bCs w:val="1"/>
                <w:color w:val="auto"/>
              </w:rPr>
              <w:t>Stockholders’ equity</w:t>
            </w:r>
          </w:p>
        </w:tc>
        <w:tc>
          <w:tcPr>
            <w:tcW w:w="1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1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Common stock</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59,022</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59,022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tcPr>
          <w:p>
            <w:pPr>
              <w:ind w:left="420"/>
              <w:spacing w:after="0"/>
              <w:rPr>
                <w:sz w:val="20"/>
                <w:szCs w:val="20"/>
                <w:color w:val="auto"/>
              </w:rPr>
            </w:pPr>
            <w:r>
              <w:rPr>
                <w:rFonts w:ascii="Arial" w:cs="Arial" w:eastAsia="Arial" w:hAnsi="Arial"/>
                <w:sz w:val="18"/>
                <w:szCs w:val="18"/>
                <w:color w:val="auto"/>
              </w:rPr>
              <w:t>Retained earnings</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8"/>
              </w:rPr>
              <w:t>156,471</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80" w:type="dxa"/>
            <w:vAlign w:val="bottom"/>
            <w:gridSpan w:val="2"/>
          </w:tcPr>
          <w:p>
            <w:pPr>
              <w:jc w:val="right"/>
              <w:ind w:right="280"/>
              <w:spacing w:after="0"/>
              <w:rPr>
                <w:sz w:val="20"/>
                <w:szCs w:val="20"/>
                <w:color w:val="auto"/>
              </w:rPr>
            </w:pPr>
            <w:r>
              <w:rPr>
                <w:rFonts w:ascii="Arial" w:cs="Arial" w:eastAsia="Arial" w:hAnsi="Arial"/>
                <w:sz w:val="18"/>
                <w:szCs w:val="18"/>
                <w:color w:val="auto"/>
              </w:rPr>
              <w:t>(916)(e)</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86"/>
              </w:rPr>
              <w:t>155,555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Additional paid-in-capital</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2,068</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2,068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120" w:type="dxa"/>
            <w:vAlign w:val="bottom"/>
            <w:gridSpan w:val="2"/>
          </w:tcPr>
          <w:p>
            <w:pPr>
              <w:ind w:left="420"/>
              <w:spacing w:after="0"/>
              <w:rPr>
                <w:sz w:val="20"/>
                <w:szCs w:val="20"/>
                <w:color w:val="auto"/>
              </w:rPr>
            </w:pPr>
            <w:r>
              <w:rPr>
                <w:rFonts w:ascii="Arial" w:cs="Arial" w:eastAsia="Arial" w:hAnsi="Arial"/>
                <w:sz w:val="18"/>
                <w:szCs w:val="18"/>
                <w:color w:val="auto"/>
              </w:rPr>
              <w:t>Accumulated other comprehensive income - unrealized holding gains, net of income tax</w:t>
            </w:r>
          </w:p>
        </w:tc>
        <w:tc>
          <w:tcPr>
            <w:tcW w:w="12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2,652</w:t>
            </w: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2,652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stockholders’ equity</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220,213</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(916)</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219,297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14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1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8140" w:type="dxa"/>
            <w:vAlign w:val="bottom"/>
            <w:gridSpan w:val="3"/>
            <w:vMerge w:val="continue"/>
          </w:tcPr>
          <w:p>
            <w:pPr>
              <w:spacing w:after="0"/>
              <w:rPr>
                <w:sz w:val="19"/>
                <w:szCs w:val="19"/>
                <w:color w:val="auto"/>
              </w:rPr>
            </w:pP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8"/>
              </w:rPr>
              <w:t>308,656</w:t>
            </w: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4,502</w:t>
            </w:r>
          </w:p>
        </w:tc>
        <w:tc>
          <w:tcPr>
            <w:tcW w:w="22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600" w:type="dxa"/>
            <w:vAlign w:val="bottom"/>
            <w:gridSpan w:val="2"/>
          </w:tcPr>
          <w:p>
            <w:pPr>
              <w:jc w:val="right"/>
              <w:ind w:right="20"/>
              <w:spacing w:after="0"/>
              <w:rPr>
                <w:sz w:val="20"/>
                <w:szCs w:val="20"/>
                <w:color w:val="auto"/>
              </w:rPr>
            </w:pPr>
            <w:r>
              <w:rPr>
                <w:rFonts w:ascii="Arial" w:cs="Arial" w:eastAsia="Arial" w:hAnsi="Arial"/>
                <w:sz w:val="18"/>
                <w:szCs w:val="18"/>
                <w:color w:val="auto"/>
                <w:w w:val="86"/>
              </w:rPr>
              <w:t>313,158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71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20" w:type="dxa"/>
            <w:vAlign w:val="bottom"/>
          </w:tcPr>
          <w:p>
            <w:pPr>
              <w:spacing w:after="0"/>
              <w:rPr>
                <w:sz w:val="8"/>
                <w:szCs w:val="8"/>
                <w:color w:val="auto"/>
              </w:rPr>
            </w:pPr>
          </w:p>
        </w:tc>
        <w:tc>
          <w:tcPr>
            <w:tcW w:w="940" w:type="dxa"/>
            <w:vAlign w:val="bottom"/>
            <w:tcBorders>
              <w:bottom w:val="single" w:sz="8" w:color="auto"/>
            </w:tcBorders>
          </w:tcPr>
          <w:p>
            <w:pPr>
              <w:spacing w:after="0"/>
              <w:rPr>
                <w:sz w:val="8"/>
                <w:szCs w:val="8"/>
                <w:color w:val="auto"/>
              </w:rPr>
            </w:pPr>
          </w:p>
        </w:tc>
        <w:tc>
          <w:tcPr>
            <w:tcW w:w="7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6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200" w:type="dxa"/>
            <w:vAlign w:val="bottom"/>
          </w:tcPr>
          <w:p>
            <w:pPr>
              <w:spacing w:after="0"/>
              <w:rPr>
                <w:sz w:val="8"/>
                <w:szCs w:val="8"/>
                <w:color w:val="auto"/>
              </w:rPr>
            </w:pPr>
          </w:p>
        </w:tc>
        <w:tc>
          <w:tcPr>
            <w:tcW w:w="54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00" w:lineRule="exact"/>
        <w:rPr>
          <w:sz w:val="20"/>
          <w:szCs w:val="20"/>
          <w:color w:val="auto"/>
        </w:rPr>
      </w:pPr>
    </w:p>
    <w:p>
      <w:pPr>
        <w:ind w:left="460" w:hanging="452"/>
        <w:spacing w:after="0"/>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Represents the remaining inventory write up at November 26, 2005, that will flow through the income statement in subsequent periods.</w:t>
      </w:r>
    </w:p>
    <w:p>
      <w:pPr>
        <w:spacing w:after="0" w:line="15" w:lineRule="exact"/>
        <w:rPr>
          <w:rFonts w:ascii="Arial" w:cs="Arial" w:eastAsia="Arial" w:hAnsi="Arial"/>
          <w:sz w:val="18"/>
          <w:szCs w:val="18"/>
          <w:color w:val="auto"/>
        </w:rPr>
      </w:pPr>
    </w:p>
    <w:p>
      <w:pPr>
        <w:ind w:left="460" w:right="20" w:hanging="452"/>
        <w:spacing w:after="0" w:line="250" w:lineRule="auto"/>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Represents a net increase of $143 associated with the purchase accounting restatement (consisting of a $1,837 goodwill increase and a $1,694 net decrease in deferred tax assets) and a $2,111 increase in deferred tax assets and the recording of a $140 pension asset associated with the restatement of the unfunded liability for the Supplemental Retirement Income Plan.</w:t>
      </w:r>
    </w:p>
    <w:p>
      <w:pPr>
        <w:spacing w:after="0" w:line="1" w:lineRule="exact"/>
        <w:rPr>
          <w:rFonts w:ascii="Arial" w:cs="Arial" w:eastAsia="Arial" w:hAnsi="Arial"/>
          <w:sz w:val="18"/>
          <w:szCs w:val="18"/>
          <w:color w:val="auto"/>
        </w:rPr>
      </w:pPr>
    </w:p>
    <w:p>
      <w:pPr>
        <w:ind w:left="460" w:hanging="452"/>
        <w:spacing w:after="0"/>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Relates to the restatement of the unfunded liability for the Supplemental Retirement Income Plan.</w:t>
      </w:r>
    </w:p>
    <w:p>
      <w:pPr>
        <w:spacing w:after="0" w:line="9" w:lineRule="exact"/>
        <w:rPr>
          <w:rFonts w:ascii="Arial" w:cs="Arial" w:eastAsia="Arial" w:hAnsi="Arial"/>
          <w:sz w:val="18"/>
          <w:szCs w:val="18"/>
          <w:color w:val="auto"/>
        </w:rPr>
      </w:pPr>
    </w:p>
    <w:p>
      <w:pPr>
        <w:ind w:left="460" w:right="20" w:hanging="452"/>
        <w:spacing w:after="0" w:line="250" w:lineRule="auto"/>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Represents the increase to the post employment benefit obligation associated with the restatement of the unfunded liability for the Supplemental Retirement Income Plan. (See Note 12)</w:t>
      </w:r>
    </w:p>
    <w:p>
      <w:pPr>
        <w:ind w:left="460" w:right="620" w:hanging="452"/>
        <w:spacing w:after="0" w:line="261" w:lineRule="auto"/>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Includes a $2,251 increase associated with the purchase accounting restatement and a $3,167 decrease associated with the post employment benefit obligation restatement.</w:t>
      </w:r>
    </w:p>
    <w:p>
      <w:pPr>
        <w:spacing w:after="0" w:line="1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- 22</w:t>
      </w:r>
    </w:p>
    <w:p>
      <w:pPr>
        <w:sectPr>
          <w:pgSz w:w="11900" w:h="16838" w:orient="portrait"/>
          <w:cols w:equalWidth="0" w:num="1">
            <w:col w:w="11420"/>
          </w:cols>
          <w:pgMar w:left="240" w:top="459" w:right="23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2005 Consolidated Statement of Income (Restated)</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300" w:type="dxa"/>
            <w:vAlign w:val="bottom"/>
            <w:gridSpan w:val="8"/>
          </w:tcPr>
          <w:p>
            <w:pPr>
              <w:jc w:val="right"/>
              <w:ind w:right="620"/>
              <w:spacing w:after="0"/>
              <w:rPr>
                <w:sz w:val="20"/>
                <w:szCs w:val="20"/>
                <w:color w:val="auto"/>
              </w:rPr>
            </w:pPr>
            <w:r>
              <w:rPr>
                <w:rFonts w:ascii="Arial" w:cs="Arial" w:eastAsia="Arial" w:hAnsi="Arial"/>
                <w:sz w:val="14"/>
                <w:szCs w:val="14"/>
                <w:b w:val="1"/>
                <w:bCs w:val="1"/>
                <w:color w:val="auto"/>
              </w:rPr>
              <w:t>For the year ended November 26, 2005</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40" w:type="dxa"/>
            <w:vAlign w:val="bottom"/>
          </w:tcPr>
          <w:p>
            <w:pPr>
              <w:spacing w:after="0"/>
              <w:rPr>
                <w:sz w:val="11"/>
                <w:szCs w:val="11"/>
                <w:color w:val="auto"/>
              </w:rPr>
            </w:pPr>
          </w:p>
        </w:tc>
        <w:tc>
          <w:tcPr>
            <w:tcW w:w="1260" w:type="dxa"/>
            <w:vAlign w:val="bottom"/>
            <w:tcBorders>
              <w:top w:val="single" w:sz="8" w:color="auto"/>
            </w:tcBorders>
            <w:gridSpan w:val="3"/>
          </w:tcPr>
          <w:p>
            <w:pPr>
              <w:spacing w:after="0" w:line="129" w:lineRule="exact"/>
              <w:rPr>
                <w:sz w:val="20"/>
                <w:szCs w:val="20"/>
                <w:color w:val="auto"/>
              </w:rPr>
            </w:pPr>
            <w:r>
              <w:rPr>
                <w:rFonts w:ascii="Arial" w:cs="Arial" w:eastAsia="Arial" w:hAnsi="Arial"/>
                <w:sz w:val="14"/>
                <w:szCs w:val="14"/>
                <w:b w:val="1"/>
                <w:bCs w:val="1"/>
                <w:color w:val="auto"/>
              </w:rPr>
              <w:t>As previously</w:t>
            </w:r>
          </w:p>
        </w:tc>
        <w:tc>
          <w:tcPr>
            <w:tcW w:w="1420" w:type="dxa"/>
            <w:vAlign w:val="bottom"/>
            <w:tcBorders>
              <w:top w:val="single" w:sz="8" w:color="auto"/>
            </w:tcBorders>
            <w:gridSpan w:val="3"/>
          </w:tcPr>
          <w:p>
            <w:pPr>
              <w:ind w:left="20"/>
              <w:spacing w:after="0" w:line="129" w:lineRule="exact"/>
              <w:rPr>
                <w:sz w:val="20"/>
                <w:szCs w:val="20"/>
                <w:color w:val="auto"/>
              </w:rPr>
            </w:pPr>
            <w:r>
              <w:rPr>
                <w:rFonts w:ascii="Arial" w:cs="Arial" w:eastAsia="Arial" w:hAnsi="Arial"/>
                <w:sz w:val="14"/>
                <w:szCs w:val="14"/>
                <w:b w:val="1"/>
                <w:bCs w:val="1"/>
                <w:color w:val="auto"/>
              </w:rPr>
              <w:t>Restatement</w:t>
            </w:r>
          </w:p>
        </w:tc>
        <w:tc>
          <w:tcPr>
            <w:tcW w:w="80" w:type="dxa"/>
            <w:vAlign w:val="bottom"/>
            <w:tcBorders>
              <w:top w:val="single" w:sz="8" w:color="auto"/>
            </w:tcBorders>
          </w:tcPr>
          <w:p>
            <w:pPr>
              <w:spacing w:after="0"/>
              <w:rPr>
                <w:sz w:val="11"/>
                <w:szCs w:val="11"/>
                <w:color w:val="auto"/>
              </w:rPr>
            </w:pPr>
          </w:p>
        </w:tc>
        <w:tc>
          <w:tcPr>
            <w:tcW w:w="60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40" w:type="dxa"/>
            <w:vAlign w:val="bottom"/>
            <w:gridSpan w:val="2"/>
          </w:tcPr>
          <w:p>
            <w:pPr>
              <w:jc w:val="right"/>
              <w:ind w:right="620"/>
              <w:spacing w:after="0"/>
              <w:rPr>
                <w:sz w:val="20"/>
                <w:szCs w:val="20"/>
                <w:color w:val="auto"/>
              </w:rPr>
            </w:pPr>
            <w:r>
              <w:rPr>
                <w:rFonts w:ascii="Arial" w:cs="Arial" w:eastAsia="Arial" w:hAnsi="Arial"/>
                <w:sz w:val="14"/>
                <w:szCs w:val="14"/>
                <w:b w:val="1"/>
                <w:bCs w:val="1"/>
                <w:color w:val="auto"/>
                <w:w w:val="87"/>
              </w:rPr>
              <w:t>reported</w:t>
            </w:r>
          </w:p>
        </w:tc>
        <w:tc>
          <w:tcPr>
            <w:tcW w:w="1420" w:type="dxa"/>
            <w:vAlign w:val="bottom"/>
            <w:gridSpan w:val="3"/>
          </w:tcPr>
          <w:p>
            <w:pPr>
              <w:spacing w:after="0"/>
              <w:rPr>
                <w:sz w:val="20"/>
                <w:szCs w:val="20"/>
                <w:color w:val="auto"/>
              </w:rPr>
            </w:pPr>
            <w:r>
              <w:rPr>
                <w:rFonts w:ascii="Arial" w:cs="Arial" w:eastAsia="Arial" w:hAnsi="Arial"/>
                <w:sz w:val="14"/>
                <w:szCs w:val="14"/>
                <w:b w:val="1"/>
                <w:bCs w:val="1"/>
                <w:color w:val="auto"/>
              </w:rPr>
              <w:t>Adjustments</w:t>
            </w:r>
          </w:p>
        </w:tc>
        <w:tc>
          <w:tcPr>
            <w:tcW w:w="80" w:type="dxa"/>
            <w:vAlign w:val="bottom"/>
          </w:tcPr>
          <w:p>
            <w:pPr>
              <w:spacing w:after="0"/>
              <w:rPr>
                <w:sz w:val="15"/>
                <w:szCs w:val="15"/>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w w:val="81"/>
              </w:rPr>
              <w:t>Restated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sales</w:t>
            </w:r>
          </w:p>
        </w:tc>
        <w:tc>
          <w:tcPr>
            <w:tcW w:w="1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335,207</w:t>
            </w:r>
          </w:p>
        </w:tc>
        <w:tc>
          <w:tcPr>
            <w:tcW w:w="48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335,207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80" w:type="dxa"/>
            <w:vAlign w:val="bottom"/>
            <w:gridSpan w:val="2"/>
          </w:tcPr>
          <w:p>
            <w:pPr>
              <w:spacing w:after="0"/>
              <w:rPr>
                <w:sz w:val="20"/>
                <w:szCs w:val="20"/>
                <w:color w:val="auto"/>
              </w:rPr>
            </w:pPr>
            <w:r>
              <w:rPr>
                <w:rFonts w:ascii="Arial" w:cs="Arial" w:eastAsia="Arial" w:hAnsi="Arial"/>
                <w:sz w:val="18"/>
                <w:szCs w:val="18"/>
                <w:color w:val="auto"/>
              </w:rPr>
              <w:t>Cost of sales</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8"/>
              </w:rPr>
              <w:t>236,390</w:t>
            </w:r>
          </w:p>
        </w:tc>
        <w:tc>
          <w:tcPr>
            <w:tcW w:w="480" w:type="dxa"/>
            <w:vAlign w:val="bottom"/>
          </w:tcPr>
          <w:p>
            <w:pPr>
              <w:spacing w:after="0"/>
              <w:rPr>
                <w:sz w:val="18"/>
                <w:szCs w:val="18"/>
                <w:color w:val="auto"/>
              </w:rPr>
            </w:pP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480"/>
              <w:spacing w:after="0"/>
              <w:rPr>
                <w:sz w:val="20"/>
                <w:szCs w:val="20"/>
                <w:color w:val="auto"/>
              </w:rPr>
            </w:pPr>
            <w:r>
              <w:rPr>
                <w:rFonts w:ascii="Arial" w:cs="Arial" w:eastAsia="Arial" w:hAnsi="Arial"/>
                <w:sz w:val="18"/>
                <w:szCs w:val="18"/>
                <w:color w:val="auto"/>
              </w:rPr>
              <w:t>453(a)</w:t>
            </w: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236,843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940" w:type="dxa"/>
            <w:vAlign w:val="bottom"/>
          </w:tcPr>
          <w:p>
            <w:pPr>
              <w:spacing w:after="0"/>
              <w:rPr>
                <w:sz w:val="2"/>
                <w:szCs w:val="2"/>
                <w:color w:val="auto"/>
              </w:rPr>
            </w:pPr>
          </w:p>
        </w:tc>
        <w:tc>
          <w:tcPr>
            <w:tcW w:w="70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Gross profit</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98,817</w:t>
            </w: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(453)</w:t>
            </w: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98,364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22"/>
        </w:trPr>
        <w:tc>
          <w:tcPr>
            <w:tcW w:w="8000" w:type="dxa"/>
            <w:vAlign w:val="bottom"/>
            <w:gridSpan w:val="3"/>
          </w:tcPr>
          <w:p>
            <w:pPr>
              <w:spacing w:after="0"/>
              <w:rPr>
                <w:sz w:val="20"/>
                <w:szCs w:val="20"/>
                <w:color w:val="auto"/>
              </w:rPr>
            </w:pPr>
            <w:r>
              <w:rPr>
                <w:rFonts w:ascii="Arial" w:cs="Arial" w:eastAsia="Arial" w:hAnsi="Arial"/>
                <w:sz w:val="18"/>
                <w:szCs w:val="18"/>
                <w:color w:val="auto"/>
              </w:rPr>
              <w:t>Selling, general and administrative expenses</w:t>
            </w:r>
          </w:p>
        </w:tc>
        <w:tc>
          <w:tcPr>
            <w:tcW w:w="12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91,270</w:t>
            </w:r>
          </w:p>
        </w:tc>
        <w:tc>
          <w:tcPr>
            <w:tcW w:w="4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91,270</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Impairment and restructuring charges</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6,164</w:t>
            </w: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(4,204)(b)</w:t>
            </w: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1,960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000" w:type="dxa"/>
            <w:vAlign w:val="bottom"/>
            <w:gridSpan w:val="3"/>
            <w:vMerge w:val="restart"/>
          </w:tcPr>
          <w:p>
            <w:pPr>
              <w:spacing w:after="0"/>
              <w:rPr>
                <w:sz w:val="20"/>
                <w:szCs w:val="20"/>
                <w:color w:val="auto"/>
              </w:rPr>
            </w:pPr>
            <w:r>
              <w:rPr>
                <w:rFonts w:ascii="Arial" w:cs="Arial" w:eastAsia="Arial" w:hAnsi="Arial"/>
                <w:sz w:val="18"/>
                <w:szCs w:val="18"/>
                <w:color w:val="auto"/>
              </w:rPr>
              <w:t>Income from operations</w:t>
            </w:r>
          </w:p>
        </w:tc>
        <w:tc>
          <w:tcPr>
            <w:tcW w:w="1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8000" w:type="dxa"/>
            <w:vAlign w:val="bottom"/>
            <w:gridSpan w:val="3"/>
            <w:vMerge w:val="continue"/>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1,383</w:t>
            </w:r>
          </w:p>
        </w:tc>
        <w:tc>
          <w:tcPr>
            <w:tcW w:w="4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40" w:type="dxa"/>
            <w:vAlign w:val="bottom"/>
            <w:gridSpan w:val="2"/>
          </w:tcPr>
          <w:p>
            <w:pPr>
              <w:jc w:val="right"/>
              <w:ind w:right="680"/>
              <w:spacing w:after="0"/>
              <w:rPr>
                <w:sz w:val="20"/>
                <w:szCs w:val="20"/>
                <w:color w:val="auto"/>
              </w:rPr>
            </w:pPr>
            <w:r>
              <w:rPr>
                <w:rFonts w:ascii="Arial" w:cs="Arial" w:eastAsia="Arial" w:hAnsi="Arial"/>
                <w:sz w:val="18"/>
                <w:szCs w:val="18"/>
                <w:color w:val="auto"/>
              </w:rPr>
              <w:t>3,751</w:t>
            </w:r>
          </w:p>
        </w:tc>
        <w:tc>
          <w:tcPr>
            <w:tcW w:w="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5,134</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0"/>
        </w:trPr>
        <w:tc>
          <w:tcPr>
            <w:tcW w:w="20" w:type="dxa"/>
            <w:vAlign w:val="bottom"/>
            <w:vMerge w:val="restart"/>
          </w:tcPr>
          <w:p>
            <w:pPr>
              <w:spacing w:after="0"/>
              <w:rPr>
                <w:sz w:val="9"/>
                <w:szCs w:val="9"/>
                <w:color w:val="auto"/>
              </w:rPr>
            </w:pPr>
          </w:p>
        </w:tc>
        <w:tc>
          <w:tcPr>
            <w:tcW w:w="940" w:type="dxa"/>
            <w:vAlign w:val="bottom"/>
          </w:tcPr>
          <w:p>
            <w:pPr>
              <w:spacing w:after="0"/>
              <w:rPr>
                <w:sz w:val="9"/>
                <w:szCs w:val="9"/>
                <w:color w:val="auto"/>
              </w:rPr>
            </w:pPr>
          </w:p>
        </w:tc>
        <w:tc>
          <w:tcPr>
            <w:tcW w:w="70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480" w:type="dxa"/>
            <w:vAlign w:val="bottom"/>
          </w:tcPr>
          <w:p>
            <w:pPr>
              <w:spacing w:after="0"/>
              <w:rPr>
                <w:sz w:val="9"/>
                <w:szCs w:val="9"/>
                <w:color w:val="auto"/>
              </w:rPr>
            </w:pPr>
          </w:p>
        </w:tc>
        <w:tc>
          <w:tcPr>
            <w:tcW w:w="180" w:type="dxa"/>
            <w:vAlign w:val="bottom"/>
          </w:tcPr>
          <w:p>
            <w:pPr>
              <w:spacing w:after="0"/>
              <w:rPr>
                <w:sz w:val="9"/>
                <w:szCs w:val="9"/>
                <w:color w:val="auto"/>
              </w:rPr>
            </w:pPr>
          </w:p>
        </w:tc>
        <w:tc>
          <w:tcPr>
            <w:tcW w:w="56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6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from investments, net</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6,743</w:t>
            </w: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6,743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80" w:type="dxa"/>
            <w:vAlign w:val="bottom"/>
            <w:gridSpan w:val="2"/>
          </w:tcPr>
          <w:p>
            <w:pPr>
              <w:spacing w:after="0"/>
              <w:rPr>
                <w:sz w:val="20"/>
                <w:szCs w:val="20"/>
                <w:color w:val="auto"/>
              </w:rPr>
            </w:pPr>
            <w:r>
              <w:rPr>
                <w:rFonts w:ascii="Arial" w:cs="Arial" w:eastAsia="Arial" w:hAnsi="Arial"/>
                <w:sz w:val="18"/>
                <w:szCs w:val="18"/>
                <w:color w:val="auto"/>
              </w:rPr>
              <w:t>Income from unconsolidated affiliated companies, net</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6,045</w:t>
            </w: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6,045</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(3,242)</w:t>
            </w: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(3,242)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80" w:type="dxa"/>
            <w:vAlign w:val="bottom"/>
            <w:gridSpan w:val="2"/>
          </w:tcPr>
          <w:p>
            <w:pPr>
              <w:spacing w:after="0"/>
              <w:rPr>
                <w:sz w:val="20"/>
                <w:szCs w:val="20"/>
                <w:color w:val="auto"/>
              </w:rPr>
            </w:pPr>
            <w:r>
              <w:rPr>
                <w:rFonts w:ascii="Arial" w:cs="Arial" w:eastAsia="Arial" w:hAnsi="Arial"/>
                <w:sz w:val="18"/>
                <w:szCs w:val="18"/>
                <w:color w:val="auto"/>
              </w:rPr>
              <w:t>Other expense, net</w:t>
            </w:r>
          </w:p>
        </w:tc>
        <w:tc>
          <w:tcPr>
            <w:tcW w:w="120" w:type="dxa"/>
            <w:vAlign w:val="bottom"/>
          </w:tcPr>
          <w:p>
            <w:pPr>
              <w:spacing w:after="0"/>
              <w:rPr>
                <w:sz w:val="18"/>
                <w:szCs w:val="18"/>
                <w:color w:val="auto"/>
              </w:rPr>
            </w:pPr>
          </w:p>
        </w:tc>
        <w:tc>
          <w:tcPr>
            <w:tcW w:w="1140" w:type="dxa"/>
            <w:vAlign w:val="bottom"/>
            <w:gridSpan w:val="2"/>
          </w:tcPr>
          <w:p>
            <w:pPr>
              <w:jc w:val="right"/>
              <w:ind w:right="420"/>
              <w:spacing w:after="0"/>
              <w:rPr>
                <w:sz w:val="20"/>
                <w:szCs w:val="20"/>
                <w:color w:val="auto"/>
              </w:rPr>
            </w:pPr>
            <w:r>
              <w:rPr>
                <w:rFonts w:ascii="Arial" w:cs="Arial" w:eastAsia="Arial" w:hAnsi="Arial"/>
                <w:sz w:val="18"/>
                <w:szCs w:val="18"/>
                <w:color w:val="auto"/>
              </w:rPr>
              <w:t>(1,485)</w:t>
            </w: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(1,485)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940" w:type="dxa"/>
            <w:vAlign w:val="bottom"/>
          </w:tcPr>
          <w:p>
            <w:pPr>
              <w:spacing w:after="0"/>
              <w:rPr>
                <w:sz w:val="2"/>
                <w:szCs w:val="2"/>
                <w:color w:val="auto"/>
              </w:rPr>
            </w:pPr>
          </w:p>
        </w:tc>
        <w:tc>
          <w:tcPr>
            <w:tcW w:w="70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before income tax provision</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9,444</w:t>
            </w: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3,751</w:t>
            </w: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13,195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980" w:type="dxa"/>
            <w:vAlign w:val="bottom"/>
            <w:gridSpan w:val="2"/>
          </w:tcPr>
          <w:p>
            <w:pPr>
              <w:spacing w:after="0"/>
              <w:rPr>
                <w:sz w:val="20"/>
                <w:szCs w:val="20"/>
                <w:color w:val="auto"/>
              </w:rPr>
            </w:pPr>
            <w:r>
              <w:rPr>
                <w:rFonts w:ascii="Arial" w:cs="Arial" w:eastAsia="Arial" w:hAnsi="Arial"/>
                <w:sz w:val="18"/>
                <w:szCs w:val="18"/>
                <w:color w:val="auto"/>
              </w:rPr>
              <w:t>Income tax provision</w:t>
            </w:r>
          </w:p>
        </w:tc>
        <w:tc>
          <w:tcPr>
            <w:tcW w:w="120" w:type="dxa"/>
            <w:vAlign w:val="bottom"/>
          </w:tcPr>
          <w:p>
            <w:pPr>
              <w:spacing w:after="0"/>
              <w:rPr>
                <w:sz w:val="18"/>
                <w:szCs w:val="18"/>
                <w:color w:val="auto"/>
              </w:rPr>
            </w:pPr>
          </w:p>
        </w:tc>
        <w:tc>
          <w:tcPr>
            <w:tcW w:w="1140" w:type="dxa"/>
            <w:vAlign w:val="bottom"/>
            <w:gridSpan w:val="2"/>
          </w:tcPr>
          <w:p>
            <w:pPr>
              <w:jc w:val="right"/>
              <w:ind w:right="420"/>
              <w:spacing w:after="0"/>
              <w:rPr>
                <w:sz w:val="20"/>
                <w:szCs w:val="20"/>
                <w:color w:val="auto"/>
              </w:rPr>
            </w:pPr>
            <w:r>
              <w:rPr>
                <w:rFonts w:ascii="Arial" w:cs="Arial" w:eastAsia="Arial" w:hAnsi="Arial"/>
                <w:sz w:val="18"/>
                <w:szCs w:val="18"/>
                <w:color w:val="auto"/>
              </w:rPr>
              <w:t>(1,881)</w:t>
            </w:r>
          </w:p>
        </w:tc>
        <w:tc>
          <w:tcPr>
            <w:tcW w:w="180" w:type="dxa"/>
            <w:vAlign w:val="bottom"/>
          </w:tcPr>
          <w:p>
            <w:pPr>
              <w:spacing w:after="0"/>
              <w:rPr>
                <w:sz w:val="18"/>
                <w:szCs w:val="18"/>
                <w:color w:val="auto"/>
              </w:rPr>
            </w:pPr>
          </w:p>
        </w:tc>
        <w:tc>
          <w:tcPr>
            <w:tcW w:w="1240" w:type="dxa"/>
            <w:vAlign w:val="bottom"/>
            <w:gridSpan w:val="2"/>
          </w:tcPr>
          <w:p>
            <w:pPr>
              <w:jc w:val="right"/>
              <w:ind w:right="420"/>
              <w:spacing w:after="0"/>
              <w:rPr>
                <w:sz w:val="20"/>
                <w:szCs w:val="20"/>
                <w:color w:val="auto"/>
              </w:rPr>
            </w:pPr>
            <w:r>
              <w:rPr>
                <w:rFonts w:ascii="Arial" w:cs="Arial" w:eastAsia="Arial" w:hAnsi="Arial"/>
                <w:sz w:val="18"/>
                <w:szCs w:val="18"/>
                <w:color w:val="auto"/>
              </w:rPr>
              <w:t>(1,500)(c)</w:t>
            </w:r>
          </w:p>
        </w:tc>
        <w:tc>
          <w:tcPr>
            <w:tcW w:w="80" w:type="dxa"/>
            <w:vAlign w:val="bottom"/>
          </w:tcPr>
          <w:p>
            <w:pPr>
              <w:spacing w:after="0"/>
              <w:rPr>
                <w:sz w:val="18"/>
                <w:szCs w:val="18"/>
                <w:color w:val="auto"/>
              </w:rPr>
            </w:pP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(3,381)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940" w:type="dxa"/>
            <w:vAlign w:val="bottom"/>
          </w:tcPr>
          <w:p>
            <w:pPr>
              <w:spacing w:after="0"/>
              <w:rPr>
                <w:sz w:val="2"/>
                <w:szCs w:val="2"/>
                <w:color w:val="auto"/>
              </w:rPr>
            </w:pPr>
          </w:p>
        </w:tc>
        <w:tc>
          <w:tcPr>
            <w:tcW w:w="70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7,563</w:t>
            </w: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2,251</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9,814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000" w:type="dxa"/>
            <w:vAlign w:val="bottom"/>
            <w:gridSpan w:val="3"/>
            <w:vMerge w:val="restart"/>
          </w:tcPr>
          <w:p>
            <w:pPr>
              <w:spacing w:after="0"/>
              <w:rPr>
                <w:sz w:val="20"/>
                <w:szCs w:val="20"/>
                <w:color w:val="auto"/>
              </w:rPr>
            </w:pPr>
            <w:r>
              <w:rPr>
                <w:rFonts w:ascii="Arial" w:cs="Arial" w:eastAsia="Arial" w:hAnsi="Arial"/>
                <w:sz w:val="18"/>
                <w:szCs w:val="18"/>
                <w:color w:val="auto"/>
              </w:rPr>
              <w:t>Net income per share</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8000" w:type="dxa"/>
            <w:vAlign w:val="bottom"/>
            <w:gridSpan w:val="3"/>
            <w:vMerge w:val="continue"/>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79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Basic earnings per share:</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0.64</w:t>
            </w: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0.19</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0.83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980" w:type="dxa"/>
            <w:vAlign w:val="bottom"/>
            <w:gridSpan w:val="2"/>
            <w:vMerge w:val="restart"/>
          </w:tcPr>
          <w:p>
            <w:pPr>
              <w:ind w:left="420"/>
              <w:spacing w:after="0"/>
              <w:rPr>
                <w:sz w:val="20"/>
                <w:szCs w:val="20"/>
                <w:color w:val="auto"/>
              </w:rPr>
            </w:pPr>
            <w:r>
              <w:rPr>
                <w:rFonts w:ascii="Arial" w:cs="Arial" w:eastAsia="Arial" w:hAnsi="Arial"/>
                <w:sz w:val="18"/>
                <w:szCs w:val="18"/>
                <w:color w:val="auto"/>
              </w:rPr>
              <w:t>Diluted earnings per share:</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7980" w:type="dxa"/>
            <w:vAlign w:val="bottom"/>
            <w:gridSpan w:val="2"/>
            <w:vMerge w:val="continue"/>
          </w:tcPr>
          <w:p>
            <w:pPr>
              <w:spacing w:after="0"/>
              <w:rPr>
                <w:sz w:val="18"/>
                <w:szCs w:val="18"/>
                <w:color w:val="auto"/>
              </w:rPr>
            </w:pP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0.63</w:t>
            </w:r>
          </w:p>
        </w:tc>
        <w:tc>
          <w:tcPr>
            <w:tcW w:w="480" w:type="dxa"/>
            <w:vAlign w:val="bottom"/>
          </w:tcPr>
          <w:p>
            <w:pPr>
              <w:spacing w:after="0"/>
              <w:rPr>
                <w:sz w:val="18"/>
                <w:szCs w:val="18"/>
                <w:color w:val="auto"/>
              </w:rPr>
            </w:pP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680"/>
              <w:spacing w:after="0"/>
              <w:rPr>
                <w:sz w:val="20"/>
                <w:szCs w:val="20"/>
                <w:color w:val="auto"/>
              </w:rPr>
            </w:pPr>
            <w:r>
              <w:rPr>
                <w:rFonts w:ascii="Arial" w:cs="Arial" w:eastAsia="Arial" w:hAnsi="Arial"/>
                <w:sz w:val="18"/>
                <w:szCs w:val="18"/>
                <w:color w:val="auto"/>
              </w:rPr>
              <w:t>0.19</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0.82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70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20" w:type="dxa"/>
            <w:vAlign w:val="bottom"/>
          </w:tcPr>
          <w:p>
            <w:pPr>
              <w:spacing w:after="0"/>
              <w:rPr>
                <w:sz w:val="8"/>
                <w:szCs w:val="8"/>
                <w:color w:val="auto"/>
              </w:rPr>
            </w:pPr>
          </w:p>
        </w:tc>
        <w:tc>
          <w:tcPr>
            <w:tcW w:w="940" w:type="dxa"/>
            <w:vAlign w:val="bottom"/>
            <w:tcBorders>
              <w:bottom w:val="single" w:sz="8" w:color="auto"/>
            </w:tcBorders>
          </w:tcPr>
          <w:p>
            <w:pPr>
              <w:spacing w:after="0"/>
              <w:rPr>
                <w:sz w:val="8"/>
                <w:szCs w:val="8"/>
                <w:color w:val="auto"/>
              </w:rPr>
            </w:pPr>
          </w:p>
        </w:tc>
        <w:tc>
          <w:tcPr>
            <w:tcW w:w="70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60" w:type="dxa"/>
            <w:vAlign w:val="bottom"/>
          </w:tcPr>
          <w:p>
            <w:pPr>
              <w:spacing w:after="0"/>
              <w:rPr>
                <w:sz w:val="8"/>
                <w:szCs w:val="8"/>
                <w:color w:val="auto"/>
              </w:rPr>
            </w:pPr>
          </w:p>
        </w:tc>
        <w:tc>
          <w:tcPr>
            <w:tcW w:w="480" w:type="dxa"/>
            <w:vAlign w:val="bottom"/>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tcPr>
          <w:p>
            <w:pPr>
              <w:spacing w:after="0"/>
              <w:rPr>
                <w:sz w:val="8"/>
                <w:szCs w:val="8"/>
                <w:color w:val="auto"/>
              </w:rPr>
            </w:pPr>
          </w:p>
        </w:tc>
        <w:tc>
          <w:tcPr>
            <w:tcW w:w="680" w:type="dxa"/>
            <w:vAlign w:val="bottom"/>
          </w:tcPr>
          <w:p>
            <w:pPr>
              <w:spacing w:after="0"/>
              <w:rPr>
                <w:sz w:val="8"/>
                <w:szCs w:val="8"/>
                <w:color w:val="auto"/>
              </w:rPr>
            </w:pPr>
          </w:p>
        </w:tc>
        <w:tc>
          <w:tcPr>
            <w:tcW w:w="80" w:type="dxa"/>
            <w:vAlign w:val="bottom"/>
          </w:tcPr>
          <w:p>
            <w:pPr>
              <w:spacing w:after="0"/>
              <w:rPr>
                <w:sz w:val="8"/>
                <w:szCs w:val="8"/>
                <w:color w:val="auto"/>
              </w:rPr>
            </w:pPr>
          </w:p>
        </w:tc>
        <w:tc>
          <w:tcPr>
            <w:tcW w:w="60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00" w:lineRule="exact"/>
        <w:rPr>
          <w:sz w:val="20"/>
          <w:szCs w:val="20"/>
          <w:color w:val="auto"/>
        </w:rPr>
      </w:pPr>
    </w:p>
    <w:p>
      <w:pPr>
        <w:sectPr>
          <w:pgSz w:w="11900" w:h="16838" w:orient="portrait"/>
          <w:cols w:equalWidth="0" w:num="1">
            <w:col w:w="11420"/>
          </w:cols>
          <w:pgMar w:left="240" w:top="459" w:right="239" w:bottom="1440" w:gutter="0" w:footer="0" w:header="0"/>
        </w:sectPr>
      </w:pPr>
    </w:p>
    <w:p>
      <w:pPr>
        <w:ind w:left="460" w:hanging="452"/>
        <w:spacing w:after="0"/>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Represents the increase to cost of sales as the restated inventory is sold.</w:t>
      </w:r>
    </w:p>
    <w:p>
      <w:pPr>
        <w:spacing w:after="0" w:line="15" w:lineRule="exact"/>
        <w:rPr>
          <w:rFonts w:ascii="Arial" w:cs="Arial" w:eastAsia="Arial" w:hAnsi="Arial"/>
          <w:sz w:val="18"/>
          <w:szCs w:val="18"/>
          <w:color w:val="auto"/>
        </w:rPr>
      </w:pPr>
    </w:p>
    <w:p>
      <w:pPr>
        <w:ind w:left="460" w:hanging="452"/>
        <w:spacing w:after="0"/>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Represents the reversal of the previously recorded acquisition-related charges.</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Represents the tax effect at an effective tax rate of 40%.</w:t>
      </w:r>
    </w:p>
    <w:p>
      <w:pPr>
        <w:spacing w:after="0" w:line="2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2005 Consolidated Statement of Stockholders Equity (Restated)</w:t>
      </w:r>
    </w:p>
    <w:p>
      <w:pPr>
        <w:spacing w:after="0" w:line="362" w:lineRule="exact"/>
        <w:rPr>
          <w:sz w:val="20"/>
          <w:szCs w:val="20"/>
          <w:color w:val="auto"/>
        </w:rPr>
      </w:pPr>
    </w:p>
    <w:p>
      <w:pPr>
        <w:ind w:left="6360"/>
        <w:spacing w:after="0"/>
        <w:rPr>
          <w:sz w:val="20"/>
          <w:szCs w:val="20"/>
          <w:color w:val="auto"/>
        </w:rPr>
      </w:pPr>
      <w:r>
        <w:rPr>
          <w:rFonts w:ascii="Arial" w:cs="Arial" w:eastAsia="Arial" w:hAnsi="Arial"/>
          <w:sz w:val="14"/>
          <w:szCs w:val="14"/>
          <w:b w:val="1"/>
          <w:bCs w:val="1"/>
          <w:color w:val="auto"/>
        </w:rPr>
        <w:t>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3821430</wp:posOffset>
            </wp:positionH>
            <wp:positionV relativeFrom="paragraph">
              <wp:posOffset>0</wp:posOffset>
            </wp:positionV>
            <wp:extent cx="100330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003300" cy="8890"/>
                    </a:xfrm>
                    <a:prstGeom prst="rect">
                      <a:avLst/>
                    </a:prstGeom>
                    <a:noFill/>
                  </pic:spPr>
                </pic:pic>
              </a:graphicData>
            </a:graphic>
          </wp:anchor>
        </w:drawing>
      </w:r>
    </w:p>
    <w:p>
      <w:pPr>
        <w:spacing w:after="0" w:line="130" w:lineRule="exact"/>
        <w:rPr>
          <w:sz w:val="20"/>
          <w:szCs w:val="20"/>
          <w:color w:val="auto"/>
        </w:rPr>
      </w:pPr>
    </w:p>
    <w:p>
      <w:pPr>
        <w:jc w:val="both"/>
        <w:ind w:left="6220"/>
        <w:spacing w:after="0"/>
        <w:tabs>
          <w:tab w:leader="none" w:pos="7060" w:val="left"/>
        </w:tabs>
        <w:rPr>
          <w:sz w:val="20"/>
          <w:szCs w:val="20"/>
          <w:color w:val="auto"/>
        </w:rPr>
      </w:pPr>
      <w:r>
        <w:rPr>
          <w:rFonts w:ascii="Arial" w:cs="Arial" w:eastAsia="Arial" w:hAnsi="Arial"/>
          <w:sz w:val="14"/>
          <w:szCs w:val="14"/>
          <w:b w:val="1"/>
          <w:bCs w:val="1"/>
          <w:color w:val="auto"/>
        </w:rPr>
        <w:t>Shares</w:t>
      </w:r>
      <w:r>
        <w:rPr>
          <w:sz w:val="20"/>
          <w:szCs w:val="20"/>
          <w:color w:val="auto"/>
        </w:rPr>
        <w:tab/>
      </w:r>
      <w:r>
        <w:rPr>
          <w:rFonts w:ascii="Arial" w:cs="Arial" w:eastAsia="Arial" w:hAnsi="Arial"/>
          <w:sz w:val="14"/>
          <w:szCs w:val="14"/>
          <w:b w:val="1"/>
          <w:bCs w:val="1"/>
          <w:color w:val="auto"/>
        </w:rPr>
        <w:t>Amount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7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240" w:type="dxa"/>
            <w:vAlign w:val="bottom"/>
          </w:tcPr>
          <w:p>
            <w:pPr>
              <w:jc w:val="center"/>
              <w:spacing w:after="0"/>
              <w:rPr>
                <w:sz w:val="20"/>
                <w:szCs w:val="20"/>
                <w:color w:val="auto"/>
              </w:rPr>
            </w:pPr>
            <w:r>
              <w:rPr>
                <w:rFonts w:ascii="Arial" w:cs="Arial" w:eastAsia="Arial" w:hAnsi="Arial"/>
                <w:sz w:val="14"/>
                <w:szCs w:val="14"/>
                <w:b w:val="1"/>
                <w:bCs w:val="1"/>
                <w:color w:val="auto"/>
                <w:w w:val="88"/>
              </w:rPr>
              <w:t>Accumulated</w:t>
            </w:r>
          </w:p>
        </w:tc>
        <w:tc>
          <w:tcPr>
            <w:tcW w:w="500" w:type="dxa"/>
            <w:vAlign w:val="bottom"/>
          </w:tcPr>
          <w:p>
            <w:pPr>
              <w:spacing w:after="0"/>
              <w:rPr>
                <w:sz w:val="14"/>
                <w:szCs w:val="14"/>
                <w:color w:val="auto"/>
              </w:rPr>
            </w:pPr>
          </w:p>
        </w:tc>
      </w:tr>
      <w:tr>
        <w:trPr>
          <w:trHeight w:val="149"/>
        </w:trPr>
        <w:tc>
          <w:tcPr>
            <w:tcW w:w="76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90"/>
              </w:rPr>
              <w:t>Additional</w:t>
            </w:r>
          </w:p>
        </w:tc>
        <w:tc>
          <w:tcPr>
            <w:tcW w:w="840" w:type="dxa"/>
            <w:vAlign w:val="bottom"/>
          </w:tcPr>
          <w:p>
            <w:pPr>
              <w:spacing w:after="0"/>
              <w:rPr>
                <w:sz w:val="12"/>
                <w:szCs w:val="12"/>
                <w:color w:val="auto"/>
              </w:rPr>
            </w:pPr>
          </w:p>
        </w:tc>
        <w:tc>
          <w:tcPr>
            <w:tcW w:w="12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other</w:t>
            </w:r>
          </w:p>
        </w:tc>
        <w:tc>
          <w:tcPr>
            <w:tcW w:w="500" w:type="dxa"/>
            <w:vAlign w:val="bottom"/>
          </w:tcPr>
          <w:p>
            <w:pPr>
              <w:spacing w:after="0"/>
              <w:rPr>
                <w:sz w:val="12"/>
                <w:szCs w:val="12"/>
                <w:color w:val="auto"/>
              </w:rPr>
            </w:pPr>
          </w:p>
        </w:tc>
      </w:tr>
      <w:tr>
        <w:trPr>
          <w:trHeight w:val="149"/>
        </w:trPr>
        <w:tc>
          <w:tcPr>
            <w:tcW w:w="76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91"/>
              </w:rPr>
              <w:t>paid-in</w:t>
            </w:r>
          </w:p>
        </w:tc>
        <w:tc>
          <w:tcPr>
            <w:tcW w:w="840" w:type="dxa"/>
            <w:vAlign w:val="bottom"/>
          </w:tcPr>
          <w:p>
            <w:pPr>
              <w:ind w:left="160"/>
              <w:spacing w:after="0" w:line="149" w:lineRule="exact"/>
              <w:rPr>
                <w:sz w:val="20"/>
                <w:szCs w:val="20"/>
                <w:color w:val="auto"/>
              </w:rPr>
            </w:pPr>
            <w:r>
              <w:rPr>
                <w:rFonts w:ascii="Arial" w:cs="Arial" w:eastAsia="Arial" w:hAnsi="Arial"/>
                <w:sz w:val="14"/>
                <w:szCs w:val="14"/>
                <w:b w:val="1"/>
                <w:bCs w:val="1"/>
                <w:color w:val="auto"/>
              </w:rPr>
              <w:t>Retained</w:t>
            </w:r>
          </w:p>
        </w:tc>
        <w:tc>
          <w:tcPr>
            <w:tcW w:w="12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comprehensive</w:t>
            </w:r>
          </w:p>
        </w:tc>
        <w:tc>
          <w:tcPr>
            <w:tcW w:w="500" w:type="dxa"/>
            <w:vAlign w:val="bottom"/>
          </w:tcPr>
          <w:p>
            <w:pPr>
              <w:spacing w:after="0"/>
              <w:rPr>
                <w:sz w:val="12"/>
                <w:szCs w:val="12"/>
                <w:color w:val="auto"/>
              </w:rPr>
            </w:pPr>
          </w:p>
        </w:tc>
      </w:tr>
      <w:tr>
        <w:trPr>
          <w:trHeight w:val="175"/>
        </w:trPr>
        <w:tc>
          <w:tcPr>
            <w:tcW w:w="760" w:type="dxa"/>
            <w:vAlign w:val="bottom"/>
          </w:tcPr>
          <w:p>
            <w:pPr>
              <w:jc w:val="center"/>
              <w:ind w:right="92"/>
              <w:spacing w:after="0"/>
              <w:rPr>
                <w:sz w:val="20"/>
                <w:szCs w:val="20"/>
                <w:color w:val="auto"/>
              </w:rPr>
            </w:pPr>
            <w:r>
              <w:rPr>
                <w:rFonts w:ascii="Arial" w:cs="Arial" w:eastAsia="Arial" w:hAnsi="Arial"/>
                <w:sz w:val="14"/>
                <w:szCs w:val="14"/>
                <w:b w:val="1"/>
                <w:bCs w:val="1"/>
                <w:color w:val="auto"/>
                <w:w w:val="90"/>
              </w:rPr>
              <w:t>capital</w:t>
            </w:r>
          </w:p>
        </w:tc>
        <w:tc>
          <w:tcPr>
            <w:tcW w:w="840" w:type="dxa"/>
            <w:vAlign w:val="bottom"/>
          </w:tcPr>
          <w:p>
            <w:pPr>
              <w:ind w:left="160"/>
              <w:spacing w:after="0"/>
              <w:rPr>
                <w:sz w:val="20"/>
                <w:szCs w:val="20"/>
                <w:color w:val="auto"/>
              </w:rPr>
            </w:pPr>
            <w:r>
              <w:rPr>
                <w:rFonts w:ascii="Arial" w:cs="Arial" w:eastAsia="Arial" w:hAnsi="Arial"/>
                <w:sz w:val="14"/>
                <w:szCs w:val="14"/>
                <w:b w:val="1"/>
                <w:bCs w:val="1"/>
                <w:color w:val="auto"/>
              </w:rPr>
              <w:t>earnings</w:t>
            </w:r>
          </w:p>
        </w:tc>
        <w:tc>
          <w:tcPr>
            <w:tcW w:w="1240" w:type="dxa"/>
            <w:vAlign w:val="bottom"/>
          </w:tcPr>
          <w:p>
            <w:pPr>
              <w:jc w:val="center"/>
              <w:spacing w:after="0"/>
              <w:rPr>
                <w:sz w:val="20"/>
                <w:szCs w:val="20"/>
                <w:color w:val="auto"/>
              </w:rPr>
            </w:pPr>
            <w:r>
              <w:rPr>
                <w:rFonts w:ascii="Arial" w:cs="Arial" w:eastAsia="Arial" w:hAnsi="Arial"/>
                <w:sz w:val="14"/>
                <w:szCs w:val="14"/>
                <w:b w:val="1"/>
                <w:bCs w:val="1"/>
                <w:color w:val="auto"/>
                <w:w w:val="85"/>
              </w:rPr>
              <w:t>income</w:t>
            </w:r>
          </w:p>
        </w:tc>
        <w:tc>
          <w:tcPr>
            <w:tcW w:w="500" w:type="dxa"/>
            <w:vAlign w:val="bottom"/>
          </w:tcPr>
          <w:p>
            <w:pPr>
              <w:ind w:left="200"/>
              <w:spacing w:after="0"/>
              <w:rPr>
                <w:sz w:val="20"/>
                <w:szCs w:val="20"/>
                <w:color w:val="auto"/>
              </w:rPr>
            </w:pPr>
            <w:r>
              <w:rPr>
                <w:rFonts w:ascii="Arial" w:cs="Arial" w:eastAsia="Arial" w:hAnsi="Arial"/>
                <w:sz w:val="14"/>
                <w:szCs w:val="14"/>
                <w:b w:val="1"/>
                <w:bCs w:val="1"/>
                <w:color w:val="auto"/>
                <w:w w:val="83"/>
              </w:rPr>
              <w:t>Total</w:t>
            </w:r>
          </w:p>
        </w:tc>
      </w:tr>
    </w:tbl>
    <w:p>
      <w:pPr>
        <w:spacing w:after="0" w:line="20" w:lineRule="exact"/>
        <w:rPr>
          <w:sz w:val="20"/>
          <w:szCs w:val="20"/>
          <w:color w:val="auto"/>
        </w:rPr>
      </w:pPr>
    </w:p>
    <w:p>
      <w:pPr>
        <w:sectPr>
          <w:pgSz w:w="11900" w:h="16838" w:orient="portrait"/>
          <w:cols w:equalWidth="0" w:num="2">
            <w:col w:w="7540" w:space="280"/>
            <w:col w:w="3600"/>
          </w:cols>
          <w:pgMar w:left="240" w:top="459" w:right="239" w:bottom="1440" w:gutter="0" w:footer="0" w:header="0"/>
          <w:type w:val="continuous"/>
        </w:sectPr>
      </w:pPr>
    </w:p>
    <w:tbl>
      <w:tblPr>
        <w:tblLayout w:type="fixed"/>
        <w:tblInd w:w="0" w:type="dxa"/>
        <w:tblCellMar>
          <w:top w:w="0" w:type="dxa"/>
          <w:left w:w="0" w:type="dxa"/>
          <w:bottom w:w="0" w:type="dxa"/>
          <w:right w:w="0" w:type="dxa"/>
        </w:tblCellMar>
      </w:tblPr>
      <w:tr>
        <w:trPr>
          <w:trHeight w:val="20"/>
        </w:trPr>
        <w:tc>
          <w:tcPr>
            <w:tcW w:w="60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6020" w:type="dxa"/>
            <w:vAlign w:val="bottom"/>
            <w:shd w:val="clear" w:color="auto" w:fill="CCEEFF"/>
          </w:tcPr>
          <w:p>
            <w:pPr>
              <w:spacing w:after="0" w:line="189" w:lineRule="exact"/>
              <w:rPr>
                <w:sz w:val="20"/>
                <w:szCs w:val="20"/>
                <w:color w:val="auto"/>
              </w:rPr>
            </w:pPr>
            <w:r>
              <w:rPr>
                <w:rFonts w:ascii="Arial" w:cs="Arial" w:eastAsia="Arial" w:hAnsi="Arial"/>
                <w:sz w:val="18"/>
                <w:szCs w:val="18"/>
                <w:b w:val="1"/>
                <w:bCs w:val="1"/>
                <w:color w:val="auto"/>
              </w:rPr>
              <w:t>Balance, November 26, 2005, as previously reported</w:t>
            </w:r>
          </w:p>
        </w:tc>
        <w:tc>
          <w:tcPr>
            <w:tcW w:w="800" w:type="dxa"/>
            <w:vAlign w:val="bottom"/>
            <w:shd w:val="clear" w:color="auto" w:fill="CCEEFF"/>
          </w:tcPr>
          <w:p>
            <w:pPr>
              <w:jc w:val="right"/>
              <w:spacing w:after="0" w:line="189" w:lineRule="exact"/>
              <w:rPr>
                <w:sz w:val="20"/>
                <w:szCs w:val="20"/>
                <w:color w:val="auto"/>
              </w:rPr>
            </w:pPr>
            <w:r>
              <w:rPr>
                <w:rFonts w:ascii="Arial" w:cs="Arial" w:eastAsia="Arial" w:hAnsi="Arial"/>
                <w:sz w:val="18"/>
                <w:szCs w:val="18"/>
                <w:color w:val="auto"/>
                <w:w w:val="86"/>
              </w:rPr>
              <w:t>11,804,458</w:t>
            </w:r>
          </w:p>
        </w:tc>
        <w:tc>
          <w:tcPr>
            <w:tcW w:w="100" w:type="dxa"/>
            <w:vAlign w:val="bottom"/>
            <w:shd w:val="clear" w:color="auto" w:fill="CCEEFF"/>
          </w:tcPr>
          <w:p>
            <w:pPr>
              <w:spacing w:after="0"/>
              <w:rPr>
                <w:sz w:val="16"/>
                <w:szCs w:val="16"/>
                <w:color w:val="auto"/>
              </w:rPr>
            </w:pPr>
          </w:p>
        </w:tc>
        <w:tc>
          <w:tcPr>
            <w:tcW w:w="780" w:type="dxa"/>
            <w:vAlign w:val="bottom"/>
            <w:gridSpan w:val="3"/>
            <w:shd w:val="clear" w:color="auto" w:fill="CCEEFF"/>
          </w:tcPr>
          <w:p>
            <w:pPr>
              <w:jc w:val="right"/>
              <w:ind w:right="100"/>
              <w:spacing w:after="0" w:line="189" w:lineRule="exact"/>
              <w:rPr>
                <w:sz w:val="20"/>
                <w:szCs w:val="20"/>
                <w:color w:val="auto"/>
              </w:rPr>
            </w:pPr>
            <w:r>
              <w:rPr>
                <w:rFonts w:ascii="Arial" w:cs="Arial" w:eastAsia="Arial" w:hAnsi="Arial"/>
                <w:sz w:val="18"/>
                <w:szCs w:val="18"/>
                <w:color w:val="auto"/>
              </w:rPr>
              <w:t>$59,022</w:t>
            </w:r>
          </w:p>
        </w:tc>
        <w:tc>
          <w:tcPr>
            <w:tcW w:w="280" w:type="dxa"/>
            <w:vAlign w:val="bottom"/>
            <w:gridSpan w:val="2"/>
            <w:shd w:val="clear" w:color="auto" w:fill="CCEEFF"/>
          </w:tcPr>
          <w:p>
            <w:pPr>
              <w:jc w:val="right"/>
              <w:ind w:right="80"/>
              <w:spacing w:after="0" w:line="189" w:lineRule="exact"/>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220"/>
              <w:spacing w:after="0" w:line="189" w:lineRule="exact"/>
              <w:rPr>
                <w:sz w:val="20"/>
                <w:szCs w:val="20"/>
                <w:color w:val="auto"/>
              </w:rPr>
            </w:pPr>
            <w:r>
              <w:rPr>
                <w:rFonts w:ascii="Arial" w:cs="Arial" w:eastAsia="Arial" w:hAnsi="Arial"/>
                <w:sz w:val="18"/>
                <w:szCs w:val="18"/>
                <w:color w:val="auto"/>
                <w:w w:val="97"/>
              </w:rPr>
              <w:t>2,068</w:t>
            </w:r>
          </w:p>
        </w:tc>
        <w:tc>
          <w:tcPr>
            <w:tcW w:w="660" w:type="dxa"/>
            <w:vAlign w:val="bottom"/>
            <w:shd w:val="clear" w:color="auto" w:fill="CCEEFF"/>
          </w:tcPr>
          <w:p>
            <w:pPr>
              <w:jc w:val="right"/>
              <w:spacing w:after="0" w:line="189" w:lineRule="exact"/>
              <w:rPr>
                <w:sz w:val="20"/>
                <w:szCs w:val="20"/>
                <w:color w:val="auto"/>
              </w:rPr>
            </w:pPr>
            <w:r>
              <w:rPr>
                <w:rFonts w:ascii="Arial" w:cs="Arial" w:eastAsia="Arial" w:hAnsi="Arial"/>
                <w:sz w:val="18"/>
                <w:szCs w:val="18"/>
                <w:color w:val="auto"/>
                <w:w w:val="85"/>
              </w:rPr>
              <w:t>$156,471</w:t>
            </w:r>
          </w:p>
        </w:tc>
        <w:tc>
          <w:tcPr>
            <w:tcW w:w="280" w:type="dxa"/>
            <w:vAlign w:val="bottom"/>
            <w:shd w:val="clear" w:color="auto" w:fill="CCEEFF"/>
          </w:tcPr>
          <w:p>
            <w:pPr>
              <w:spacing w:after="0"/>
              <w:rPr>
                <w:sz w:val="16"/>
                <w:szCs w:val="16"/>
                <w:color w:val="auto"/>
              </w:rPr>
            </w:pPr>
          </w:p>
        </w:tc>
        <w:tc>
          <w:tcPr>
            <w:tcW w:w="280" w:type="dxa"/>
            <w:vAlign w:val="bottom"/>
            <w:shd w:val="clear" w:color="auto" w:fill="CCEEFF"/>
          </w:tcPr>
          <w:p>
            <w:pPr>
              <w:jc w:val="right"/>
              <w:ind w:right="123"/>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line="189" w:lineRule="exact"/>
              <w:rPr>
                <w:sz w:val="20"/>
                <w:szCs w:val="20"/>
                <w:color w:val="auto"/>
              </w:rPr>
            </w:pPr>
            <w:r>
              <w:rPr>
                <w:rFonts w:ascii="Arial" w:cs="Arial" w:eastAsia="Arial" w:hAnsi="Arial"/>
                <w:sz w:val="18"/>
                <w:szCs w:val="18"/>
                <w:color w:val="auto"/>
              </w:rPr>
              <w:t>2,652</w:t>
            </w:r>
          </w:p>
        </w:tc>
        <w:tc>
          <w:tcPr>
            <w:tcW w:w="900" w:type="dxa"/>
            <w:vAlign w:val="bottom"/>
            <w:gridSpan w:val="2"/>
            <w:shd w:val="clear" w:color="auto" w:fill="CCEEFF"/>
          </w:tcPr>
          <w:p>
            <w:pPr>
              <w:jc w:val="right"/>
              <w:spacing w:after="0" w:line="189" w:lineRule="exact"/>
              <w:rPr>
                <w:sz w:val="20"/>
                <w:szCs w:val="20"/>
                <w:color w:val="auto"/>
              </w:rPr>
            </w:pPr>
            <w:r>
              <w:rPr>
                <w:rFonts w:ascii="Arial" w:cs="Arial" w:eastAsia="Arial" w:hAnsi="Arial"/>
                <w:sz w:val="18"/>
                <w:szCs w:val="18"/>
                <w:color w:val="auto"/>
              </w:rPr>
              <w:t>$220,213</w:t>
            </w:r>
          </w:p>
        </w:tc>
        <w:tc>
          <w:tcPr>
            <w:tcW w:w="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322"/>
        </w:trPr>
        <w:tc>
          <w:tcPr>
            <w:tcW w:w="6020" w:type="dxa"/>
            <w:vAlign w:val="bottom"/>
          </w:tcPr>
          <w:p>
            <w:pPr>
              <w:spacing w:after="0"/>
              <w:rPr>
                <w:sz w:val="20"/>
                <w:szCs w:val="20"/>
                <w:color w:val="auto"/>
              </w:rPr>
            </w:pPr>
            <w:r>
              <w:rPr>
                <w:rFonts w:ascii="Arial" w:cs="Arial" w:eastAsia="Arial" w:hAnsi="Arial"/>
                <w:sz w:val="18"/>
                <w:szCs w:val="18"/>
                <w:color w:val="auto"/>
              </w:rPr>
              <w:t>Restatement adjustments associated with purchase accounting</w:t>
            </w: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2,251</w:t>
            </w: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2,251</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6020" w:type="dxa"/>
            <w:vAlign w:val="bottom"/>
            <w:shd w:val="clear" w:color="auto" w:fill="CCEEFF"/>
          </w:tcPr>
          <w:p>
            <w:pPr>
              <w:spacing w:after="0"/>
              <w:rPr>
                <w:sz w:val="20"/>
                <w:szCs w:val="20"/>
                <w:color w:val="auto"/>
              </w:rPr>
            </w:pPr>
            <w:r>
              <w:rPr>
                <w:rFonts w:ascii="Arial" w:cs="Arial" w:eastAsia="Arial" w:hAnsi="Arial"/>
                <w:sz w:val="18"/>
                <w:szCs w:val="18"/>
                <w:color w:val="auto"/>
                <w:w w:val="94"/>
              </w:rPr>
              <w:t>Restatement adjustments associated with the Supplemental Retirement Income</w:t>
            </w: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60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Plan</w:t>
            </w:r>
          </w:p>
        </w:tc>
        <w:tc>
          <w:tcPr>
            <w:tcW w:w="8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(3,167)</w:t>
            </w:r>
          </w:p>
        </w:tc>
        <w:tc>
          <w:tcPr>
            <w:tcW w:w="28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(3,167)</w:t>
            </w:r>
          </w:p>
        </w:tc>
        <w:tc>
          <w:tcPr>
            <w:tcW w:w="0" w:type="dxa"/>
            <w:vAlign w:val="bottom"/>
          </w:tcPr>
          <w:p>
            <w:pPr>
              <w:spacing w:after="0"/>
              <w:rPr>
                <w:sz w:val="1"/>
                <w:szCs w:val="1"/>
                <w:color w:val="auto"/>
              </w:rPr>
            </w:pPr>
          </w:p>
        </w:tc>
      </w:tr>
      <w:tr>
        <w:trPr>
          <w:trHeight w:val="20"/>
        </w:trPr>
        <w:tc>
          <w:tcPr>
            <w:tcW w:w="6020" w:type="dxa"/>
            <w:vAlign w:val="bottom"/>
            <w:vMerge w:val="restart"/>
          </w:tcPr>
          <w:p>
            <w:pPr>
              <w:spacing w:after="0"/>
              <w:rPr>
                <w:sz w:val="20"/>
                <w:szCs w:val="20"/>
                <w:color w:val="auto"/>
              </w:rPr>
            </w:pPr>
            <w:r>
              <w:rPr>
                <w:rFonts w:ascii="Arial" w:cs="Arial" w:eastAsia="Arial" w:hAnsi="Arial"/>
                <w:sz w:val="18"/>
                <w:szCs w:val="18"/>
                <w:b w:val="1"/>
                <w:bCs w:val="1"/>
                <w:color w:val="auto"/>
              </w:rPr>
              <w:t>Balance, November 26, 2005 as restated</w:t>
            </w: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6020" w:type="dxa"/>
            <w:vAlign w:val="bottom"/>
            <w:vMerge w:val="continue"/>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86"/>
              </w:rPr>
              <w:t>11,804,458</w:t>
            </w:r>
          </w:p>
        </w:tc>
        <w:tc>
          <w:tcPr>
            <w:tcW w:w="100" w:type="dxa"/>
            <w:vAlign w:val="bottom"/>
          </w:tcPr>
          <w:p>
            <w:pPr>
              <w:spacing w:after="0"/>
              <w:rPr>
                <w:sz w:val="19"/>
                <w:szCs w:val="19"/>
                <w:color w:val="auto"/>
              </w:rPr>
            </w:pPr>
          </w:p>
        </w:tc>
        <w:tc>
          <w:tcPr>
            <w:tcW w:w="780" w:type="dxa"/>
            <w:vAlign w:val="bottom"/>
            <w:gridSpan w:val="3"/>
          </w:tcPr>
          <w:p>
            <w:pPr>
              <w:jc w:val="right"/>
              <w:ind w:right="10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59,022</w:t>
            </w:r>
          </w:p>
        </w:tc>
        <w:tc>
          <w:tcPr>
            <w:tcW w:w="2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220"/>
              <w:spacing w:after="0"/>
              <w:rPr>
                <w:sz w:val="20"/>
                <w:szCs w:val="20"/>
                <w:color w:val="auto"/>
              </w:rPr>
            </w:pPr>
            <w:r>
              <w:rPr>
                <w:rFonts w:ascii="Arial" w:cs="Arial" w:eastAsia="Arial" w:hAnsi="Arial"/>
                <w:sz w:val="18"/>
                <w:szCs w:val="18"/>
                <w:color w:val="auto"/>
                <w:w w:val="97"/>
              </w:rPr>
              <w:t>2,068</w:t>
            </w:r>
          </w:p>
        </w:tc>
        <w:tc>
          <w:tcPr>
            <w:tcW w:w="660" w:type="dxa"/>
            <w:vAlign w:val="bottom"/>
          </w:tcPr>
          <w:p>
            <w:pPr>
              <w:jc w:val="right"/>
              <w:spacing w:after="0"/>
              <w:rPr>
                <w:sz w:val="20"/>
                <w:szCs w:val="20"/>
                <w:color w:val="auto"/>
              </w:rPr>
            </w:pPr>
            <w:r>
              <w:rPr>
                <w:rFonts w:ascii="Arial" w:cs="Arial" w:eastAsia="Arial" w:hAnsi="Arial"/>
                <w:sz w:val="18"/>
                <w:szCs w:val="18"/>
                <w:u w:val="single" w:color="auto"/>
                <w:color w:val="auto"/>
                <w:w w:val="85"/>
              </w:rPr>
              <w:t>$</w:t>
            </w:r>
            <w:r>
              <w:rPr>
                <w:rFonts w:ascii="Arial" w:cs="Arial" w:eastAsia="Arial" w:hAnsi="Arial"/>
                <w:sz w:val="18"/>
                <w:szCs w:val="18"/>
                <w:color w:val="auto"/>
                <w:w w:val="85"/>
              </w:rPr>
              <w:t>155,555</w:t>
            </w:r>
          </w:p>
        </w:tc>
        <w:tc>
          <w:tcPr>
            <w:tcW w:w="280" w:type="dxa"/>
            <w:vAlign w:val="bottom"/>
          </w:tcPr>
          <w:p>
            <w:pPr>
              <w:spacing w:after="0"/>
              <w:rPr>
                <w:sz w:val="19"/>
                <w:szCs w:val="19"/>
                <w:color w:val="auto"/>
              </w:rPr>
            </w:pPr>
          </w:p>
        </w:tc>
        <w:tc>
          <w:tcPr>
            <w:tcW w:w="280" w:type="dxa"/>
            <w:vAlign w:val="bottom"/>
          </w:tcPr>
          <w:p>
            <w:pPr>
              <w:jc w:val="right"/>
              <w:ind w:right="123"/>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2,652</w:t>
            </w:r>
          </w:p>
        </w:tc>
        <w:tc>
          <w:tcPr>
            <w:tcW w:w="90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219,297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020" w:type="dxa"/>
            <w:vAlign w:val="bottom"/>
            <w:vMerge w:val="restart"/>
          </w:tcPr>
          <w:p>
            <w:pPr>
              <w:ind w:left="5500"/>
              <w:spacing w:after="0"/>
              <w:rPr>
                <w:sz w:val="20"/>
                <w:szCs w:val="20"/>
                <w:color w:val="auto"/>
              </w:rPr>
            </w:pPr>
            <w:r>
              <w:rPr>
                <w:rFonts w:ascii="Arial" w:cs="Arial" w:eastAsia="Arial" w:hAnsi="Arial"/>
                <w:sz w:val="18"/>
                <w:szCs w:val="18"/>
                <w:color w:val="auto"/>
              </w:rPr>
              <w:t>F - 23</w:t>
            </w: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6020" w:type="dxa"/>
            <w:vAlign w:val="bottom"/>
            <w:vMerge w:val="continue"/>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type w:val="continuous"/>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2005 Consolidated Statement of Cash Flows (Restated)</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69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78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rPr>
              <w:t>For the year ended November 26, 2005</w:t>
            </w:r>
          </w:p>
        </w:tc>
        <w:tc>
          <w:tcPr>
            <w:tcW w:w="56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6940" w:type="dxa"/>
            <w:vAlign w:val="bottom"/>
          </w:tcPr>
          <w:p>
            <w:pPr>
              <w:spacing w:after="0"/>
              <w:rPr>
                <w:sz w:val="11"/>
                <w:szCs w:val="11"/>
                <w:color w:val="auto"/>
              </w:rPr>
            </w:pPr>
          </w:p>
        </w:tc>
        <w:tc>
          <w:tcPr>
            <w:tcW w:w="1340" w:type="dxa"/>
            <w:vAlign w:val="bottom"/>
            <w:gridSpan w:val="3"/>
          </w:tcPr>
          <w:p>
            <w:pPr>
              <w:spacing w:after="0" w:line="129" w:lineRule="exact"/>
              <w:rPr>
                <w:sz w:val="20"/>
                <w:szCs w:val="20"/>
                <w:color w:val="auto"/>
              </w:rPr>
            </w:pPr>
            <w:r>
              <w:rPr>
                <w:rFonts w:ascii="Arial" w:cs="Arial" w:eastAsia="Arial" w:hAnsi="Arial"/>
                <w:sz w:val="14"/>
                <w:szCs w:val="14"/>
                <w:b w:val="1"/>
                <w:bCs w:val="1"/>
                <w:color w:val="auto"/>
              </w:rPr>
              <w:t>As previously</w:t>
            </w:r>
          </w:p>
        </w:tc>
        <w:tc>
          <w:tcPr>
            <w:tcW w:w="1460" w:type="dxa"/>
            <w:vAlign w:val="bottom"/>
            <w:gridSpan w:val="3"/>
          </w:tcPr>
          <w:p>
            <w:pPr>
              <w:spacing w:after="0" w:line="129" w:lineRule="exact"/>
              <w:rPr>
                <w:sz w:val="20"/>
                <w:szCs w:val="20"/>
                <w:color w:val="auto"/>
              </w:rPr>
            </w:pPr>
            <w:r>
              <w:rPr>
                <w:rFonts w:ascii="Arial" w:cs="Arial" w:eastAsia="Arial" w:hAnsi="Arial"/>
                <w:sz w:val="14"/>
                <w:szCs w:val="14"/>
                <w:b w:val="1"/>
                <w:bCs w:val="1"/>
                <w:color w:val="auto"/>
              </w:rPr>
              <w:t>Restatement</w:t>
            </w: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r>
      <w:tr>
        <w:trPr>
          <w:trHeight w:val="175"/>
        </w:trPr>
        <w:tc>
          <w:tcPr>
            <w:tcW w:w="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69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20" w:type="dxa"/>
            <w:vAlign w:val="bottom"/>
            <w:gridSpan w:val="2"/>
          </w:tcPr>
          <w:p>
            <w:pPr>
              <w:jc w:val="right"/>
              <w:ind w:right="680"/>
              <w:spacing w:after="0"/>
              <w:rPr>
                <w:sz w:val="20"/>
                <w:szCs w:val="20"/>
                <w:color w:val="auto"/>
              </w:rPr>
            </w:pPr>
            <w:r>
              <w:rPr>
                <w:rFonts w:ascii="Arial" w:cs="Arial" w:eastAsia="Arial" w:hAnsi="Arial"/>
                <w:sz w:val="14"/>
                <w:szCs w:val="14"/>
                <w:b w:val="1"/>
                <w:bCs w:val="1"/>
                <w:color w:val="auto"/>
                <w:w w:val="91"/>
              </w:rPr>
              <w:t>reported</w:t>
            </w:r>
          </w:p>
        </w:tc>
        <w:tc>
          <w:tcPr>
            <w:tcW w:w="1460" w:type="dxa"/>
            <w:vAlign w:val="bottom"/>
            <w:gridSpan w:val="3"/>
          </w:tcPr>
          <w:p>
            <w:pPr>
              <w:spacing w:after="0"/>
              <w:rPr>
                <w:sz w:val="20"/>
                <w:szCs w:val="20"/>
                <w:color w:val="auto"/>
              </w:rPr>
            </w:pPr>
            <w:r>
              <w:rPr>
                <w:rFonts w:ascii="Arial" w:cs="Arial" w:eastAsia="Arial" w:hAnsi="Arial"/>
                <w:sz w:val="14"/>
                <w:szCs w:val="14"/>
                <w:b w:val="1"/>
                <w:bCs w:val="1"/>
                <w:color w:val="auto"/>
              </w:rPr>
              <w:t>Adjustments</w:t>
            </w:r>
          </w:p>
        </w:tc>
        <w:tc>
          <w:tcPr>
            <w:tcW w:w="720" w:type="dxa"/>
            <w:vAlign w:val="bottom"/>
            <w:gridSpan w:val="3"/>
          </w:tcPr>
          <w:p>
            <w:pPr>
              <w:jc w:val="right"/>
              <w:ind w:right="140"/>
              <w:spacing w:after="0"/>
              <w:rPr>
                <w:sz w:val="20"/>
                <w:szCs w:val="20"/>
                <w:color w:val="auto"/>
              </w:rPr>
            </w:pPr>
            <w:r>
              <w:rPr>
                <w:rFonts w:ascii="Arial" w:cs="Arial" w:eastAsia="Arial" w:hAnsi="Arial"/>
                <w:sz w:val="14"/>
                <w:szCs w:val="14"/>
                <w:b w:val="1"/>
                <w:bCs w:val="1"/>
                <w:color w:val="auto"/>
                <w:w w:val="94"/>
              </w:rPr>
              <w:t>Restated</w:t>
            </w:r>
          </w:p>
        </w:tc>
      </w:tr>
      <w:tr>
        <w:trPr>
          <w:trHeight w:val="210"/>
        </w:trPr>
        <w:tc>
          <w:tcPr>
            <w:tcW w:w="20" w:type="dxa"/>
            <w:vAlign w:val="bottom"/>
          </w:tcPr>
          <w:p>
            <w:pPr>
              <w:spacing w:after="0"/>
              <w:rPr>
                <w:sz w:val="18"/>
                <w:szCs w:val="18"/>
                <w:color w:val="auto"/>
              </w:rPr>
            </w:pPr>
          </w:p>
        </w:tc>
        <w:tc>
          <w:tcPr>
            <w:tcW w:w="78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12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8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7,563</w:t>
            </w:r>
          </w:p>
        </w:tc>
        <w:tc>
          <w:tcPr>
            <w:tcW w:w="540" w:type="dxa"/>
            <w:vAlign w:val="bottom"/>
          </w:tcPr>
          <w:p>
            <w:pPr>
              <w:spacing w:after="0"/>
              <w:rPr>
                <w:sz w:val="18"/>
                <w:szCs w:val="18"/>
                <w:color w:val="auto"/>
              </w:rPr>
            </w:pP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2,251</w:t>
            </w:r>
          </w:p>
        </w:tc>
        <w:tc>
          <w:tcPr>
            <w:tcW w:w="7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9,814</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(used in) operating activities:</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80" w:type="dxa"/>
            <w:vAlign w:val="bottom"/>
            <w:gridSpan w:val="2"/>
          </w:tcPr>
          <w:p>
            <w:pPr>
              <w:ind w:left="420"/>
              <w:spacing w:after="0"/>
              <w:rPr>
                <w:sz w:val="20"/>
                <w:szCs w:val="20"/>
                <w:color w:val="auto"/>
              </w:rPr>
            </w:pPr>
            <w:r>
              <w:rPr>
                <w:rFonts w:ascii="Arial" w:cs="Arial" w:eastAsia="Arial" w:hAnsi="Arial"/>
                <w:sz w:val="18"/>
                <w:szCs w:val="18"/>
                <w:color w:val="auto"/>
              </w:rPr>
              <w:t>Depreciation and amortization</w:t>
            </w: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9,674</w:t>
            </w:r>
          </w:p>
        </w:tc>
        <w:tc>
          <w:tcPr>
            <w:tcW w:w="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9,674</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Equity in undistributed income of investments and unconsolidated affiliated companies</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(11,011)</w:t>
            </w: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(11,011)</w:t>
            </w:r>
          </w:p>
        </w:tc>
      </w:tr>
      <w:tr>
        <w:trPr>
          <w:trHeight w:val="216"/>
        </w:trPr>
        <w:tc>
          <w:tcPr>
            <w:tcW w:w="20" w:type="dxa"/>
            <w:vAlign w:val="bottom"/>
          </w:tcPr>
          <w:p>
            <w:pPr>
              <w:spacing w:after="0"/>
              <w:rPr>
                <w:sz w:val="18"/>
                <w:szCs w:val="18"/>
                <w:color w:val="auto"/>
              </w:rPr>
            </w:pPr>
          </w:p>
        </w:tc>
        <w:tc>
          <w:tcPr>
            <w:tcW w:w="7880" w:type="dxa"/>
            <w:vAlign w:val="bottom"/>
            <w:gridSpan w:val="2"/>
          </w:tcPr>
          <w:p>
            <w:pPr>
              <w:ind w:left="420"/>
              <w:spacing w:after="0"/>
              <w:rPr>
                <w:sz w:val="20"/>
                <w:szCs w:val="20"/>
                <w:color w:val="auto"/>
              </w:rPr>
            </w:pPr>
            <w:r>
              <w:rPr>
                <w:rFonts w:ascii="Arial" w:cs="Arial" w:eastAsia="Arial" w:hAnsi="Arial"/>
                <w:sz w:val="18"/>
                <w:szCs w:val="18"/>
                <w:color w:val="auto"/>
              </w:rPr>
              <w:t>Provision for write-down of impaired assets</w:t>
            </w: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5,124</w:t>
            </w:r>
          </w:p>
        </w:tc>
        <w:tc>
          <w:tcPr>
            <w:tcW w:w="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gridSpan w:val="2"/>
          </w:tcPr>
          <w:p>
            <w:pPr>
              <w:jc w:val="right"/>
              <w:ind w:right="480"/>
              <w:spacing w:after="0"/>
              <w:rPr>
                <w:sz w:val="20"/>
                <w:szCs w:val="20"/>
                <w:color w:val="auto"/>
              </w:rPr>
            </w:pPr>
            <w:r>
              <w:rPr>
                <w:rFonts w:ascii="Arial" w:cs="Arial" w:eastAsia="Arial" w:hAnsi="Arial"/>
                <w:sz w:val="18"/>
                <w:szCs w:val="18"/>
                <w:color w:val="auto"/>
                <w:w w:val="98"/>
              </w:rPr>
              <w:t>(4,204)(a)</w:t>
            </w: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920</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Provision for losses on trade accounts receivable</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2,603</w:t>
            </w:r>
          </w:p>
        </w:tc>
        <w:tc>
          <w:tcPr>
            <w:tcW w:w="5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2,603</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80" w:type="dxa"/>
            <w:vAlign w:val="bottom"/>
            <w:gridSpan w:val="2"/>
          </w:tcPr>
          <w:p>
            <w:pPr>
              <w:ind w:left="420"/>
              <w:spacing w:after="0"/>
              <w:rPr>
                <w:sz w:val="20"/>
                <w:szCs w:val="20"/>
                <w:color w:val="auto"/>
              </w:rPr>
            </w:pPr>
            <w:r>
              <w:rPr>
                <w:rFonts w:ascii="Arial" w:cs="Arial" w:eastAsia="Arial" w:hAnsi="Arial"/>
                <w:sz w:val="18"/>
                <w:szCs w:val="18"/>
                <w:color w:val="auto"/>
              </w:rPr>
              <w:t>Net gain from sales of investment securities</w:t>
            </w:r>
          </w:p>
        </w:tc>
        <w:tc>
          <w:tcPr>
            <w:tcW w:w="120" w:type="dxa"/>
            <w:vAlign w:val="bottom"/>
          </w:tcPr>
          <w:p>
            <w:pPr>
              <w:spacing w:after="0"/>
              <w:rPr>
                <w:sz w:val="18"/>
                <w:szCs w:val="18"/>
                <w:color w:val="auto"/>
              </w:rPr>
            </w:pPr>
          </w:p>
        </w:tc>
        <w:tc>
          <w:tcPr>
            <w:tcW w:w="1220" w:type="dxa"/>
            <w:vAlign w:val="bottom"/>
            <w:gridSpan w:val="2"/>
          </w:tcPr>
          <w:p>
            <w:pPr>
              <w:jc w:val="right"/>
              <w:ind w:right="480"/>
              <w:spacing w:after="0"/>
              <w:rPr>
                <w:sz w:val="20"/>
                <w:szCs w:val="20"/>
                <w:color w:val="auto"/>
              </w:rPr>
            </w:pPr>
            <w:r>
              <w:rPr>
                <w:rFonts w:ascii="Arial" w:cs="Arial" w:eastAsia="Arial" w:hAnsi="Arial"/>
                <w:sz w:val="18"/>
                <w:szCs w:val="18"/>
                <w:color w:val="auto"/>
              </w:rPr>
              <w:t>(1,379)</w:t>
            </w: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(1,379)</w:t>
            </w:r>
          </w:p>
        </w:tc>
      </w:tr>
      <w:tr>
        <w:trPr>
          <w:trHeight w:val="216"/>
        </w:trPr>
        <w:tc>
          <w:tcPr>
            <w:tcW w:w="20" w:type="dxa"/>
            <w:vAlign w:val="bottom"/>
          </w:tcPr>
          <w:p>
            <w:pPr>
              <w:spacing w:after="0"/>
              <w:rPr>
                <w:sz w:val="18"/>
                <w:szCs w:val="18"/>
                <w:color w:val="auto"/>
              </w:rPr>
            </w:pPr>
          </w:p>
        </w:tc>
        <w:tc>
          <w:tcPr>
            <w:tcW w:w="7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Deferred income taxes</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(1,440)</w:t>
            </w:r>
          </w:p>
        </w:tc>
        <w:tc>
          <w:tcPr>
            <w:tcW w:w="1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1,500(b)</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80" w:type="dxa"/>
            <w:vAlign w:val="bottom"/>
            <w:gridSpan w:val="2"/>
          </w:tcPr>
          <w:p>
            <w:pPr>
              <w:ind w:left="420"/>
              <w:spacing w:after="0"/>
              <w:rPr>
                <w:sz w:val="20"/>
                <w:szCs w:val="20"/>
                <w:color w:val="auto"/>
              </w:rPr>
            </w:pPr>
            <w:r>
              <w:rPr>
                <w:rFonts w:ascii="Arial" w:cs="Arial" w:eastAsia="Arial" w:hAnsi="Arial"/>
                <w:sz w:val="18"/>
                <w:szCs w:val="18"/>
                <w:color w:val="auto"/>
              </w:rPr>
              <w:t>Changes in post employment benefit obligations</w:t>
            </w:r>
          </w:p>
        </w:tc>
        <w:tc>
          <w:tcPr>
            <w:tcW w:w="120" w:type="dxa"/>
            <w:vAlign w:val="bottom"/>
          </w:tcPr>
          <w:p>
            <w:pPr>
              <w:spacing w:after="0"/>
              <w:rPr>
                <w:sz w:val="18"/>
                <w:szCs w:val="18"/>
                <w:color w:val="auto"/>
              </w:rPr>
            </w:pPr>
          </w:p>
        </w:tc>
        <w:tc>
          <w:tcPr>
            <w:tcW w:w="1220" w:type="dxa"/>
            <w:vAlign w:val="bottom"/>
            <w:gridSpan w:val="2"/>
          </w:tcPr>
          <w:p>
            <w:pPr>
              <w:jc w:val="right"/>
              <w:ind w:right="480"/>
              <w:spacing w:after="0"/>
              <w:rPr>
                <w:sz w:val="20"/>
                <w:szCs w:val="20"/>
                <w:color w:val="auto"/>
              </w:rPr>
            </w:pPr>
            <w:r>
              <w:rPr>
                <w:rFonts w:ascii="Arial" w:cs="Arial" w:eastAsia="Arial" w:hAnsi="Arial"/>
                <w:sz w:val="18"/>
                <w:szCs w:val="18"/>
                <w:color w:val="auto"/>
              </w:rPr>
              <w:t>(215)</w:t>
            </w: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(215)</w:t>
            </w:r>
          </w:p>
        </w:tc>
      </w:tr>
      <w:tr>
        <w:trPr>
          <w:trHeight w:val="216"/>
        </w:trPr>
        <w:tc>
          <w:tcPr>
            <w:tcW w:w="20" w:type="dxa"/>
            <w:vAlign w:val="bottom"/>
          </w:tcPr>
          <w:p>
            <w:pPr>
              <w:spacing w:after="0"/>
              <w:rPr>
                <w:sz w:val="18"/>
                <w:szCs w:val="18"/>
                <w:color w:val="auto"/>
              </w:rPr>
            </w:pPr>
          </w:p>
        </w:tc>
        <w:tc>
          <w:tcPr>
            <w:tcW w:w="7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Cash received from licensee notes for operating activities</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23(c)</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60" w:type="dxa"/>
            <w:vAlign w:val="bottom"/>
            <w:shd w:val="clear" w:color="auto" w:fill="CCEEFF"/>
          </w:tcPr>
          <w:p>
            <w:pPr>
              <w:spacing w:after="0"/>
              <w:rPr>
                <w:sz w:val="18"/>
                <w:szCs w:val="18"/>
                <w:color w:val="auto"/>
              </w:rPr>
            </w:pPr>
          </w:p>
        </w:tc>
      </w:tr>
      <w:tr>
        <w:trPr>
          <w:trHeight w:val="208"/>
        </w:trPr>
        <w:tc>
          <w:tcPr>
            <w:tcW w:w="20" w:type="dxa"/>
            <w:vAlign w:val="bottom"/>
          </w:tcPr>
          <w:p>
            <w:pPr>
              <w:spacing w:after="0"/>
              <w:rPr>
                <w:sz w:val="18"/>
                <w:szCs w:val="18"/>
                <w:color w:val="auto"/>
              </w:rPr>
            </w:pPr>
          </w:p>
        </w:tc>
        <w:tc>
          <w:tcPr>
            <w:tcW w:w="7880" w:type="dxa"/>
            <w:vAlign w:val="bottom"/>
            <w:gridSpan w:val="2"/>
          </w:tcPr>
          <w:p>
            <w:pPr>
              <w:ind w:left="420"/>
              <w:spacing w:after="0"/>
              <w:rPr>
                <w:sz w:val="20"/>
                <w:szCs w:val="20"/>
                <w:color w:val="auto"/>
              </w:rPr>
            </w:pPr>
            <w:r>
              <w:rPr>
                <w:rFonts w:ascii="Arial" w:cs="Arial" w:eastAsia="Arial" w:hAnsi="Arial"/>
                <w:sz w:val="18"/>
                <w:szCs w:val="18"/>
                <w:color w:val="auto"/>
                <w:w w:val="94"/>
              </w:rPr>
              <w:t>Changes in operating assets and liabilities, exclusive of assets and liabilities impacted by business</w:t>
            </w: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7880" w:type="dxa"/>
            <w:vAlign w:val="bottom"/>
            <w:gridSpan w:val="2"/>
          </w:tcPr>
          <w:p>
            <w:pPr>
              <w:ind w:left="640"/>
              <w:spacing w:after="0"/>
              <w:rPr>
                <w:sz w:val="20"/>
                <w:szCs w:val="20"/>
                <w:color w:val="auto"/>
              </w:rPr>
            </w:pPr>
            <w:r>
              <w:rPr>
                <w:rFonts w:ascii="Arial" w:cs="Arial" w:eastAsia="Arial" w:hAnsi="Arial"/>
                <w:sz w:val="18"/>
                <w:szCs w:val="18"/>
                <w:color w:val="auto"/>
              </w:rPr>
              <w:t>combinations:</w:t>
            </w: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0" w:type="dxa"/>
            <w:vAlign w:val="bottom"/>
          </w:tcPr>
          <w:p>
            <w:pPr>
              <w:spacing w:after="0"/>
              <w:rPr>
                <w:sz w:val="19"/>
                <w:szCs w:val="19"/>
                <w:color w:val="auto"/>
              </w:rPr>
            </w:pPr>
          </w:p>
        </w:tc>
      </w:tr>
      <w:tr>
        <w:trPr>
          <w:trHeight w:val="217"/>
        </w:trPr>
        <w:tc>
          <w:tcPr>
            <w:tcW w:w="20" w:type="dxa"/>
            <w:vAlign w:val="bottom"/>
          </w:tcPr>
          <w:p>
            <w:pPr>
              <w:spacing w:after="0"/>
              <w:rPr>
                <w:sz w:val="18"/>
                <w:szCs w:val="18"/>
                <w:color w:val="auto"/>
              </w:rPr>
            </w:pPr>
          </w:p>
        </w:tc>
        <w:tc>
          <w:tcPr>
            <w:tcW w:w="788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Accounts receivable</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(7,666)</w:t>
            </w: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(7,666)</w:t>
            </w:r>
          </w:p>
        </w:tc>
      </w:tr>
      <w:tr>
        <w:trPr>
          <w:trHeight w:val="216"/>
        </w:trPr>
        <w:tc>
          <w:tcPr>
            <w:tcW w:w="20" w:type="dxa"/>
            <w:vAlign w:val="bottom"/>
          </w:tcPr>
          <w:p>
            <w:pPr>
              <w:spacing w:after="0"/>
              <w:rPr>
                <w:sz w:val="18"/>
                <w:szCs w:val="18"/>
                <w:color w:val="auto"/>
              </w:rPr>
            </w:pPr>
          </w:p>
        </w:tc>
        <w:tc>
          <w:tcPr>
            <w:tcW w:w="7880" w:type="dxa"/>
            <w:vAlign w:val="bottom"/>
            <w:gridSpan w:val="2"/>
          </w:tcPr>
          <w:p>
            <w:pPr>
              <w:ind w:left="860"/>
              <w:spacing w:after="0"/>
              <w:rPr>
                <w:sz w:val="20"/>
                <w:szCs w:val="20"/>
                <w:color w:val="auto"/>
              </w:rPr>
            </w:pPr>
            <w:r>
              <w:rPr>
                <w:rFonts w:ascii="Arial" w:cs="Arial" w:eastAsia="Arial" w:hAnsi="Arial"/>
                <w:sz w:val="18"/>
                <w:szCs w:val="18"/>
                <w:color w:val="auto"/>
              </w:rPr>
              <w:t>Inventories</w:t>
            </w: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4,172</w:t>
            </w:r>
          </w:p>
        </w:tc>
        <w:tc>
          <w:tcPr>
            <w:tcW w:w="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gridSpan w:val="2"/>
          </w:tcPr>
          <w:p>
            <w:pPr>
              <w:jc w:val="right"/>
              <w:ind w:right="520"/>
              <w:spacing w:after="0"/>
              <w:rPr>
                <w:sz w:val="20"/>
                <w:szCs w:val="20"/>
                <w:color w:val="auto"/>
              </w:rPr>
            </w:pPr>
            <w:r>
              <w:rPr>
                <w:rFonts w:ascii="Arial" w:cs="Arial" w:eastAsia="Arial" w:hAnsi="Arial"/>
                <w:sz w:val="18"/>
                <w:szCs w:val="18"/>
                <w:color w:val="auto"/>
              </w:rPr>
              <w:t>453(d)</w:t>
            </w: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4,625</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8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Other current assets</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587</w:t>
            </w:r>
          </w:p>
        </w:tc>
        <w:tc>
          <w:tcPr>
            <w:tcW w:w="5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587</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80" w:type="dxa"/>
            <w:vAlign w:val="bottom"/>
            <w:gridSpan w:val="2"/>
          </w:tcPr>
          <w:p>
            <w:pPr>
              <w:ind w:left="860"/>
              <w:spacing w:after="0"/>
              <w:rPr>
                <w:sz w:val="20"/>
                <w:szCs w:val="20"/>
                <w:color w:val="auto"/>
              </w:rPr>
            </w:pPr>
            <w:r>
              <w:rPr>
                <w:rFonts w:ascii="Arial" w:cs="Arial" w:eastAsia="Arial" w:hAnsi="Arial"/>
                <w:sz w:val="18"/>
                <w:szCs w:val="18"/>
                <w:color w:val="auto"/>
              </w:rPr>
              <w:t>Notes receivable, net</w:t>
            </w: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851</w:t>
            </w:r>
          </w:p>
        </w:tc>
        <w:tc>
          <w:tcPr>
            <w:tcW w:w="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gridSpan w:val="2"/>
          </w:tcPr>
          <w:p>
            <w:pPr>
              <w:jc w:val="right"/>
              <w:ind w:right="480"/>
              <w:spacing w:after="0"/>
              <w:rPr>
                <w:sz w:val="20"/>
                <w:szCs w:val="20"/>
                <w:color w:val="auto"/>
              </w:rPr>
            </w:pPr>
            <w:r>
              <w:rPr>
                <w:rFonts w:ascii="Arial" w:cs="Arial" w:eastAsia="Arial" w:hAnsi="Arial"/>
                <w:sz w:val="18"/>
                <w:szCs w:val="18"/>
                <w:color w:val="auto"/>
              </w:rPr>
              <w:t>(851)(c)</w:t>
            </w:r>
          </w:p>
        </w:tc>
        <w:tc>
          <w:tcPr>
            <w:tcW w:w="100" w:type="dxa"/>
            <w:vAlign w:val="bottom"/>
          </w:tcPr>
          <w:p>
            <w:pPr>
              <w:spacing w:after="0"/>
              <w:rPr>
                <w:sz w:val="18"/>
                <w:szCs w:val="18"/>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88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Accounts payable and accrued liabilities</w:t>
            </w: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3,232</w:t>
            </w:r>
          </w:p>
        </w:tc>
        <w:tc>
          <w:tcPr>
            <w:tcW w:w="54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3,232</w:t>
            </w:r>
          </w:p>
        </w:tc>
        <w:tc>
          <w:tcPr>
            <w:tcW w:w="60" w:type="dxa"/>
            <w:vAlign w:val="bottom"/>
            <w:shd w:val="clear" w:color="auto" w:fill="CCEEFF"/>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6940" w:type="dxa"/>
            <w:vAlign w:val="bottom"/>
          </w:tcPr>
          <w:p>
            <w:pPr>
              <w:ind w:left="340"/>
              <w:spacing w:after="0"/>
              <w:rPr>
                <w:sz w:val="20"/>
                <w:szCs w:val="20"/>
                <w:color w:val="auto"/>
              </w:rPr>
            </w:pPr>
            <w:r>
              <w:rPr>
                <w:rFonts w:ascii="Arial" w:cs="Arial" w:eastAsia="Arial" w:hAnsi="Arial"/>
                <w:sz w:val="18"/>
                <w:szCs w:val="18"/>
                <w:b w:val="1"/>
                <w:bCs w:val="1"/>
                <w:color w:val="auto"/>
              </w:rPr>
              <w:t>Net Cash Provided By (Used In) Operating Activities</w:t>
            </w:r>
          </w:p>
        </w:tc>
        <w:tc>
          <w:tcPr>
            <w:tcW w:w="12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12,095</w:t>
            </w:r>
          </w:p>
        </w:tc>
        <w:tc>
          <w:tcPr>
            <w:tcW w:w="5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gridSpan w:val="2"/>
          </w:tcPr>
          <w:p>
            <w:pPr>
              <w:jc w:val="right"/>
              <w:ind w:right="660"/>
              <w:spacing w:after="0"/>
              <w:rPr>
                <w:sz w:val="20"/>
                <w:szCs w:val="20"/>
                <w:color w:val="auto"/>
              </w:rPr>
            </w:pPr>
            <w:r>
              <w:rPr>
                <w:rFonts w:ascii="Arial" w:cs="Arial" w:eastAsia="Arial" w:hAnsi="Arial"/>
                <w:sz w:val="18"/>
                <w:szCs w:val="18"/>
                <w:color w:val="auto"/>
              </w:rPr>
              <w:t>(828)</w:t>
            </w:r>
          </w:p>
        </w:tc>
        <w:tc>
          <w:tcPr>
            <w:tcW w:w="100" w:type="dxa"/>
            <w:vAlign w:val="bottom"/>
          </w:tcPr>
          <w:p>
            <w:pPr>
              <w:spacing w:after="0"/>
              <w:rPr>
                <w:sz w:val="20"/>
                <w:szCs w:val="20"/>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98"/>
              </w:rPr>
              <w:t>11,267</w:t>
            </w:r>
          </w:p>
        </w:tc>
        <w:tc>
          <w:tcPr>
            <w:tcW w:w="6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78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Investing Activities</w:t>
            </w:r>
          </w:p>
        </w:tc>
        <w:tc>
          <w:tcPr>
            <w:tcW w:w="12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80" w:type="dxa"/>
            <w:vAlign w:val="bottom"/>
            <w:gridSpan w:val="2"/>
          </w:tcPr>
          <w:p>
            <w:pPr>
              <w:spacing w:after="0"/>
              <w:rPr>
                <w:sz w:val="20"/>
                <w:szCs w:val="20"/>
                <w:color w:val="auto"/>
              </w:rPr>
            </w:pPr>
            <w:r>
              <w:rPr>
                <w:rFonts w:ascii="Arial" w:cs="Arial" w:eastAsia="Arial" w:hAnsi="Arial"/>
                <w:sz w:val="18"/>
                <w:szCs w:val="18"/>
                <w:color w:val="auto"/>
              </w:rPr>
              <w:t>Purchases of property and equipment</w:t>
            </w:r>
          </w:p>
        </w:tc>
        <w:tc>
          <w:tcPr>
            <w:tcW w:w="120" w:type="dxa"/>
            <w:vAlign w:val="bottom"/>
          </w:tcPr>
          <w:p>
            <w:pPr>
              <w:spacing w:after="0"/>
              <w:rPr>
                <w:sz w:val="18"/>
                <w:szCs w:val="18"/>
                <w:color w:val="auto"/>
              </w:rPr>
            </w:pPr>
          </w:p>
        </w:tc>
        <w:tc>
          <w:tcPr>
            <w:tcW w:w="1220" w:type="dxa"/>
            <w:vAlign w:val="bottom"/>
            <w:gridSpan w:val="2"/>
          </w:tcPr>
          <w:p>
            <w:pPr>
              <w:jc w:val="right"/>
              <w:ind w:right="480"/>
              <w:spacing w:after="0"/>
              <w:rPr>
                <w:sz w:val="20"/>
                <w:szCs w:val="20"/>
                <w:color w:val="auto"/>
              </w:rPr>
            </w:pPr>
            <w:r>
              <w:rPr>
                <w:rFonts w:ascii="Arial" w:cs="Arial" w:eastAsia="Arial" w:hAnsi="Arial"/>
                <w:sz w:val="18"/>
                <w:szCs w:val="18"/>
                <w:color w:val="auto"/>
              </w:rPr>
              <w:t>(4,804)</w:t>
            </w: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(4,804)</w:t>
            </w:r>
          </w:p>
        </w:tc>
      </w:tr>
      <w:tr>
        <w:trPr>
          <w:trHeight w:val="216"/>
        </w:trPr>
        <w:tc>
          <w:tcPr>
            <w:tcW w:w="20" w:type="dxa"/>
            <w:vAlign w:val="bottom"/>
          </w:tcPr>
          <w:p>
            <w:pPr>
              <w:spacing w:after="0"/>
              <w:rPr>
                <w:sz w:val="18"/>
                <w:szCs w:val="18"/>
                <w:color w:val="auto"/>
              </w:rPr>
            </w:pPr>
          </w:p>
        </w:tc>
        <w:tc>
          <w:tcPr>
            <w:tcW w:w="7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Purchases of retail real estate</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(6,286)</w:t>
            </w: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(6,286)</w:t>
            </w:r>
          </w:p>
        </w:tc>
      </w:tr>
      <w:tr>
        <w:trPr>
          <w:trHeight w:val="216"/>
        </w:trPr>
        <w:tc>
          <w:tcPr>
            <w:tcW w:w="20" w:type="dxa"/>
            <w:vAlign w:val="bottom"/>
          </w:tcPr>
          <w:p>
            <w:pPr>
              <w:spacing w:after="0"/>
              <w:rPr>
                <w:sz w:val="18"/>
                <w:szCs w:val="18"/>
                <w:color w:val="auto"/>
              </w:rPr>
            </w:pPr>
          </w:p>
        </w:tc>
        <w:tc>
          <w:tcPr>
            <w:tcW w:w="7880" w:type="dxa"/>
            <w:vAlign w:val="bottom"/>
            <w:gridSpan w:val="2"/>
          </w:tcPr>
          <w:p>
            <w:pPr>
              <w:spacing w:after="0"/>
              <w:rPr>
                <w:sz w:val="20"/>
                <w:szCs w:val="20"/>
                <w:color w:val="auto"/>
              </w:rPr>
            </w:pPr>
            <w:r>
              <w:rPr>
                <w:rFonts w:ascii="Arial" w:cs="Arial" w:eastAsia="Arial" w:hAnsi="Arial"/>
                <w:sz w:val="18"/>
                <w:szCs w:val="18"/>
                <w:color w:val="auto"/>
              </w:rPr>
              <w:t>Proceeds from sales of property and equipment</w:t>
            </w: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1,644</w:t>
            </w:r>
          </w:p>
        </w:tc>
        <w:tc>
          <w:tcPr>
            <w:tcW w:w="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1,644</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Proceeds from sales of investments</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17,454</w:t>
            </w:r>
          </w:p>
        </w:tc>
        <w:tc>
          <w:tcPr>
            <w:tcW w:w="5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17,454</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80" w:type="dxa"/>
            <w:vAlign w:val="bottom"/>
            <w:gridSpan w:val="2"/>
          </w:tcPr>
          <w:p>
            <w:pPr>
              <w:spacing w:after="0"/>
              <w:rPr>
                <w:sz w:val="20"/>
                <w:szCs w:val="20"/>
                <w:color w:val="auto"/>
              </w:rPr>
            </w:pPr>
            <w:r>
              <w:rPr>
                <w:rFonts w:ascii="Arial" w:cs="Arial" w:eastAsia="Arial" w:hAnsi="Arial"/>
                <w:sz w:val="18"/>
                <w:szCs w:val="18"/>
                <w:color w:val="auto"/>
              </w:rPr>
              <w:t>Purchases of investments</w:t>
            </w:r>
          </w:p>
        </w:tc>
        <w:tc>
          <w:tcPr>
            <w:tcW w:w="120" w:type="dxa"/>
            <w:vAlign w:val="bottom"/>
          </w:tcPr>
          <w:p>
            <w:pPr>
              <w:spacing w:after="0"/>
              <w:rPr>
                <w:sz w:val="18"/>
                <w:szCs w:val="18"/>
                <w:color w:val="auto"/>
              </w:rPr>
            </w:pPr>
          </w:p>
        </w:tc>
        <w:tc>
          <w:tcPr>
            <w:tcW w:w="1220" w:type="dxa"/>
            <w:vAlign w:val="bottom"/>
            <w:gridSpan w:val="2"/>
          </w:tcPr>
          <w:p>
            <w:pPr>
              <w:jc w:val="right"/>
              <w:ind w:right="480"/>
              <w:spacing w:after="0"/>
              <w:rPr>
                <w:sz w:val="20"/>
                <w:szCs w:val="20"/>
                <w:color w:val="auto"/>
              </w:rPr>
            </w:pPr>
            <w:r>
              <w:rPr>
                <w:rFonts w:ascii="Arial" w:cs="Arial" w:eastAsia="Arial" w:hAnsi="Arial"/>
                <w:sz w:val="18"/>
                <w:szCs w:val="18"/>
                <w:color w:val="auto"/>
              </w:rPr>
              <w:t>(14,339)</w:t>
            </w: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w w:val="89"/>
              </w:rPr>
              <w:t>(14,339)</w:t>
            </w:r>
          </w:p>
        </w:tc>
      </w:tr>
      <w:tr>
        <w:trPr>
          <w:trHeight w:val="216"/>
        </w:trPr>
        <w:tc>
          <w:tcPr>
            <w:tcW w:w="20" w:type="dxa"/>
            <w:vAlign w:val="bottom"/>
          </w:tcPr>
          <w:p>
            <w:pPr>
              <w:spacing w:after="0"/>
              <w:rPr>
                <w:sz w:val="18"/>
                <w:szCs w:val="18"/>
                <w:color w:val="auto"/>
              </w:rPr>
            </w:pPr>
          </w:p>
        </w:tc>
        <w:tc>
          <w:tcPr>
            <w:tcW w:w="7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Dividends from an affiliate</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5,623</w:t>
            </w:r>
          </w:p>
        </w:tc>
        <w:tc>
          <w:tcPr>
            <w:tcW w:w="5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5,623</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80" w:type="dxa"/>
            <w:vAlign w:val="bottom"/>
            <w:gridSpan w:val="2"/>
          </w:tcPr>
          <w:p>
            <w:pPr>
              <w:spacing w:after="0"/>
              <w:rPr>
                <w:sz w:val="20"/>
                <w:szCs w:val="20"/>
                <w:color w:val="auto"/>
              </w:rPr>
            </w:pPr>
            <w:r>
              <w:rPr>
                <w:rFonts w:ascii="Arial" w:cs="Arial" w:eastAsia="Arial" w:hAnsi="Arial"/>
                <w:sz w:val="18"/>
                <w:szCs w:val="18"/>
                <w:color w:val="auto"/>
              </w:rPr>
              <w:t>Net cash received on licensee notes</w:t>
            </w:r>
          </w:p>
        </w:tc>
        <w:tc>
          <w:tcPr>
            <w:tcW w:w="120" w:type="dxa"/>
            <w:vAlign w:val="bottom"/>
          </w:tcPr>
          <w:p>
            <w:pPr>
              <w:spacing w:after="0"/>
              <w:rPr>
                <w:sz w:val="18"/>
                <w:szCs w:val="18"/>
                <w:color w:val="auto"/>
              </w:rPr>
            </w:pPr>
          </w:p>
        </w:tc>
        <w:tc>
          <w:tcPr>
            <w:tcW w:w="1220" w:type="dxa"/>
            <w:vAlign w:val="bottom"/>
            <w:gridSpan w:val="2"/>
          </w:tcPr>
          <w:p>
            <w:pPr>
              <w:jc w:val="right"/>
              <w:ind w:right="6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80" w:type="dxa"/>
            <w:vAlign w:val="bottom"/>
            <w:gridSpan w:val="2"/>
          </w:tcPr>
          <w:p>
            <w:pPr>
              <w:jc w:val="right"/>
              <w:ind w:right="540"/>
              <w:spacing w:after="0"/>
              <w:rPr>
                <w:sz w:val="20"/>
                <w:szCs w:val="20"/>
                <w:color w:val="auto"/>
              </w:rPr>
            </w:pPr>
            <w:r>
              <w:rPr>
                <w:rFonts w:ascii="Arial" w:cs="Arial" w:eastAsia="Arial" w:hAnsi="Arial"/>
                <w:sz w:val="18"/>
                <w:szCs w:val="18"/>
                <w:color w:val="auto"/>
              </w:rPr>
              <w:t>828(c)</w:t>
            </w: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828</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Acquisition of retail licensee stores, net of cash acquired</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w:t>
            </w:r>
          </w:p>
        </w:tc>
        <w:tc>
          <w:tcPr>
            <w:tcW w:w="5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w:t>
            </w:r>
          </w:p>
        </w:tc>
        <w:tc>
          <w:tcPr>
            <w:tcW w:w="6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7880" w:type="dxa"/>
            <w:vAlign w:val="bottom"/>
            <w:gridSpan w:val="2"/>
          </w:tcPr>
          <w:p>
            <w:pPr>
              <w:spacing w:after="0"/>
              <w:rPr>
                <w:sz w:val="20"/>
                <w:szCs w:val="20"/>
                <w:color w:val="auto"/>
              </w:rPr>
            </w:pPr>
            <w:r>
              <w:rPr>
                <w:rFonts w:ascii="Arial" w:cs="Arial" w:eastAsia="Arial" w:hAnsi="Arial"/>
                <w:sz w:val="18"/>
                <w:szCs w:val="18"/>
                <w:color w:val="auto"/>
              </w:rPr>
              <w:t>Other, net</w:t>
            </w:r>
          </w:p>
        </w:tc>
        <w:tc>
          <w:tcPr>
            <w:tcW w:w="12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761</w:t>
            </w:r>
          </w:p>
        </w:tc>
        <w:tc>
          <w:tcPr>
            <w:tcW w:w="54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7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761</w:t>
            </w:r>
          </w:p>
        </w:tc>
        <w:tc>
          <w:tcPr>
            <w:tcW w:w="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694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rPr>
              <w:t>Net Cash Provided By Investing Activities</w:t>
            </w: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120</w:t>
            </w:r>
          </w:p>
        </w:tc>
        <w:tc>
          <w:tcPr>
            <w:tcW w:w="54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828</w:t>
            </w:r>
          </w:p>
        </w:tc>
        <w:tc>
          <w:tcPr>
            <w:tcW w:w="7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948</w:t>
            </w:r>
          </w:p>
        </w:tc>
        <w:tc>
          <w:tcPr>
            <w:tcW w:w="60" w:type="dxa"/>
            <w:vAlign w:val="bottom"/>
            <w:shd w:val="clear" w:color="auto" w:fill="CCEEFF"/>
          </w:tcPr>
          <w:p>
            <w:pPr>
              <w:spacing w:after="0"/>
              <w:rPr>
                <w:sz w:val="18"/>
                <w:szCs w:val="18"/>
                <w:color w:val="auto"/>
              </w:rPr>
            </w:pPr>
          </w:p>
        </w:tc>
      </w:tr>
      <w:tr>
        <w:trPr>
          <w:trHeight w:val="221"/>
        </w:trPr>
        <w:tc>
          <w:tcPr>
            <w:tcW w:w="7900" w:type="dxa"/>
            <w:vAlign w:val="bottom"/>
            <w:gridSpan w:val="3"/>
          </w:tcPr>
          <w:p>
            <w:pPr>
              <w:spacing w:after="0"/>
              <w:rPr>
                <w:sz w:val="20"/>
                <w:szCs w:val="20"/>
                <w:color w:val="auto"/>
              </w:rPr>
            </w:pPr>
            <w:r>
              <w:rPr>
                <w:rFonts w:ascii="Arial" w:cs="Arial" w:eastAsia="Arial" w:hAnsi="Arial"/>
                <w:sz w:val="18"/>
                <w:szCs w:val="18"/>
                <w:b w:val="1"/>
                <w:bCs w:val="1"/>
                <w:color w:val="auto"/>
              </w:rPr>
              <w:t>Financing Activities</w:t>
            </w: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0" w:type="dxa"/>
            <w:vAlign w:val="bottom"/>
          </w:tcPr>
          <w:p>
            <w:pPr>
              <w:spacing w:after="0"/>
              <w:rPr>
                <w:sz w:val="19"/>
                <w:szCs w:val="19"/>
                <w:color w:val="auto"/>
              </w:rPr>
            </w:pPr>
          </w:p>
        </w:tc>
      </w:tr>
      <w:tr>
        <w:trPr>
          <w:trHeight w:val="218"/>
        </w:trPr>
        <w:tc>
          <w:tcPr>
            <w:tcW w:w="20" w:type="dxa"/>
            <w:vAlign w:val="bottom"/>
          </w:tcPr>
          <w:p>
            <w:pPr>
              <w:spacing w:after="0"/>
              <w:rPr>
                <w:sz w:val="18"/>
                <w:szCs w:val="18"/>
                <w:color w:val="auto"/>
              </w:rPr>
            </w:pPr>
          </w:p>
        </w:tc>
        <w:tc>
          <w:tcPr>
            <w:tcW w:w="7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Borrowings under revolving credit arrangement, net</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3,000</w:t>
            </w:r>
          </w:p>
        </w:tc>
        <w:tc>
          <w:tcPr>
            <w:tcW w:w="5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3,000</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80" w:type="dxa"/>
            <w:vAlign w:val="bottom"/>
            <w:gridSpan w:val="2"/>
          </w:tcPr>
          <w:p>
            <w:pPr>
              <w:spacing w:after="0"/>
              <w:rPr>
                <w:sz w:val="20"/>
                <w:szCs w:val="20"/>
                <w:color w:val="auto"/>
              </w:rPr>
            </w:pPr>
            <w:r>
              <w:rPr>
                <w:rFonts w:ascii="Arial" w:cs="Arial" w:eastAsia="Arial" w:hAnsi="Arial"/>
                <w:sz w:val="18"/>
                <w:szCs w:val="18"/>
                <w:color w:val="auto"/>
              </w:rPr>
              <w:t>Repayments of long-term debt</w:t>
            </w:r>
          </w:p>
        </w:tc>
        <w:tc>
          <w:tcPr>
            <w:tcW w:w="120" w:type="dxa"/>
            <w:vAlign w:val="bottom"/>
          </w:tcPr>
          <w:p>
            <w:pPr>
              <w:spacing w:after="0"/>
              <w:rPr>
                <w:sz w:val="18"/>
                <w:szCs w:val="18"/>
                <w:color w:val="auto"/>
              </w:rPr>
            </w:pPr>
          </w:p>
        </w:tc>
        <w:tc>
          <w:tcPr>
            <w:tcW w:w="1220" w:type="dxa"/>
            <w:vAlign w:val="bottom"/>
            <w:gridSpan w:val="2"/>
          </w:tcPr>
          <w:p>
            <w:pPr>
              <w:jc w:val="right"/>
              <w:ind w:right="480"/>
              <w:spacing w:after="0"/>
              <w:rPr>
                <w:sz w:val="20"/>
                <w:szCs w:val="20"/>
                <w:color w:val="auto"/>
              </w:rPr>
            </w:pPr>
            <w:r>
              <w:rPr>
                <w:rFonts w:ascii="Arial" w:cs="Arial" w:eastAsia="Arial" w:hAnsi="Arial"/>
                <w:sz w:val="18"/>
                <w:szCs w:val="18"/>
                <w:color w:val="auto"/>
              </w:rPr>
              <w:t>(3,145)</w:t>
            </w: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(3,145)</w:t>
            </w:r>
          </w:p>
        </w:tc>
      </w:tr>
      <w:tr>
        <w:trPr>
          <w:trHeight w:val="216"/>
        </w:trPr>
        <w:tc>
          <w:tcPr>
            <w:tcW w:w="20" w:type="dxa"/>
            <w:vAlign w:val="bottom"/>
          </w:tcPr>
          <w:p>
            <w:pPr>
              <w:spacing w:after="0"/>
              <w:rPr>
                <w:sz w:val="18"/>
                <w:szCs w:val="18"/>
                <w:color w:val="auto"/>
              </w:rPr>
            </w:pPr>
          </w:p>
        </w:tc>
        <w:tc>
          <w:tcPr>
            <w:tcW w:w="7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Repayments of real estate notes payable</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(460)</w:t>
            </w: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(460)</w:t>
            </w:r>
          </w:p>
        </w:tc>
      </w:tr>
      <w:tr>
        <w:trPr>
          <w:trHeight w:val="216"/>
        </w:trPr>
        <w:tc>
          <w:tcPr>
            <w:tcW w:w="20" w:type="dxa"/>
            <w:vAlign w:val="bottom"/>
          </w:tcPr>
          <w:p>
            <w:pPr>
              <w:spacing w:after="0"/>
              <w:rPr>
                <w:sz w:val="18"/>
                <w:szCs w:val="18"/>
                <w:color w:val="auto"/>
              </w:rPr>
            </w:pPr>
          </w:p>
        </w:tc>
        <w:tc>
          <w:tcPr>
            <w:tcW w:w="7880" w:type="dxa"/>
            <w:vAlign w:val="bottom"/>
            <w:gridSpan w:val="2"/>
          </w:tcPr>
          <w:p>
            <w:pPr>
              <w:spacing w:after="0"/>
              <w:rPr>
                <w:sz w:val="20"/>
                <w:szCs w:val="20"/>
                <w:color w:val="auto"/>
              </w:rPr>
            </w:pPr>
            <w:r>
              <w:rPr>
                <w:rFonts w:ascii="Arial" w:cs="Arial" w:eastAsia="Arial" w:hAnsi="Arial"/>
                <w:sz w:val="18"/>
                <w:szCs w:val="18"/>
                <w:color w:val="auto"/>
              </w:rPr>
              <w:t>Issuance of common stock, net</w:t>
            </w: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1,065</w:t>
            </w:r>
          </w:p>
        </w:tc>
        <w:tc>
          <w:tcPr>
            <w:tcW w:w="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1,065</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Repurchases of common stock</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(155)</w:t>
            </w: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(155)</w:t>
            </w:r>
          </w:p>
        </w:tc>
      </w:tr>
      <w:tr>
        <w:trPr>
          <w:trHeight w:val="216"/>
        </w:trPr>
        <w:tc>
          <w:tcPr>
            <w:tcW w:w="20" w:type="dxa"/>
            <w:vAlign w:val="bottom"/>
          </w:tcPr>
          <w:p>
            <w:pPr>
              <w:spacing w:after="0"/>
              <w:rPr>
                <w:sz w:val="18"/>
                <w:szCs w:val="18"/>
                <w:color w:val="auto"/>
              </w:rPr>
            </w:pPr>
          </w:p>
        </w:tc>
        <w:tc>
          <w:tcPr>
            <w:tcW w:w="7880" w:type="dxa"/>
            <w:vAlign w:val="bottom"/>
            <w:gridSpan w:val="2"/>
          </w:tcPr>
          <w:p>
            <w:pPr>
              <w:spacing w:after="0"/>
              <w:rPr>
                <w:sz w:val="20"/>
                <w:szCs w:val="20"/>
                <w:color w:val="auto"/>
              </w:rPr>
            </w:pPr>
            <w:r>
              <w:rPr>
                <w:rFonts w:ascii="Arial" w:cs="Arial" w:eastAsia="Arial" w:hAnsi="Arial"/>
                <w:sz w:val="18"/>
                <w:szCs w:val="18"/>
                <w:color w:val="auto"/>
              </w:rPr>
              <w:t>Cash dividends</w:t>
            </w:r>
          </w:p>
        </w:tc>
        <w:tc>
          <w:tcPr>
            <w:tcW w:w="120" w:type="dxa"/>
            <w:vAlign w:val="bottom"/>
          </w:tcPr>
          <w:p>
            <w:pPr>
              <w:spacing w:after="0"/>
              <w:rPr>
                <w:sz w:val="18"/>
                <w:szCs w:val="18"/>
                <w:color w:val="auto"/>
              </w:rPr>
            </w:pPr>
          </w:p>
        </w:tc>
        <w:tc>
          <w:tcPr>
            <w:tcW w:w="1220" w:type="dxa"/>
            <w:vAlign w:val="bottom"/>
            <w:gridSpan w:val="2"/>
          </w:tcPr>
          <w:p>
            <w:pPr>
              <w:jc w:val="right"/>
              <w:ind w:right="480"/>
              <w:spacing w:after="0"/>
              <w:rPr>
                <w:sz w:val="20"/>
                <w:szCs w:val="20"/>
                <w:color w:val="auto"/>
              </w:rPr>
            </w:pPr>
            <w:r>
              <w:rPr>
                <w:rFonts w:ascii="Arial" w:cs="Arial" w:eastAsia="Arial" w:hAnsi="Arial"/>
                <w:sz w:val="18"/>
                <w:szCs w:val="18"/>
                <w:color w:val="auto"/>
              </w:rPr>
              <w:t>(9,433)</w:t>
            </w: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(9,433)</w:t>
            </w:r>
          </w:p>
        </w:tc>
      </w:tr>
      <w:tr>
        <w:trPr>
          <w:trHeight w:val="27"/>
        </w:trPr>
        <w:tc>
          <w:tcPr>
            <w:tcW w:w="20" w:type="dxa"/>
            <w:vAlign w:val="bottom"/>
          </w:tcPr>
          <w:p>
            <w:pPr>
              <w:spacing w:after="0"/>
              <w:rPr>
                <w:sz w:val="2"/>
                <w:szCs w:val="2"/>
                <w:color w:val="auto"/>
              </w:rPr>
            </w:pPr>
          </w:p>
        </w:tc>
        <w:tc>
          <w:tcPr>
            <w:tcW w:w="940" w:type="dxa"/>
            <w:vAlign w:val="bottom"/>
          </w:tcPr>
          <w:p>
            <w:pPr>
              <w:spacing w:after="0"/>
              <w:rPr>
                <w:sz w:val="2"/>
                <w:szCs w:val="2"/>
                <w:color w:val="auto"/>
              </w:rPr>
            </w:pPr>
          </w:p>
        </w:tc>
        <w:tc>
          <w:tcPr>
            <w:tcW w:w="69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r>
      <w:tr>
        <w:trPr>
          <w:trHeight w:val="216"/>
        </w:trPr>
        <w:tc>
          <w:tcPr>
            <w:tcW w:w="20" w:type="dxa"/>
            <w:vAlign w:val="bottom"/>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694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rPr>
              <w:t>Net Cash Used In Financing Activities</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(9,128)</w:t>
            </w:r>
          </w:p>
        </w:tc>
        <w:tc>
          <w:tcPr>
            <w:tcW w:w="1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8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(9,128)</w:t>
            </w:r>
          </w:p>
        </w:tc>
      </w:tr>
      <w:tr>
        <w:trPr>
          <w:trHeight w:val="221"/>
        </w:trPr>
        <w:tc>
          <w:tcPr>
            <w:tcW w:w="7900" w:type="dxa"/>
            <w:vAlign w:val="bottom"/>
            <w:gridSpan w:val="3"/>
          </w:tcPr>
          <w:p>
            <w:pPr>
              <w:spacing w:after="0"/>
              <w:rPr>
                <w:sz w:val="20"/>
                <w:szCs w:val="20"/>
                <w:color w:val="auto"/>
              </w:rPr>
            </w:pPr>
            <w:r>
              <w:rPr>
                <w:rFonts w:ascii="Arial" w:cs="Arial" w:eastAsia="Arial" w:hAnsi="Arial"/>
                <w:sz w:val="18"/>
                <w:szCs w:val="18"/>
                <w:b w:val="1"/>
                <w:bCs w:val="1"/>
                <w:color w:val="auto"/>
              </w:rPr>
              <w:t>Change In Cash And Cash Equivalents</w:t>
            </w:r>
          </w:p>
        </w:tc>
        <w:tc>
          <w:tcPr>
            <w:tcW w:w="120" w:type="dxa"/>
            <w:vAlign w:val="bottom"/>
            <w:tcBorders>
              <w:top w:val="single" w:sz="8" w:color="auto"/>
            </w:tcBorders>
          </w:tcPr>
          <w:p>
            <w:pPr>
              <w:spacing w:after="0"/>
              <w:rPr>
                <w:sz w:val="19"/>
                <w:szCs w:val="19"/>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3,087</w:t>
            </w:r>
          </w:p>
        </w:tc>
        <w:tc>
          <w:tcPr>
            <w:tcW w:w="54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7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3,087</w:t>
            </w:r>
          </w:p>
        </w:tc>
        <w:tc>
          <w:tcPr>
            <w:tcW w:w="60" w:type="dxa"/>
            <w:vAlign w:val="bottom"/>
          </w:tcPr>
          <w:p>
            <w:pPr>
              <w:spacing w:after="0"/>
              <w:rPr>
                <w:sz w:val="19"/>
                <w:szCs w:val="19"/>
                <w:color w:val="auto"/>
              </w:rPr>
            </w:pPr>
          </w:p>
        </w:tc>
      </w:tr>
      <w:tr>
        <w:trPr>
          <w:trHeight w:val="218"/>
        </w:trPr>
        <w:tc>
          <w:tcPr>
            <w:tcW w:w="20" w:type="dxa"/>
            <w:vAlign w:val="bottom"/>
          </w:tcPr>
          <w:p>
            <w:pPr>
              <w:spacing w:after="0"/>
              <w:rPr>
                <w:sz w:val="18"/>
                <w:szCs w:val="18"/>
                <w:color w:val="auto"/>
              </w:rPr>
            </w:pPr>
          </w:p>
        </w:tc>
        <w:tc>
          <w:tcPr>
            <w:tcW w:w="78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 beginning of year</w:t>
            </w: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4,022</w:t>
            </w:r>
          </w:p>
        </w:tc>
        <w:tc>
          <w:tcPr>
            <w:tcW w:w="54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4,022</w:t>
            </w:r>
          </w:p>
        </w:tc>
        <w:tc>
          <w:tcPr>
            <w:tcW w:w="60" w:type="dxa"/>
            <w:vAlign w:val="bottom"/>
            <w:shd w:val="clear" w:color="auto" w:fill="CCEEFF"/>
          </w:tcPr>
          <w:p>
            <w:pPr>
              <w:spacing w:after="0"/>
              <w:rPr>
                <w:sz w:val="18"/>
                <w:szCs w:val="18"/>
                <w:color w:val="auto"/>
              </w:rPr>
            </w:pPr>
          </w:p>
        </w:tc>
      </w:tr>
      <w:tr>
        <w:trPr>
          <w:trHeight w:val="222"/>
        </w:trPr>
        <w:tc>
          <w:tcPr>
            <w:tcW w:w="7900" w:type="dxa"/>
            <w:vAlign w:val="bottom"/>
            <w:gridSpan w:val="3"/>
          </w:tcPr>
          <w:p>
            <w:pPr>
              <w:spacing w:after="0"/>
              <w:rPr>
                <w:sz w:val="20"/>
                <w:szCs w:val="20"/>
                <w:color w:val="auto"/>
              </w:rPr>
            </w:pPr>
            <w:r>
              <w:rPr>
                <w:rFonts w:ascii="Arial" w:cs="Arial" w:eastAsia="Arial" w:hAnsi="Arial"/>
                <w:sz w:val="18"/>
                <w:szCs w:val="18"/>
                <w:b w:val="1"/>
                <w:bCs w:val="1"/>
                <w:color w:val="auto"/>
              </w:rPr>
              <w:t>Cash And Cash Equivalents - end of year</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7,109</w:t>
            </w:r>
          </w:p>
        </w:tc>
        <w:tc>
          <w:tcPr>
            <w:tcW w:w="540" w:type="dxa"/>
            <w:vAlign w:val="bottom"/>
          </w:tcPr>
          <w:p>
            <w:pPr>
              <w:spacing w:after="0"/>
              <w:rPr>
                <w:sz w:val="19"/>
                <w:szCs w:val="19"/>
                <w:color w:val="auto"/>
              </w:rPr>
            </w:pP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82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7,109</w:t>
            </w:r>
          </w:p>
        </w:tc>
        <w:tc>
          <w:tcPr>
            <w:tcW w:w="60" w:type="dxa"/>
            <w:vAlign w:val="bottom"/>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69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03"/>
        </w:trPr>
        <w:tc>
          <w:tcPr>
            <w:tcW w:w="20" w:type="dxa"/>
            <w:vAlign w:val="bottom"/>
          </w:tcPr>
          <w:p>
            <w:pPr>
              <w:spacing w:after="0"/>
              <w:rPr>
                <w:sz w:val="8"/>
                <w:szCs w:val="8"/>
                <w:color w:val="auto"/>
              </w:rPr>
            </w:pPr>
          </w:p>
        </w:tc>
        <w:tc>
          <w:tcPr>
            <w:tcW w:w="940" w:type="dxa"/>
            <w:vAlign w:val="bottom"/>
            <w:tcBorders>
              <w:bottom w:val="single" w:sz="8" w:color="auto"/>
            </w:tcBorders>
          </w:tcPr>
          <w:p>
            <w:pPr>
              <w:spacing w:after="0"/>
              <w:rPr>
                <w:sz w:val="8"/>
                <w:szCs w:val="8"/>
                <w:color w:val="auto"/>
              </w:rPr>
            </w:pPr>
          </w:p>
        </w:tc>
        <w:tc>
          <w:tcPr>
            <w:tcW w:w="69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80" w:type="dxa"/>
            <w:vAlign w:val="bottom"/>
          </w:tcPr>
          <w:p>
            <w:pPr>
              <w:spacing w:after="0"/>
              <w:rPr>
                <w:sz w:val="8"/>
                <w:szCs w:val="8"/>
                <w:color w:val="auto"/>
              </w:rPr>
            </w:pPr>
          </w:p>
        </w:tc>
        <w:tc>
          <w:tcPr>
            <w:tcW w:w="540" w:type="dxa"/>
            <w:vAlign w:val="bottom"/>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tcPr>
          <w:p>
            <w:pPr>
              <w:spacing w:after="0"/>
              <w:rPr>
                <w:sz w:val="8"/>
                <w:szCs w:val="8"/>
                <w:color w:val="auto"/>
              </w:rPr>
            </w:pPr>
          </w:p>
        </w:tc>
        <w:tc>
          <w:tcPr>
            <w:tcW w:w="720" w:type="dxa"/>
            <w:vAlign w:val="bottom"/>
          </w:tcPr>
          <w:p>
            <w:pPr>
              <w:spacing w:after="0"/>
              <w:rPr>
                <w:sz w:val="8"/>
                <w:szCs w:val="8"/>
                <w:color w:val="auto"/>
              </w:rPr>
            </w:pPr>
          </w:p>
        </w:tc>
        <w:tc>
          <w:tcPr>
            <w:tcW w:w="10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 w:type="dxa"/>
            <w:vAlign w:val="bottom"/>
          </w:tcPr>
          <w:p>
            <w:pPr>
              <w:spacing w:after="0"/>
              <w:rPr>
                <w:sz w:val="8"/>
                <w:szCs w:val="8"/>
                <w:color w:val="auto"/>
              </w:rPr>
            </w:pPr>
          </w:p>
        </w:tc>
      </w:tr>
    </w:tbl>
    <w:p>
      <w:pPr>
        <w:spacing w:after="0" w:line="100" w:lineRule="exact"/>
        <w:rPr>
          <w:sz w:val="20"/>
          <w:szCs w:val="20"/>
          <w:color w:val="auto"/>
        </w:rPr>
      </w:pPr>
    </w:p>
    <w:p>
      <w:pPr>
        <w:ind w:left="460" w:hanging="452"/>
        <w:spacing w:after="0"/>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Represents the reversal of the previously recorded non-cash impairment charges.</w:t>
      </w:r>
    </w:p>
    <w:p>
      <w:pPr>
        <w:spacing w:after="0" w:line="15" w:lineRule="exact"/>
        <w:rPr>
          <w:rFonts w:ascii="Arial" w:cs="Arial" w:eastAsia="Arial" w:hAnsi="Arial"/>
          <w:sz w:val="18"/>
          <w:szCs w:val="18"/>
          <w:color w:val="auto"/>
        </w:rPr>
      </w:pPr>
    </w:p>
    <w:p>
      <w:pPr>
        <w:ind w:left="460" w:right="160" w:hanging="452"/>
        <w:spacing w:after="0" w:line="250" w:lineRule="auto"/>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Includes the reversal of the deferred tax benefit recorded on the $4,204 impairment charge partially offset by the deferred tax benefit recorded on the flow through of the inventory write up.</w:t>
      </w:r>
    </w:p>
    <w:p>
      <w:pPr>
        <w:ind w:left="460" w:hanging="452"/>
        <w:spacing w:after="0"/>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Represents the restatement of net cash inflows associated with licensee notes receivable to investing activities.</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Represents the decrease in inventory balances due to the flow through of the inventory write up.</w:t>
      </w:r>
    </w:p>
    <w:p>
      <w:pPr>
        <w:spacing w:after="0" w:line="1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- 24</w:t>
      </w:r>
    </w:p>
    <w:p>
      <w:pPr>
        <w:sectPr>
          <w:pgSz w:w="11900" w:h="16838" w:orient="portrait"/>
          <w:cols w:equalWidth="0" w:num="1">
            <w:col w:w="11420"/>
          </w:cols>
          <w:pgMar w:left="240" w:top="459" w:right="2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2004 Consolidated Statement of Cash Flows (Restated)</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60" w:type="dxa"/>
            <w:vAlign w:val="bottom"/>
          </w:tcPr>
          <w:p>
            <w:pPr>
              <w:spacing w:after="0"/>
              <w:rPr>
                <w:sz w:val="14"/>
                <w:szCs w:val="14"/>
                <w:color w:val="auto"/>
              </w:rPr>
            </w:pPr>
          </w:p>
        </w:tc>
        <w:tc>
          <w:tcPr>
            <w:tcW w:w="69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840" w:type="dxa"/>
            <w:vAlign w:val="bottom"/>
            <w:tcBorders>
              <w:bottom w:val="single" w:sz="8" w:color="auto"/>
            </w:tcBorders>
            <w:gridSpan w:val="7"/>
          </w:tcPr>
          <w:p>
            <w:pPr>
              <w:jc w:val="right"/>
              <w:spacing w:after="0"/>
              <w:rPr>
                <w:sz w:val="20"/>
                <w:szCs w:val="20"/>
                <w:color w:val="auto"/>
              </w:rPr>
            </w:pPr>
            <w:r>
              <w:rPr>
                <w:rFonts w:ascii="Arial" w:cs="Arial" w:eastAsia="Arial" w:hAnsi="Arial"/>
                <w:sz w:val="14"/>
                <w:szCs w:val="14"/>
                <w:b w:val="1"/>
                <w:bCs w:val="1"/>
                <w:color w:val="auto"/>
              </w:rPr>
              <w:t>For the year ended November 27, 2004</w:t>
            </w:r>
          </w:p>
        </w:tc>
        <w:tc>
          <w:tcPr>
            <w:tcW w:w="56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960" w:type="dxa"/>
            <w:vAlign w:val="bottom"/>
          </w:tcPr>
          <w:p>
            <w:pPr>
              <w:spacing w:after="0"/>
              <w:rPr>
                <w:sz w:val="11"/>
                <w:szCs w:val="11"/>
                <w:color w:val="auto"/>
              </w:rPr>
            </w:pPr>
          </w:p>
        </w:tc>
        <w:tc>
          <w:tcPr>
            <w:tcW w:w="6900" w:type="dxa"/>
            <w:vAlign w:val="bottom"/>
          </w:tcPr>
          <w:p>
            <w:pPr>
              <w:spacing w:after="0"/>
              <w:rPr>
                <w:sz w:val="11"/>
                <w:szCs w:val="11"/>
                <w:color w:val="auto"/>
              </w:rPr>
            </w:pPr>
          </w:p>
        </w:tc>
        <w:tc>
          <w:tcPr>
            <w:tcW w:w="1080" w:type="dxa"/>
            <w:vAlign w:val="bottom"/>
            <w:gridSpan w:val="3"/>
          </w:tcPr>
          <w:p>
            <w:pPr>
              <w:spacing w:after="0" w:line="129" w:lineRule="exact"/>
              <w:rPr>
                <w:sz w:val="20"/>
                <w:szCs w:val="20"/>
                <w:color w:val="auto"/>
              </w:rPr>
            </w:pPr>
            <w:r>
              <w:rPr>
                <w:rFonts w:ascii="Arial" w:cs="Arial" w:eastAsia="Arial" w:hAnsi="Arial"/>
                <w:sz w:val="14"/>
                <w:szCs w:val="14"/>
                <w:b w:val="1"/>
                <w:bCs w:val="1"/>
                <w:color w:val="auto"/>
              </w:rPr>
              <w:t>As previously</w:t>
            </w:r>
          </w:p>
        </w:tc>
        <w:tc>
          <w:tcPr>
            <w:tcW w:w="240" w:type="dxa"/>
            <w:vAlign w:val="bottom"/>
          </w:tcPr>
          <w:p>
            <w:pPr>
              <w:spacing w:after="0"/>
              <w:rPr>
                <w:sz w:val="11"/>
                <w:szCs w:val="11"/>
                <w:color w:val="auto"/>
              </w:rPr>
            </w:pPr>
          </w:p>
        </w:tc>
        <w:tc>
          <w:tcPr>
            <w:tcW w:w="1520" w:type="dxa"/>
            <w:vAlign w:val="bottom"/>
            <w:gridSpan w:val="3"/>
          </w:tcPr>
          <w:p>
            <w:pPr>
              <w:spacing w:after="0" w:line="129" w:lineRule="exact"/>
              <w:rPr>
                <w:sz w:val="20"/>
                <w:szCs w:val="20"/>
                <w:color w:val="auto"/>
              </w:rPr>
            </w:pPr>
            <w:r>
              <w:rPr>
                <w:rFonts w:ascii="Arial" w:cs="Arial" w:eastAsia="Arial" w:hAnsi="Arial"/>
                <w:sz w:val="14"/>
                <w:szCs w:val="14"/>
                <w:b w:val="1"/>
                <w:bCs w:val="1"/>
                <w:color w:val="auto"/>
              </w:rPr>
              <w:t>Restatement</w:t>
            </w: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5"/>
        </w:trPr>
        <w:tc>
          <w:tcPr>
            <w:tcW w:w="960" w:type="dxa"/>
            <w:vAlign w:val="bottom"/>
          </w:tcPr>
          <w:p>
            <w:pPr>
              <w:spacing w:after="0"/>
              <w:rPr>
                <w:sz w:val="15"/>
                <w:szCs w:val="15"/>
                <w:color w:val="auto"/>
              </w:rPr>
            </w:pPr>
          </w:p>
        </w:tc>
        <w:tc>
          <w:tcPr>
            <w:tcW w:w="6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8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w w:val="91"/>
              </w:rPr>
              <w:t>reported</w:t>
            </w:r>
          </w:p>
        </w:tc>
        <w:tc>
          <w:tcPr>
            <w:tcW w:w="240" w:type="dxa"/>
            <w:vAlign w:val="bottom"/>
          </w:tcPr>
          <w:p>
            <w:pPr>
              <w:spacing w:after="0"/>
              <w:rPr>
                <w:sz w:val="15"/>
                <w:szCs w:val="15"/>
                <w:color w:val="auto"/>
              </w:rPr>
            </w:pPr>
          </w:p>
        </w:tc>
        <w:tc>
          <w:tcPr>
            <w:tcW w:w="1520" w:type="dxa"/>
            <w:vAlign w:val="bottom"/>
            <w:gridSpan w:val="3"/>
          </w:tcPr>
          <w:p>
            <w:pPr>
              <w:spacing w:after="0"/>
              <w:rPr>
                <w:sz w:val="20"/>
                <w:szCs w:val="20"/>
                <w:color w:val="auto"/>
              </w:rPr>
            </w:pPr>
            <w:r>
              <w:rPr>
                <w:rFonts w:ascii="Arial" w:cs="Arial" w:eastAsia="Arial" w:hAnsi="Arial"/>
                <w:sz w:val="14"/>
                <w:szCs w:val="14"/>
                <w:b w:val="1"/>
                <w:bCs w:val="1"/>
                <w:color w:val="auto"/>
              </w:rPr>
              <w:t>Adjustments</w:t>
            </w:r>
          </w:p>
        </w:tc>
        <w:tc>
          <w:tcPr>
            <w:tcW w:w="720" w:type="dxa"/>
            <w:vAlign w:val="bottom"/>
            <w:gridSpan w:val="3"/>
          </w:tcPr>
          <w:p>
            <w:pPr>
              <w:jc w:val="right"/>
              <w:ind w:right="140"/>
              <w:spacing w:after="0"/>
              <w:rPr>
                <w:sz w:val="20"/>
                <w:szCs w:val="20"/>
                <w:color w:val="auto"/>
              </w:rPr>
            </w:pPr>
            <w:r>
              <w:rPr>
                <w:rFonts w:ascii="Arial" w:cs="Arial" w:eastAsia="Arial" w:hAnsi="Arial"/>
                <w:sz w:val="14"/>
                <w:szCs w:val="14"/>
                <w:b w:val="1"/>
                <w:bCs w:val="1"/>
                <w:color w:val="auto"/>
                <w:w w:val="94"/>
              </w:rPr>
              <w:t>Restated</w:t>
            </w:r>
          </w:p>
        </w:tc>
        <w:tc>
          <w:tcPr>
            <w:tcW w:w="0" w:type="dxa"/>
            <w:vAlign w:val="bottom"/>
          </w:tcPr>
          <w:p>
            <w:pPr>
              <w:spacing w:after="0"/>
              <w:rPr>
                <w:sz w:val="1"/>
                <w:szCs w:val="1"/>
                <w:color w:val="auto"/>
              </w:rPr>
            </w:pPr>
          </w:p>
        </w:tc>
      </w:tr>
      <w:tr>
        <w:trPr>
          <w:trHeight w:val="210"/>
        </w:trPr>
        <w:tc>
          <w:tcPr>
            <w:tcW w:w="78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10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86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8,209</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8,209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(used in) operating activities:</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860" w:type="dxa"/>
            <w:vAlign w:val="bottom"/>
            <w:gridSpan w:val="2"/>
          </w:tcPr>
          <w:p>
            <w:pPr>
              <w:ind w:left="440"/>
              <w:spacing w:after="0"/>
              <w:rPr>
                <w:sz w:val="20"/>
                <w:szCs w:val="20"/>
                <w:color w:val="auto"/>
              </w:rPr>
            </w:pPr>
            <w:r>
              <w:rPr>
                <w:rFonts w:ascii="Arial" w:cs="Arial" w:eastAsia="Arial" w:hAnsi="Arial"/>
                <w:sz w:val="18"/>
                <w:szCs w:val="18"/>
                <w:color w:val="auto"/>
              </w:rPr>
              <w:t>Depreciation and amortization</w:t>
            </w: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10,151</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98"/>
              </w:rPr>
              <w:t>10,151</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8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Equity in undistributed income of investments and unconsolidated affiliated companies</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(10,708)</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(10,708)</w:t>
            </w:r>
          </w:p>
        </w:tc>
        <w:tc>
          <w:tcPr>
            <w:tcW w:w="0" w:type="dxa"/>
            <w:vAlign w:val="bottom"/>
          </w:tcPr>
          <w:p>
            <w:pPr>
              <w:spacing w:after="0"/>
              <w:rPr>
                <w:sz w:val="1"/>
                <w:szCs w:val="1"/>
                <w:color w:val="auto"/>
              </w:rPr>
            </w:pPr>
          </w:p>
        </w:tc>
      </w:tr>
      <w:tr>
        <w:trPr>
          <w:trHeight w:val="216"/>
        </w:trPr>
        <w:tc>
          <w:tcPr>
            <w:tcW w:w="7860" w:type="dxa"/>
            <w:vAlign w:val="bottom"/>
            <w:gridSpan w:val="2"/>
          </w:tcPr>
          <w:p>
            <w:pPr>
              <w:ind w:left="440"/>
              <w:spacing w:after="0"/>
              <w:rPr>
                <w:sz w:val="20"/>
                <w:szCs w:val="20"/>
                <w:color w:val="auto"/>
              </w:rPr>
            </w:pPr>
            <w:r>
              <w:rPr>
                <w:rFonts w:ascii="Arial" w:cs="Arial" w:eastAsia="Arial" w:hAnsi="Arial"/>
                <w:sz w:val="18"/>
                <w:szCs w:val="18"/>
                <w:color w:val="auto"/>
              </w:rPr>
              <w:t>Provision for write-down of impaired assets</w:t>
            </w: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2,353</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2,353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8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Provision for losses on trade accounts receivable</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1,430</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860" w:type="dxa"/>
            <w:vAlign w:val="bottom"/>
            <w:gridSpan w:val="2"/>
          </w:tcPr>
          <w:p>
            <w:pPr>
              <w:ind w:left="440"/>
              <w:spacing w:after="0"/>
              <w:rPr>
                <w:sz w:val="20"/>
                <w:szCs w:val="20"/>
                <w:color w:val="auto"/>
              </w:rPr>
            </w:pPr>
            <w:r>
              <w:rPr>
                <w:rFonts w:ascii="Arial" w:cs="Arial" w:eastAsia="Arial" w:hAnsi="Arial"/>
                <w:sz w:val="18"/>
                <w:szCs w:val="18"/>
                <w:color w:val="auto"/>
              </w:rPr>
              <w:t>Net gain from sales of investment securities</w:t>
            </w:r>
          </w:p>
        </w:tc>
        <w:tc>
          <w:tcPr>
            <w:tcW w:w="100" w:type="dxa"/>
            <w:vAlign w:val="bottom"/>
          </w:tcPr>
          <w:p>
            <w:pPr>
              <w:spacing w:after="0"/>
              <w:rPr>
                <w:sz w:val="18"/>
                <w:szCs w:val="18"/>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color w:val="auto"/>
              </w:rPr>
              <w:t>(1,188)</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(1,188)</w:t>
            </w:r>
          </w:p>
        </w:tc>
        <w:tc>
          <w:tcPr>
            <w:tcW w:w="0" w:type="dxa"/>
            <w:vAlign w:val="bottom"/>
          </w:tcPr>
          <w:p>
            <w:pPr>
              <w:spacing w:after="0"/>
              <w:rPr>
                <w:sz w:val="1"/>
                <w:szCs w:val="1"/>
                <w:color w:val="auto"/>
              </w:rPr>
            </w:pPr>
          </w:p>
        </w:tc>
      </w:tr>
      <w:tr>
        <w:trPr>
          <w:trHeight w:val="216"/>
        </w:trPr>
        <w:tc>
          <w:tcPr>
            <w:tcW w:w="78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Net gain from sales of property and equipment</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(3,890)</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(3,890)</w:t>
            </w:r>
          </w:p>
        </w:tc>
        <w:tc>
          <w:tcPr>
            <w:tcW w:w="0" w:type="dxa"/>
            <w:vAlign w:val="bottom"/>
          </w:tcPr>
          <w:p>
            <w:pPr>
              <w:spacing w:after="0"/>
              <w:rPr>
                <w:sz w:val="1"/>
                <w:szCs w:val="1"/>
                <w:color w:val="auto"/>
              </w:rPr>
            </w:pPr>
          </w:p>
        </w:tc>
      </w:tr>
      <w:tr>
        <w:trPr>
          <w:trHeight w:val="216"/>
        </w:trPr>
        <w:tc>
          <w:tcPr>
            <w:tcW w:w="7860" w:type="dxa"/>
            <w:vAlign w:val="bottom"/>
            <w:gridSpan w:val="2"/>
          </w:tcPr>
          <w:p>
            <w:pPr>
              <w:ind w:left="440"/>
              <w:spacing w:after="0"/>
              <w:rPr>
                <w:sz w:val="20"/>
                <w:szCs w:val="20"/>
                <w:color w:val="auto"/>
              </w:rPr>
            </w:pPr>
            <w:r>
              <w:rPr>
                <w:rFonts w:ascii="Arial" w:cs="Arial" w:eastAsia="Arial" w:hAnsi="Arial"/>
                <w:sz w:val="18"/>
                <w:szCs w:val="18"/>
                <w:color w:val="auto"/>
              </w:rPr>
              <w:t>Deferred income taxes</w:t>
            </w: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1,876</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1,876</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8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Changes in post employment benefit obligations</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(401)</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(401)</w:t>
            </w:r>
          </w:p>
        </w:tc>
        <w:tc>
          <w:tcPr>
            <w:tcW w:w="0" w:type="dxa"/>
            <w:vAlign w:val="bottom"/>
          </w:tcPr>
          <w:p>
            <w:pPr>
              <w:spacing w:after="0"/>
              <w:rPr>
                <w:sz w:val="1"/>
                <w:szCs w:val="1"/>
                <w:color w:val="auto"/>
              </w:rPr>
            </w:pPr>
          </w:p>
        </w:tc>
      </w:tr>
      <w:tr>
        <w:trPr>
          <w:trHeight w:val="216"/>
        </w:trPr>
        <w:tc>
          <w:tcPr>
            <w:tcW w:w="7860" w:type="dxa"/>
            <w:vAlign w:val="bottom"/>
            <w:gridSpan w:val="2"/>
          </w:tcPr>
          <w:p>
            <w:pPr>
              <w:ind w:left="440"/>
              <w:spacing w:after="0"/>
              <w:rPr>
                <w:sz w:val="20"/>
                <w:szCs w:val="20"/>
                <w:color w:val="auto"/>
              </w:rPr>
            </w:pPr>
            <w:r>
              <w:rPr>
                <w:rFonts w:ascii="Arial" w:cs="Arial" w:eastAsia="Arial" w:hAnsi="Arial"/>
                <w:sz w:val="18"/>
                <w:szCs w:val="18"/>
                <w:color w:val="auto"/>
              </w:rPr>
              <w:t>Cash received from licensee notes for operating activities</w:t>
            </w:r>
          </w:p>
        </w:tc>
        <w:tc>
          <w:tcPr>
            <w:tcW w:w="100" w:type="dxa"/>
            <w:vAlign w:val="bottom"/>
          </w:tcPr>
          <w:p>
            <w:pPr>
              <w:spacing w:after="0"/>
              <w:rPr>
                <w:sz w:val="18"/>
                <w:szCs w:val="18"/>
                <w:color w:val="auto"/>
              </w:rPr>
            </w:pP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500" w:type="dxa"/>
            <w:vAlign w:val="bottom"/>
            <w:gridSpan w:val="2"/>
          </w:tcPr>
          <w:p>
            <w:pPr>
              <w:ind w:left="240"/>
              <w:spacing w:after="0"/>
              <w:rPr>
                <w:sz w:val="20"/>
                <w:szCs w:val="20"/>
                <w:color w:val="auto"/>
              </w:rPr>
            </w:pPr>
            <w:r>
              <w:rPr>
                <w:rFonts w:ascii="Arial" w:cs="Arial" w:eastAsia="Arial" w:hAnsi="Arial"/>
                <w:sz w:val="18"/>
                <w:szCs w:val="18"/>
                <w:color w:val="auto"/>
              </w:rPr>
              <w:t>$</w:t>
            </w:r>
          </w:p>
        </w:tc>
        <w:tc>
          <w:tcPr>
            <w:tcW w:w="1260" w:type="dxa"/>
            <w:vAlign w:val="bottom"/>
            <w:gridSpan w:val="2"/>
          </w:tcPr>
          <w:p>
            <w:pPr>
              <w:ind w:left="180"/>
              <w:spacing w:after="0"/>
              <w:rPr>
                <w:sz w:val="20"/>
                <w:szCs w:val="20"/>
                <w:color w:val="auto"/>
              </w:rPr>
            </w:pPr>
            <w:r>
              <w:rPr>
                <w:rFonts w:ascii="Arial" w:cs="Arial" w:eastAsia="Arial" w:hAnsi="Arial"/>
                <w:sz w:val="18"/>
                <w:szCs w:val="18"/>
                <w:color w:val="auto"/>
              </w:rPr>
              <w:t>208 (a)</w:t>
            </w: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208</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78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w w:val="94"/>
              </w:rPr>
              <w:t>Changes in operating assets and liabilities, exclusive of assets and liabilities impacted by business</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7860" w:type="dxa"/>
            <w:vAlign w:val="bottom"/>
            <w:gridSpan w:val="2"/>
            <w:shd w:val="clear" w:color="auto" w:fill="CCEEFF"/>
          </w:tcPr>
          <w:p>
            <w:pPr>
              <w:ind w:left="660"/>
              <w:spacing w:after="0"/>
              <w:rPr>
                <w:sz w:val="20"/>
                <w:szCs w:val="20"/>
                <w:color w:val="auto"/>
              </w:rPr>
            </w:pPr>
            <w:r>
              <w:rPr>
                <w:rFonts w:ascii="Arial" w:cs="Arial" w:eastAsia="Arial" w:hAnsi="Arial"/>
                <w:sz w:val="18"/>
                <w:szCs w:val="18"/>
                <w:color w:val="auto"/>
              </w:rPr>
              <w:t>combinations:</w:t>
            </w:r>
          </w:p>
        </w:tc>
        <w:tc>
          <w:tcPr>
            <w:tcW w:w="10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7860" w:type="dxa"/>
            <w:vAlign w:val="bottom"/>
            <w:gridSpan w:val="2"/>
          </w:tcPr>
          <w:p>
            <w:pPr>
              <w:ind w:left="880"/>
              <w:spacing w:after="0"/>
              <w:rPr>
                <w:sz w:val="20"/>
                <w:szCs w:val="20"/>
                <w:color w:val="auto"/>
              </w:rPr>
            </w:pPr>
            <w:r>
              <w:rPr>
                <w:rFonts w:ascii="Arial" w:cs="Arial" w:eastAsia="Arial" w:hAnsi="Arial"/>
                <w:sz w:val="18"/>
                <w:szCs w:val="18"/>
                <w:color w:val="auto"/>
              </w:rPr>
              <w:t>Accounts receivable</w:t>
            </w:r>
          </w:p>
        </w:tc>
        <w:tc>
          <w:tcPr>
            <w:tcW w:w="100" w:type="dxa"/>
            <w:vAlign w:val="bottom"/>
          </w:tcPr>
          <w:p>
            <w:pPr>
              <w:spacing w:after="0"/>
              <w:rPr>
                <w:sz w:val="18"/>
                <w:szCs w:val="18"/>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color w:val="auto"/>
              </w:rPr>
              <w:t>(2,707)</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(2,707)</w:t>
            </w:r>
          </w:p>
        </w:tc>
        <w:tc>
          <w:tcPr>
            <w:tcW w:w="0" w:type="dxa"/>
            <w:vAlign w:val="bottom"/>
          </w:tcPr>
          <w:p>
            <w:pPr>
              <w:spacing w:after="0"/>
              <w:rPr>
                <w:sz w:val="1"/>
                <w:szCs w:val="1"/>
                <w:color w:val="auto"/>
              </w:rPr>
            </w:pPr>
          </w:p>
        </w:tc>
      </w:tr>
      <w:tr>
        <w:trPr>
          <w:trHeight w:val="216"/>
        </w:trPr>
        <w:tc>
          <w:tcPr>
            <w:tcW w:w="786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Inventories</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(10,831)</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(10,831)</w:t>
            </w:r>
          </w:p>
        </w:tc>
        <w:tc>
          <w:tcPr>
            <w:tcW w:w="0" w:type="dxa"/>
            <w:vAlign w:val="bottom"/>
          </w:tcPr>
          <w:p>
            <w:pPr>
              <w:spacing w:after="0"/>
              <w:rPr>
                <w:sz w:val="1"/>
                <w:szCs w:val="1"/>
                <w:color w:val="auto"/>
              </w:rPr>
            </w:pPr>
          </w:p>
        </w:tc>
      </w:tr>
      <w:tr>
        <w:trPr>
          <w:trHeight w:val="216"/>
        </w:trPr>
        <w:tc>
          <w:tcPr>
            <w:tcW w:w="7860" w:type="dxa"/>
            <w:vAlign w:val="bottom"/>
            <w:gridSpan w:val="2"/>
          </w:tcPr>
          <w:p>
            <w:pPr>
              <w:ind w:left="880"/>
              <w:spacing w:after="0"/>
              <w:rPr>
                <w:sz w:val="20"/>
                <w:szCs w:val="20"/>
                <w:color w:val="auto"/>
              </w:rPr>
            </w:pPr>
            <w:r>
              <w:rPr>
                <w:rFonts w:ascii="Arial" w:cs="Arial" w:eastAsia="Arial" w:hAnsi="Arial"/>
                <w:sz w:val="18"/>
                <w:szCs w:val="18"/>
                <w:color w:val="auto"/>
              </w:rPr>
              <w:t>Other current assets</w:t>
            </w:r>
          </w:p>
        </w:tc>
        <w:tc>
          <w:tcPr>
            <w:tcW w:w="100" w:type="dxa"/>
            <w:vAlign w:val="bottom"/>
          </w:tcPr>
          <w:p>
            <w:pPr>
              <w:spacing w:after="0"/>
              <w:rPr>
                <w:sz w:val="18"/>
                <w:szCs w:val="18"/>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color w:val="auto"/>
              </w:rPr>
              <w:t>(1,491)</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(1,491)</w:t>
            </w:r>
          </w:p>
        </w:tc>
        <w:tc>
          <w:tcPr>
            <w:tcW w:w="0" w:type="dxa"/>
            <w:vAlign w:val="bottom"/>
          </w:tcPr>
          <w:p>
            <w:pPr>
              <w:spacing w:after="0"/>
              <w:rPr>
                <w:sz w:val="1"/>
                <w:szCs w:val="1"/>
                <w:color w:val="auto"/>
              </w:rPr>
            </w:pPr>
          </w:p>
        </w:tc>
      </w:tr>
      <w:tr>
        <w:trPr>
          <w:trHeight w:val="216"/>
        </w:trPr>
        <w:tc>
          <w:tcPr>
            <w:tcW w:w="786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Notes receivable, net</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830</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(830) (a)</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7860" w:type="dxa"/>
            <w:vAlign w:val="bottom"/>
            <w:gridSpan w:val="2"/>
          </w:tcPr>
          <w:p>
            <w:pPr>
              <w:ind w:left="880"/>
              <w:spacing w:after="0"/>
              <w:rPr>
                <w:sz w:val="20"/>
                <w:szCs w:val="20"/>
                <w:color w:val="auto"/>
              </w:rPr>
            </w:pPr>
            <w:r>
              <w:rPr>
                <w:rFonts w:ascii="Arial" w:cs="Arial" w:eastAsia="Arial" w:hAnsi="Arial"/>
                <w:sz w:val="18"/>
                <w:szCs w:val="18"/>
                <w:color w:val="auto"/>
              </w:rPr>
              <w:t>Accounts payable and accrued liabilities</w:t>
            </w:r>
          </w:p>
        </w:tc>
        <w:tc>
          <w:tcPr>
            <w:tcW w:w="10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1,682</w:t>
            </w: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1,682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960" w:type="dxa"/>
            <w:vAlign w:val="bottom"/>
            <w:shd w:val="clear" w:color="auto" w:fill="CCEEFF"/>
          </w:tcPr>
          <w:p>
            <w:pPr>
              <w:spacing w:after="0"/>
              <w:rPr>
                <w:sz w:val="18"/>
                <w:szCs w:val="18"/>
                <w:color w:val="auto"/>
              </w:rPr>
            </w:pPr>
          </w:p>
        </w:tc>
        <w:tc>
          <w:tcPr>
            <w:tcW w:w="690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rPr>
              <w:t>Net Cash Used In Operating Activities</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(4,685)</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(622)</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(5,307)</w:t>
            </w:r>
          </w:p>
        </w:tc>
        <w:tc>
          <w:tcPr>
            <w:tcW w:w="0" w:type="dxa"/>
            <w:vAlign w:val="bottom"/>
          </w:tcPr>
          <w:p>
            <w:pPr>
              <w:spacing w:after="0"/>
              <w:rPr>
                <w:sz w:val="1"/>
                <w:szCs w:val="1"/>
                <w:color w:val="auto"/>
              </w:rPr>
            </w:pPr>
          </w:p>
        </w:tc>
      </w:tr>
      <w:tr>
        <w:trPr>
          <w:trHeight w:val="221"/>
        </w:trPr>
        <w:tc>
          <w:tcPr>
            <w:tcW w:w="7860" w:type="dxa"/>
            <w:vAlign w:val="bottom"/>
            <w:gridSpan w:val="2"/>
          </w:tcPr>
          <w:p>
            <w:pPr>
              <w:spacing w:after="0"/>
              <w:rPr>
                <w:sz w:val="20"/>
                <w:szCs w:val="20"/>
                <w:color w:val="auto"/>
              </w:rPr>
            </w:pPr>
            <w:r>
              <w:rPr>
                <w:rFonts w:ascii="Arial" w:cs="Arial" w:eastAsia="Arial" w:hAnsi="Arial"/>
                <w:sz w:val="18"/>
                <w:szCs w:val="18"/>
                <w:b w:val="1"/>
                <w:bCs w:val="1"/>
                <w:color w:val="auto"/>
              </w:rPr>
              <w:t>Investing Activities</w:t>
            </w:r>
          </w:p>
        </w:tc>
        <w:tc>
          <w:tcPr>
            <w:tcW w:w="100" w:type="dxa"/>
            <w:vAlign w:val="bottom"/>
            <w:tcBorders>
              <w:top w:val="single" w:sz="8" w:color="auto"/>
            </w:tcBorders>
          </w:tcPr>
          <w:p>
            <w:pPr>
              <w:spacing w:after="0"/>
              <w:rPr>
                <w:sz w:val="19"/>
                <w:szCs w:val="19"/>
                <w:color w:val="auto"/>
              </w:rPr>
            </w:pPr>
          </w:p>
        </w:tc>
        <w:tc>
          <w:tcPr>
            <w:tcW w:w="680" w:type="dxa"/>
            <w:vAlign w:val="bottom"/>
            <w:tcBorders>
              <w:top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7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Purchases of property and equipment</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(7,866)</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(7,866)</w:t>
            </w:r>
          </w:p>
        </w:tc>
        <w:tc>
          <w:tcPr>
            <w:tcW w:w="0" w:type="dxa"/>
            <w:vAlign w:val="bottom"/>
          </w:tcPr>
          <w:p>
            <w:pPr>
              <w:spacing w:after="0"/>
              <w:rPr>
                <w:sz w:val="1"/>
                <w:szCs w:val="1"/>
                <w:color w:val="auto"/>
              </w:rPr>
            </w:pPr>
          </w:p>
        </w:tc>
      </w:tr>
      <w:tr>
        <w:trPr>
          <w:trHeight w:val="216"/>
        </w:trPr>
        <w:tc>
          <w:tcPr>
            <w:tcW w:w="7860" w:type="dxa"/>
            <w:vAlign w:val="bottom"/>
            <w:gridSpan w:val="2"/>
          </w:tcPr>
          <w:p>
            <w:pPr>
              <w:spacing w:after="0"/>
              <w:rPr>
                <w:sz w:val="20"/>
                <w:szCs w:val="20"/>
                <w:color w:val="auto"/>
              </w:rPr>
            </w:pPr>
            <w:r>
              <w:rPr>
                <w:rFonts w:ascii="Arial" w:cs="Arial" w:eastAsia="Arial" w:hAnsi="Arial"/>
                <w:sz w:val="18"/>
                <w:szCs w:val="18"/>
                <w:color w:val="auto"/>
              </w:rPr>
              <w:t>Purchases of retail real estate</w:t>
            </w:r>
          </w:p>
        </w:tc>
        <w:tc>
          <w:tcPr>
            <w:tcW w:w="100" w:type="dxa"/>
            <w:vAlign w:val="bottom"/>
          </w:tcPr>
          <w:p>
            <w:pPr>
              <w:spacing w:after="0"/>
              <w:rPr>
                <w:sz w:val="18"/>
                <w:szCs w:val="18"/>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color w:val="auto"/>
              </w:rPr>
              <w:t>(3,177)</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(3,177)</w:t>
            </w:r>
          </w:p>
        </w:tc>
        <w:tc>
          <w:tcPr>
            <w:tcW w:w="0" w:type="dxa"/>
            <w:vAlign w:val="bottom"/>
          </w:tcPr>
          <w:p>
            <w:pPr>
              <w:spacing w:after="0"/>
              <w:rPr>
                <w:sz w:val="1"/>
                <w:szCs w:val="1"/>
                <w:color w:val="auto"/>
              </w:rPr>
            </w:pPr>
          </w:p>
        </w:tc>
      </w:tr>
      <w:tr>
        <w:trPr>
          <w:trHeight w:val="216"/>
        </w:trPr>
        <w:tc>
          <w:tcPr>
            <w:tcW w:w="7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Proceeds from sales of property and equipment</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8,362</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8,362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860" w:type="dxa"/>
            <w:vAlign w:val="bottom"/>
            <w:gridSpan w:val="2"/>
          </w:tcPr>
          <w:p>
            <w:pPr>
              <w:spacing w:after="0"/>
              <w:rPr>
                <w:sz w:val="20"/>
                <w:szCs w:val="20"/>
                <w:color w:val="auto"/>
              </w:rPr>
            </w:pPr>
            <w:r>
              <w:rPr>
                <w:rFonts w:ascii="Arial" w:cs="Arial" w:eastAsia="Arial" w:hAnsi="Arial"/>
                <w:sz w:val="18"/>
                <w:szCs w:val="18"/>
                <w:color w:val="auto"/>
              </w:rPr>
              <w:t>Proceeds from sales of investments</w:t>
            </w: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24,019</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98"/>
              </w:rPr>
              <w:t>24,019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Purchases of investments</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(24,979)</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(24,979)</w:t>
            </w:r>
          </w:p>
        </w:tc>
        <w:tc>
          <w:tcPr>
            <w:tcW w:w="0" w:type="dxa"/>
            <w:vAlign w:val="bottom"/>
          </w:tcPr>
          <w:p>
            <w:pPr>
              <w:spacing w:after="0"/>
              <w:rPr>
                <w:sz w:val="1"/>
                <w:szCs w:val="1"/>
                <w:color w:val="auto"/>
              </w:rPr>
            </w:pPr>
          </w:p>
        </w:tc>
      </w:tr>
      <w:tr>
        <w:trPr>
          <w:trHeight w:val="216"/>
        </w:trPr>
        <w:tc>
          <w:tcPr>
            <w:tcW w:w="7860" w:type="dxa"/>
            <w:vAlign w:val="bottom"/>
            <w:gridSpan w:val="2"/>
          </w:tcPr>
          <w:p>
            <w:pPr>
              <w:spacing w:after="0"/>
              <w:rPr>
                <w:sz w:val="20"/>
                <w:szCs w:val="20"/>
                <w:color w:val="auto"/>
              </w:rPr>
            </w:pPr>
            <w:r>
              <w:rPr>
                <w:rFonts w:ascii="Arial" w:cs="Arial" w:eastAsia="Arial" w:hAnsi="Arial"/>
                <w:sz w:val="18"/>
                <w:szCs w:val="18"/>
                <w:color w:val="auto"/>
              </w:rPr>
              <w:t>Dividends from an affiliate</w:t>
            </w: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5,623</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5,623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cash received on licensee notes</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622 (a)</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7860" w:type="dxa"/>
            <w:vAlign w:val="bottom"/>
            <w:gridSpan w:val="2"/>
          </w:tcPr>
          <w:p>
            <w:pPr>
              <w:spacing w:after="0"/>
              <w:rPr>
                <w:sz w:val="20"/>
                <w:szCs w:val="20"/>
                <w:color w:val="auto"/>
              </w:rPr>
            </w:pPr>
            <w:r>
              <w:rPr>
                <w:rFonts w:ascii="Arial" w:cs="Arial" w:eastAsia="Arial" w:hAnsi="Arial"/>
                <w:sz w:val="18"/>
                <w:szCs w:val="18"/>
                <w:color w:val="auto"/>
              </w:rPr>
              <w:t>Other, net</w:t>
            </w:r>
          </w:p>
        </w:tc>
        <w:tc>
          <w:tcPr>
            <w:tcW w:w="100" w:type="dxa"/>
            <w:vAlign w:val="bottom"/>
          </w:tcPr>
          <w:p>
            <w:pPr>
              <w:spacing w:after="0"/>
              <w:rPr>
                <w:sz w:val="19"/>
                <w:szCs w:val="19"/>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color w:val="auto"/>
              </w:rPr>
              <w:t>(715)</w:t>
            </w:r>
          </w:p>
        </w:tc>
        <w:tc>
          <w:tcPr>
            <w:tcW w:w="2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(715)</w:t>
            </w:r>
          </w:p>
        </w:tc>
        <w:tc>
          <w:tcPr>
            <w:tcW w:w="0" w:type="dxa"/>
            <w:vAlign w:val="bottom"/>
          </w:tcPr>
          <w:p>
            <w:pPr>
              <w:spacing w:after="0"/>
              <w:rPr>
                <w:sz w:val="1"/>
                <w:szCs w:val="1"/>
                <w:color w:val="auto"/>
              </w:rPr>
            </w:pPr>
          </w:p>
        </w:tc>
      </w:tr>
      <w:tr>
        <w:trPr>
          <w:trHeight w:val="216"/>
        </w:trPr>
        <w:tc>
          <w:tcPr>
            <w:tcW w:w="960" w:type="dxa"/>
            <w:vAlign w:val="bottom"/>
            <w:shd w:val="clear" w:color="auto" w:fill="CCEEFF"/>
          </w:tcPr>
          <w:p>
            <w:pPr>
              <w:spacing w:after="0"/>
              <w:rPr>
                <w:sz w:val="18"/>
                <w:szCs w:val="18"/>
                <w:color w:val="auto"/>
              </w:rPr>
            </w:pPr>
          </w:p>
        </w:tc>
        <w:tc>
          <w:tcPr>
            <w:tcW w:w="690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rPr>
              <w:t>Net Cash Provided By Investing Activities</w:t>
            </w: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1,267</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480" w:type="dxa"/>
            <w:vAlign w:val="bottom"/>
            <w:tcBorders>
              <w:top w:val="single" w:sz="8" w:color="auto"/>
              <w:bottom w:val="single" w:sz="8" w:color="auto"/>
            </w:tcBorders>
            <w:shd w:val="clear" w:color="auto" w:fill="CCEEFF"/>
          </w:tcPr>
          <w:p>
            <w:pPr>
              <w:ind w:left="220"/>
              <w:spacing w:after="0"/>
              <w:rPr>
                <w:sz w:val="20"/>
                <w:szCs w:val="20"/>
                <w:color w:val="auto"/>
              </w:rPr>
            </w:pPr>
            <w:r>
              <w:rPr>
                <w:rFonts w:ascii="Arial" w:cs="Arial" w:eastAsia="Arial" w:hAnsi="Arial"/>
                <w:sz w:val="18"/>
                <w:szCs w:val="18"/>
                <w:color w:val="auto"/>
                <w:w w:val="79"/>
              </w:rPr>
              <w:t>622</w:t>
            </w:r>
          </w:p>
        </w:tc>
        <w:tc>
          <w:tcPr>
            <w:tcW w:w="78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1,889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7860" w:type="dxa"/>
            <w:vAlign w:val="bottom"/>
            <w:gridSpan w:val="2"/>
          </w:tcPr>
          <w:p>
            <w:pPr>
              <w:spacing w:after="0"/>
              <w:rPr>
                <w:sz w:val="20"/>
                <w:szCs w:val="20"/>
                <w:color w:val="auto"/>
              </w:rPr>
            </w:pPr>
            <w:r>
              <w:rPr>
                <w:rFonts w:ascii="Arial" w:cs="Arial" w:eastAsia="Arial" w:hAnsi="Arial"/>
                <w:sz w:val="18"/>
                <w:szCs w:val="18"/>
                <w:b w:val="1"/>
                <w:bCs w:val="1"/>
                <w:color w:val="auto"/>
              </w:rPr>
              <w:t>Financing Activities</w:t>
            </w:r>
          </w:p>
        </w:tc>
        <w:tc>
          <w:tcPr>
            <w:tcW w:w="1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7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Repayments of real estate notes payable</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(201)</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(201)</w:t>
            </w:r>
          </w:p>
        </w:tc>
        <w:tc>
          <w:tcPr>
            <w:tcW w:w="0" w:type="dxa"/>
            <w:vAlign w:val="bottom"/>
          </w:tcPr>
          <w:p>
            <w:pPr>
              <w:spacing w:after="0"/>
              <w:rPr>
                <w:sz w:val="1"/>
                <w:szCs w:val="1"/>
                <w:color w:val="auto"/>
              </w:rPr>
            </w:pPr>
          </w:p>
        </w:tc>
      </w:tr>
      <w:tr>
        <w:trPr>
          <w:trHeight w:val="216"/>
        </w:trPr>
        <w:tc>
          <w:tcPr>
            <w:tcW w:w="7860" w:type="dxa"/>
            <w:vAlign w:val="bottom"/>
            <w:gridSpan w:val="2"/>
          </w:tcPr>
          <w:p>
            <w:pPr>
              <w:spacing w:after="0"/>
              <w:rPr>
                <w:sz w:val="20"/>
                <w:szCs w:val="20"/>
                <w:color w:val="auto"/>
              </w:rPr>
            </w:pPr>
            <w:r>
              <w:rPr>
                <w:rFonts w:ascii="Arial" w:cs="Arial" w:eastAsia="Arial" w:hAnsi="Arial"/>
                <w:sz w:val="18"/>
                <w:szCs w:val="18"/>
                <w:color w:val="auto"/>
              </w:rPr>
              <w:t>Issuance of common stock</w:t>
            </w: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2,587</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2,587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Repurchases of common stock</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(772)</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(772)</w:t>
            </w:r>
          </w:p>
        </w:tc>
        <w:tc>
          <w:tcPr>
            <w:tcW w:w="0" w:type="dxa"/>
            <w:vAlign w:val="bottom"/>
          </w:tcPr>
          <w:p>
            <w:pPr>
              <w:spacing w:after="0"/>
              <w:rPr>
                <w:sz w:val="1"/>
                <w:szCs w:val="1"/>
                <w:color w:val="auto"/>
              </w:rPr>
            </w:pPr>
          </w:p>
        </w:tc>
      </w:tr>
      <w:tr>
        <w:trPr>
          <w:trHeight w:val="216"/>
        </w:trPr>
        <w:tc>
          <w:tcPr>
            <w:tcW w:w="7860" w:type="dxa"/>
            <w:vAlign w:val="bottom"/>
            <w:gridSpan w:val="2"/>
          </w:tcPr>
          <w:p>
            <w:pPr>
              <w:spacing w:after="0"/>
              <w:rPr>
                <w:sz w:val="20"/>
                <w:szCs w:val="20"/>
                <w:color w:val="auto"/>
              </w:rPr>
            </w:pPr>
            <w:r>
              <w:rPr>
                <w:rFonts w:ascii="Arial" w:cs="Arial" w:eastAsia="Arial" w:hAnsi="Arial"/>
                <w:sz w:val="18"/>
                <w:szCs w:val="18"/>
                <w:color w:val="auto"/>
              </w:rPr>
              <w:t>Cash dividends</w:t>
            </w:r>
          </w:p>
        </w:tc>
        <w:tc>
          <w:tcPr>
            <w:tcW w:w="100" w:type="dxa"/>
            <w:vAlign w:val="bottom"/>
          </w:tcPr>
          <w:p>
            <w:pPr>
              <w:spacing w:after="0"/>
              <w:rPr>
                <w:sz w:val="18"/>
                <w:szCs w:val="18"/>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color w:val="auto"/>
              </w:rPr>
              <w:t>(9,355)</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(9,355)</w:t>
            </w:r>
          </w:p>
        </w:tc>
        <w:tc>
          <w:tcPr>
            <w:tcW w:w="0" w:type="dxa"/>
            <w:vAlign w:val="bottom"/>
          </w:tcPr>
          <w:p>
            <w:pPr>
              <w:spacing w:after="0"/>
              <w:rPr>
                <w:sz w:val="1"/>
                <w:szCs w:val="1"/>
                <w:color w:val="auto"/>
              </w:rPr>
            </w:pPr>
          </w:p>
        </w:tc>
      </w:tr>
      <w:tr>
        <w:trPr>
          <w:trHeight w:val="27"/>
        </w:trPr>
        <w:tc>
          <w:tcPr>
            <w:tcW w:w="960" w:type="dxa"/>
            <w:vAlign w:val="bottom"/>
          </w:tcPr>
          <w:p>
            <w:pPr>
              <w:spacing w:after="0"/>
              <w:rPr>
                <w:sz w:val="2"/>
                <w:szCs w:val="2"/>
                <w:color w:val="auto"/>
              </w:rPr>
            </w:pPr>
          </w:p>
        </w:tc>
        <w:tc>
          <w:tcPr>
            <w:tcW w:w="69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960" w:type="dxa"/>
            <w:vAlign w:val="bottom"/>
            <w:shd w:val="clear" w:color="auto" w:fill="CCEEFF"/>
          </w:tcPr>
          <w:p>
            <w:pPr>
              <w:spacing w:after="0"/>
              <w:rPr>
                <w:sz w:val="18"/>
                <w:szCs w:val="18"/>
                <w:color w:val="auto"/>
              </w:rPr>
            </w:pPr>
          </w:p>
        </w:tc>
        <w:tc>
          <w:tcPr>
            <w:tcW w:w="690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rPr>
              <w:t>Net Cash Used In Financing Activities</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(7,741)</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(7,741)</w:t>
            </w:r>
          </w:p>
        </w:tc>
        <w:tc>
          <w:tcPr>
            <w:tcW w:w="0" w:type="dxa"/>
            <w:vAlign w:val="bottom"/>
          </w:tcPr>
          <w:p>
            <w:pPr>
              <w:spacing w:after="0"/>
              <w:rPr>
                <w:sz w:val="1"/>
                <w:szCs w:val="1"/>
                <w:color w:val="auto"/>
              </w:rPr>
            </w:pPr>
          </w:p>
        </w:tc>
      </w:tr>
      <w:tr>
        <w:trPr>
          <w:trHeight w:val="20"/>
        </w:trPr>
        <w:tc>
          <w:tcPr>
            <w:tcW w:w="786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Change In Cash And Cash Equivalents</w:t>
            </w: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7860" w:type="dxa"/>
            <w:vAlign w:val="bottom"/>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color w:val="auto"/>
              </w:rPr>
              <w:t>(11,159)</w:t>
            </w:r>
          </w:p>
        </w:tc>
        <w:tc>
          <w:tcPr>
            <w:tcW w:w="2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6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w w:val="89"/>
              </w:rPr>
              <w:t>(11,159)</w:t>
            </w:r>
          </w:p>
        </w:tc>
        <w:tc>
          <w:tcPr>
            <w:tcW w:w="0" w:type="dxa"/>
            <w:vAlign w:val="bottom"/>
          </w:tcPr>
          <w:p>
            <w:pPr>
              <w:spacing w:after="0"/>
              <w:rPr>
                <w:sz w:val="1"/>
                <w:szCs w:val="1"/>
                <w:color w:val="auto"/>
              </w:rPr>
            </w:pPr>
          </w:p>
        </w:tc>
      </w:tr>
      <w:tr>
        <w:trPr>
          <w:trHeight w:val="218"/>
        </w:trPr>
        <w:tc>
          <w:tcPr>
            <w:tcW w:w="78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 beginning of year</w:t>
            </w:r>
          </w:p>
        </w:tc>
        <w:tc>
          <w:tcPr>
            <w:tcW w:w="10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15,181</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15,181</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7860" w:type="dxa"/>
            <w:vAlign w:val="bottom"/>
            <w:gridSpan w:val="2"/>
          </w:tcPr>
          <w:p>
            <w:pPr>
              <w:spacing w:after="0"/>
              <w:rPr>
                <w:sz w:val="20"/>
                <w:szCs w:val="20"/>
                <w:color w:val="auto"/>
              </w:rPr>
            </w:pPr>
            <w:r>
              <w:rPr>
                <w:rFonts w:ascii="Arial" w:cs="Arial" w:eastAsia="Arial" w:hAnsi="Arial"/>
                <w:sz w:val="18"/>
                <w:szCs w:val="18"/>
                <w:b w:val="1"/>
                <w:bCs w:val="1"/>
                <w:color w:val="auto"/>
              </w:rPr>
              <w:t>Cash And Cash Equivalents - end of year</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4,022</w:t>
            </w:r>
          </w:p>
        </w:tc>
        <w:tc>
          <w:tcPr>
            <w:tcW w:w="300" w:type="dxa"/>
            <w:vAlign w:val="bottom"/>
          </w:tcPr>
          <w:p>
            <w:pPr>
              <w:spacing w:after="0"/>
              <w:rPr>
                <w:sz w:val="19"/>
                <w:szCs w:val="19"/>
                <w:color w:val="auto"/>
              </w:rPr>
            </w:pPr>
          </w:p>
        </w:tc>
        <w:tc>
          <w:tcPr>
            <w:tcW w:w="500" w:type="dxa"/>
            <w:vAlign w:val="bottom"/>
            <w:gridSpan w:val="2"/>
          </w:tcPr>
          <w:p>
            <w:pPr>
              <w:ind w:left="240"/>
              <w:spacing w:after="0"/>
              <w:rPr>
                <w:sz w:val="20"/>
                <w:szCs w:val="20"/>
                <w:color w:val="auto"/>
              </w:rPr>
            </w:pPr>
            <w:r>
              <w:rPr>
                <w:rFonts w:ascii="Arial" w:cs="Arial" w:eastAsia="Arial" w:hAnsi="Arial"/>
                <w:sz w:val="18"/>
                <w:szCs w:val="18"/>
                <w:color w:val="auto"/>
              </w:rPr>
              <w:t>$</w:t>
            </w:r>
          </w:p>
        </w:tc>
        <w:tc>
          <w:tcPr>
            <w:tcW w:w="126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4,022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960" w:type="dxa"/>
            <w:vAlign w:val="bottom"/>
          </w:tcPr>
          <w:p>
            <w:pPr>
              <w:spacing w:after="0" w:line="20" w:lineRule="exact"/>
              <w:rPr>
                <w:sz w:val="1"/>
                <w:szCs w:val="1"/>
                <w:color w:val="auto"/>
              </w:rPr>
            </w:pPr>
          </w:p>
        </w:tc>
        <w:tc>
          <w:tcPr>
            <w:tcW w:w="69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960" w:type="dxa"/>
            <w:vAlign w:val="bottom"/>
            <w:tcBorders>
              <w:bottom w:val="single" w:sz="8" w:color="auto"/>
            </w:tcBorders>
          </w:tcPr>
          <w:p>
            <w:pPr>
              <w:spacing w:after="0"/>
              <w:rPr>
                <w:sz w:val="8"/>
                <w:szCs w:val="8"/>
                <w:color w:val="auto"/>
              </w:rPr>
            </w:pPr>
          </w:p>
        </w:tc>
        <w:tc>
          <w:tcPr>
            <w:tcW w:w="6900" w:type="dxa"/>
            <w:vAlign w:val="bottom"/>
          </w:tcPr>
          <w:p>
            <w:pPr>
              <w:spacing w:after="0"/>
              <w:rPr>
                <w:sz w:val="8"/>
                <w:szCs w:val="8"/>
                <w:color w:val="auto"/>
              </w:rPr>
            </w:pPr>
          </w:p>
        </w:tc>
        <w:tc>
          <w:tcPr>
            <w:tcW w:w="100" w:type="dxa"/>
            <w:vAlign w:val="bottom"/>
          </w:tcPr>
          <w:p>
            <w:pPr>
              <w:spacing w:after="0"/>
              <w:rPr>
                <w:sz w:val="8"/>
                <w:szCs w:val="8"/>
                <w:color w:val="auto"/>
              </w:rPr>
            </w:pPr>
          </w:p>
        </w:tc>
        <w:tc>
          <w:tcPr>
            <w:tcW w:w="680" w:type="dxa"/>
            <w:vAlign w:val="bottom"/>
          </w:tcPr>
          <w:p>
            <w:pPr>
              <w:spacing w:after="0"/>
              <w:rPr>
                <w:sz w:val="8"/>
                <w:szCs w:val="8"/>
                <w:color w:val="auto"/>
              </w:rPr>
            </w:pPr>
          </w:p>
        </w:tc>
        <w:tc>
          <w:tcPr>
            <w:tcW w:w="300" w:type="dxa"/>
            <w:vAlign w:val="bottom"/>
          </w:tcPr>
          <w:p>
            <w:pPr>
              <w:spacing w:after="0"/>
              <w:rPr>
                <w:sz w:val="8"/>
                <w:szCs w:val="8"/>
                <w:color w:val="auto"/>
              </w:rPr>
            </w:pPr>
          </w:p>
        </w:tc>
        <w:tc>
          <w:tcPr>
            <w:tcW w:w="240" w:type="dxa"/>
            <w:vAlign w:val="bottom"/>
          </w:tcPr>
          <w:p>
            <w:pPr>
              <w:spacing w:after="0"/>
              <w:rPr>
                <w:sz w:val="8"/>
                <w:szCs w:val="8"/>
                <w:color w:val="auto"/>
              </w:rPr>
            </w:pPr>
          </w:p>
        </w:tc>
        <w:tc>
          <w:tcPr>
            <w:tcW w:w="260" w:type="dxa"/>
            <w:vAlign w:val="bottom"/>
          </w:tcPr>
          <w:p>
            <w:pPr>
              <w:spacing w:after="0"/>
              <w:rPr>
                <w:sz w:val="8"/>
                <w:szCs w:val="8"/>
                <w:color w:val="auto"/>
              </w:rPr>
            </w:pPr>
          </w:p>
        </w:tc>
        <w:tc>
          <w:tcPr>
            <w:tcW w:w="48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00" w:lineRule="exact"/>
        <w:rPr>
          <w:sz w:val="20"/>
          <w:szCs w:val="20"/>
          <w:color w:val="auto"/>
        </w:rPr>
      </w:pPr>
    </w:p>
    <w:p>
      <w:pPr>
        <w:ind w:left="5500" w:right="3200" w:hanging="5492"/>
        <w:spacing w:after="0" w:line="440" w:lineRule="auto"/>
        <w:tabs>
          <w:tab w:leader="none" w:pos="45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Represents the restatement of net cash inflows associated with licensee notes receivable to investing activities. F - 25</w:t>
      </w:r>
    </w:p>
    <w:p>
      <w:pPr>
        <w:sectPr>
          <w:pgSz w:w="11900" w:h="16838" w:orient="portrait"/>
          <w:cols w:equalWidth="0" w:num="1">
            <w:col w:w="11420"/>
          </w:cols>
          <w:pgMar w:left="240" w:top="459" w:right="23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59" w:lineRule="exact"/>
        <w:rPr>
          <w:sz w:val="20"/>
          <w:szCs w:val="20"/>
          <w:color w:val="auto"/>
        </w:rPr>
      </w:pPr>
    </w:p>
    <w:p>
      <w:pPr>
        <w:ind w:right="8160" w:firstLine="8"/>
        <w:spacing w:after="0" w:line="417" w:lineRule="auto"/>
        <w:tabs>
          <w:tab w:leader="none" w:pos="176" w:val="left"/>
        </w:tabs>
        <w:numPr>
          <w:ilvl w:val="0"/>
          <w:numId w:val="24"/>
        </w:numPr>
        <w:rPr>
          <w:rFonts w:ascii="Arial" w:cs="Arial" w:eastAsia="Arial" w:hAnsi="Arial"/>
          <w:sz w:val="15"/>
          <w:szCs w:val="15"/>
          <w:b w:val="1"/>
          <w:bCs w:val="1"/>
          <w:color w:val="auto"/>
        </w:rPr>
      </w:pPr>
      <w:r>
        <w:rPr>
          <w:rFonts w:ascii="Arial" w:cs="Arial" w:eastAsia="Arial" w:hAnsi="Arial"/>
          <w:sz w:val="15"/>
          <w:szCs w:val="15"/>
          <w:b w:val="1"/>
          <w:bCs w:val="1"/>
          <w:color w:val="auto"/>
        </w:rPr>
        <w:t>Significant Accounting Policies Principles of Consolidation and Fiscal Year</w:t>
      </w:r>
    </w:p>
    <w:p>
      <w:pPr>
        <w:spacing w:after="0" w:line="1" w:lineRule="exact"/>
        <w:rPr>
          <w:sz w:val="20"/>
          <w:szCs w:val="20"/>
          <w:color w:val="auto"/>
        </w:rPr>
      </w:pPr>
    </w:p>
    <w:p>
      <w:pPr>
        <w:jc w:val="both"/>
        <w:ind w:right="140"/>
        <w:spacing w:after="0" w:line="259" w:lineRule="auto"/>
        <w:rPr>
          <w:sz w:val="20"/>
          <w:szCs w:val="20"/>
          <w:color w:val="auto"/>
        </w:rPr>
      </w:pPr>
      <w:r>
        <w:rPr>
          <w:rFonts w:ascii="Arial" w:cs="Arial" w:eastAsia="Arial" w:hAnsi="Arial"/>
          <w:sz w:val="18"/>
          <w:szCs w:val="18"/>
          <w:color w:val="auto"/>
        </w:rPr>
        <w:t>The consolidated financial statements include the accounts of Bassett Furniture Industries, Incorporated and our majority-owned subsidiaries for whom we have operating control. We also consolidate variable interest entities for which we are the primary beneficiary. All significant intercompany balances and transactions are eliminated in consolidation. Our fiscal year ends on the Saturday nearest November 30.</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Equivalents</w:t>
      </w:r>
    </w:p>
    <w:p>
      <w:pPr>
        <w:spacing w:after="0" w:line="96" w:lineRule="exact"/>
        <w:rPr>
          <w:sz w:val="20"/>
          <w:szCs w:val="20"/>
          <w:color w:val="auto"/>
        </w:rPr>
      </w:pPr>
    </w:p>
    <w:p>
      <w:pPr>
        <w:ind w:right="400"/>
        <w:spacing w:after="0" w:line="268" w:lineRule="auto"/>
        <w:rPr>
          <w:sz w:val="20"/>
          <w:szCs w:val="20"/>
          <w:color w:val="auto"/>
        </w:rPr>
      </w:pPr>
      <w:r>
        <w:rPr>
          <w:rFonts w:ascii="Arial" w:cs="Arial" w:eastAsia="Arial" w:hAnsi="Arial"/>
          <w:sz w:val="18"/>
          <w:szCs w:val="18"/>
          <w:color w:val="auto"/>
        </w:rPr>
        <w:t>All temporary, highly liquid investments with original maturities of three months or less are considered to be cash equivalents. The carrying amount of these investments approximates fair value.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Accounts Receivable and Notes Receivable</w:t>
      </w:r>
    </w:p>
    <w:p>
      <w:pPr>
        <w:spacing w:after="0" w:line="96"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Substantially all of our trade accounts receivable and notes receivable are due from customers located within the United States. We maintain an allowance for doubtful accounts for estimated losses resulting from the inability of our customers to make required payments. The allowance for doubtful accounts is based on a review of specifically identified accounts in addition to an overall aging analysis. Judgments are made with respect to the collectibility of accounts receivable based on historical experience and current economic trends. Actual losses could differ from those estimates. Allowances for doubtful accounts were $5,746 and $3,726 at November 25, 2006, and November 26, 2005, respectively. Notes receivable reserves were $2,855 and $1,500 at November 25, 2006, and November 26, 2005, respectively. Accounts and notes receivable are generally secured by liens on merchandise sold to licensees.</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Concentrations of Credit Risk and Major Customers</w:t>
      </w:r>
    </w:p>
    <w:p>
      <w:pPr>
        <w:spacing w:after="0" w:line="96" w:lineRule="exact"/>
        <w:rPr>
          <w:sz w:val="20"/>
          <w:szCs w:val="20"/>
          <w:color w:val="auto"/>
        </w:rPr>
      </w:pPr>
    </w:p>
    <w:p>
      <w:pPr>
        <w:ind w:right="100"/>
        <w:spacing w:after="0" w:line="306" w:lineRule="auto"/>
        <w:rPr>
          <w:sz w:val="20"/>
          <w:szCs w:val="20"/>
          <w:color w:val="auto"/>
        </w:rPr>
      </w:pPr>
      <w:r>
        <w:rPr>
          <w:rFonts w:ascii="Arial" w:cs="Arial" w:eastAsia="Arial" w:hAnsi="Arial"/>
          <w:sz w:val="16"/>
          <w:szCs w:val="16"/>
          <w:color w:val="auto"/>
        </w:rPr>
        <w:t>Financial instruments that subject us to credit risk consist primarily of investments, accounts and notes receivable and financial guarantees. Investments are managed within established guidelines to mitigate risks. Accounts and notes receivable subject us to credit risk partially due to the concentration of amounts due from customers. In 2006 and 2005, no customer accounted for more than 10% of total net sales or total accounts receivable in the periods presented.</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Inventories</w:t>
      </w:r>
    </w:p>
    <w:p>
      <w:pPr>
        <w:spacing w:after="0" w:line="96"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Inventories (finished goods, work in process and raw materials) are stated at the lower of cost or market. Cost is determined for domestic manufactured furniture inventories using the last-in, first-out (“LIFO”) method. The cost of imported inventories is determined on a first-in, first-out (“FIFO”) basis. Inventories accounted for under the LIFO method represented 29% and 51% of total inventory before reserves at November 25, 2006, and November 26, 2005, respectively. We estimate inventory reserves for excess quantities and obsolete items based on specific identification and historical write-offs, taking into account future demand and market conditions. If actual demand or market conditions in the future are less favorable than those estimated, additional inventory write-downs may be required.</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Property and Equipment</w:t>
      </w:r>
    </w:p>
    <w:p>
      <w:pPr>
        <w:spacing w:after="0" w:line="96" w:lineRule="exact"/>
        <w:rPr>
          <w:sz w:val="20"/>
          <w:szCs w:val="20"/>
          <w:color w:val="auto"/>
        </w:rPr>
      </w:pPr>
    </w:p>
    <w:p>
      <w:pPr>
        <w:ind w:right="20"/>
        <w:spacing w:after="0" w:line="294" w:lineRule="auto"/>
        <w:rPr>
          <w:sz w:val="20"/>
          <w:szCs w:val="20"/>
          <w:color w:val="auto"/>
        </w:rPr>
      </w:pPr>
      <w:r>
        <w:rPr>
          <w:rFonts w:ascii="Arial" w:cs="Arial" w:eastAsia="Arial" w:hAnsi="Arial"/>
          <w:sz w:val="16"/>
          <w:szCs w:val="16"/>
          <w:color w:val="auto"/>
        </w:rPr>
        <w:t>Property and equipment is comprised of all land, buildings and leasehold improvements and machinery and equipment used in the manufacturing and warehousing of furniture, our Company-owned retail operations and the administration of the wholesale and Company-owned retail operations. This property and equipment is stated at cost. Depreciation is computed over the estimated useful lives of the respective assets utilizing the straight-line method. Buildings and improvements are generally depreciated over a period of 10 to 39 years. Machinery and equipment are generally depreciated over a period of 5 to 10 years. Leasehold improvements are amortized based on the underlying lease term, or the asset’s estimated useful life, whichever is shorter.</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Retail Real Estate</w:t>
      </w:r>
    </w:p>
    <w:p>
      <w:pPr>
        <w:spacing w:after="0" w:line="96" w:lineRule="exact"/>
        <w:rPr>
          <w:sz w:val="20"/>
          <w:szCs w:val="20"/>
          <w:color w:val="auto"/>
        </w:rPr>
      </w:pPr>
    </w:p>
    <w:p>
      <w:pPr>
        <w:ind w:right="160"/>
        <w:spacing w:after="0" w:line="290" w:lineRule="auto"/>
        <w:rPr>
          <w:sz w:val="20"/>
          <w:szCs w:val="20"/>
          <w:color w:val="auto"/>
        </w:rPr>
      </w:pPr>
      <w:r>
        <w:rPr>
          <w:rFonts w:ascii="Arial" w:cs="Arial" w:eastAsia="Arial" w:hAnsi="Arial"/>
          <w:sz w:val="16"/>
          <w:szCs w:val="16"/>
          <w:color w:val="auto"/>
        </w:rPr>
        <w:t>Retail real estate is comprised of owned and leased properties utilized by licensee operated BFD stores. These properties are located in high traffic, upscale locations that are normally occupied by large successful national retailers. This real estate is stated at cost and depreciated over the useful lives of the respective assets utilizing the straight line method. Buildings and improvements are generally depreciated over a period of 10 to 39 years. Leasehold improvements are amortized based on the underlying lease term, or the asset’s estimated useful life, whichever is shorter. As of November 25, 2006, and November 26, 2005, the cost of retail real estate included land of $6,451 and $6,451, respectively, and building and leasehold improvements of $32,267 and $28,642, respectively. As of November 25, 2006, and November 26, 2005, accumulated depreciation of retail real estate was $5,217 and $3,453, respectively. Depreciation expense was $1,764, $1,200 and $962 in 2006, 2005 and 2004, respectively.</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- 26</w:t>
      </w:r>
    </w:p>
    <w:p>
      <w:pPr>
        <w:sectPr>
          <w:pgSz w:w="11900" w:h="16838" w:orient="portrait"/>
          <w:cols w:equalWidth="0" w:num="1">
            <w:col w:w="11400"/>
          </w:cols>
          <w:pgMar w:left="240" w:top="459" w:right="25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Goodwill</w:t>
      </w:r>
    </w:p>
    <w:p>
      <w:pPr>
        <w:spacing w:after="0" w:line="96"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As specified in Statement of Financial Accounting Standards (SFAS) No. 141, “Accounting for Business Combinations”, goodwill represents the excess of the purchase price over the value assigned to tangible assets and liabilities and identifiable intangible assets of businesses acquired. SFAS No. 142, “Goodwill and Intangible Assets”, requires that goodwill be reviewed for impairment annually or whenever events or changes in business circumstances indicate that the carrying value of the assets may not be recoverable. Our policy is to perform the annual impairment analysis as of the beginning of our fiscal fourth quarter. SFAS No. 142 also requires that the assets and liabilities acquired and the resulting goodwill be allocated to the entity’s respective reporting units. We have identified three reporting units for our business; Wholesale, Retail and Real Estate/Investments.</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Impairment of Long Lived Assets</w:t>
      </w:r>
    </w:p>
    <w:p>
      <w:pPr>
        <w:spacing w:after="0" w:line="96" w:lineRule="exact"/>
        <w:rPr>
          <w:sz w:val="20"/>
          <w:szCs w:val="20"/>
          <w:color w:val="auto"/>
        </w:rPr>
      </w:pPr>
    </w:p>
    <w:p>
      <w:pPr>
        <w:ind w:right="20"/>
        <w:spacing w:after="0" w:line="253" w:lineRule="auto"/>
        <w:rPr>
          <w:sz w:val="20"/>
          <w:szCs w:val="20"/>
          <w:color w:val="auto"/>
        </w:rPr>
      </w:pPr>
      <w:r>
        <w:rPr>
          <w:rFonts w:ascii="Arial" w:cs="Arial" w:eastAsia="Arial" w:hAnsi="Arial"/>
          <w:sz w:val="18"/>
          <w:szCs w:val="18"/>
          <w:color w:val="auto"/>
        </w:rPr>
        <w:t>We periodically evaluate whether events or circumstances have occurred that indicate long-lived assets may not be recoverable or that the remaining useful life may warrant revision. When such events or circumstances are present, we assess the recoverability of long-lived assets by determining whether the carrying value will be recovered through the expected undiscounted future cash flows resulting from the use of the asset. In the event the sum of the expected undiscounted future cash flows is less than the carrying value of the asset, an impairment loss equal to the excess of the asset’s carrying value over its fair value is recorded. Fair value is determined based on discounted cash flows or appraised values depending on the nature of the assets. The long-term nature of these assets requires the estimation of cash inflows and outflows several years into the future and only takes into consideration technological advances known at the time of the impairment test.</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Investments</w:t>
      </w:r>
    </w:p>
    <w:p>
      <w:pPr>
        <w:spacing w:after="0" w:line="96"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Our investments consist of a portfolio of marketable securities and the Bassett Industries Alternative Asset Fund (“Alternative Asset Fund”). We classify our marketable securities as available-for-sale, which are reported at fair value. Unrealized holding gains and losses, net of the related income tax effect, on available-for-sale securities are excluded from income and are reported as other comprehensive income in stockholders’ equity. Realized gains and losses from securities classified as available-for-sale are included in income and are determined using the specific identification method for ascertaining the cost of securities sold. All investments are marked-to-market and recorded at their fair value. Gains and losses on financial instruments that do not qualify as accounting hedges are recorded as other income or expense. Investments in the Alternative Asset Fund are valued on the basis of net asset value, with the resultant difference from the prior valuation included in the accompanying statements of income. The net asset value is determined by the investee fund based on its underlying financial instruments as provided by the general partner.</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Unconsolidated Affiliated Companies</w:t>
      </w:r>
    </w:p>
    <w:p>
      <w:pPr>
        <w:spacing w:after="0" w:line="96"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The equity method of accounting is used for our investments in affiliated companies in which we exercise significant influence but do not maintain operating control. For equity investments that have been reduced to zero through equity method losses, additional equity losses incurred have reduced notes receivable from the investee.</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 Recognition</w:t>
      </w:r>
    </w:p>
    <w:p>
      <w:pPr>
        <w:spacing w:after="0" w:line="96" w:lineRule="exact"/>
        <w:rPr>
          <w:sz w:val="20"/>
          <w:szCs w:val="20"/>
          <w:color w:val="auto"/>
        </w:rPr>
      </w:pPr>
    </w:p>
    <w:p>
      <w:pPr>
        <w:ind w:right="120"/>
        <w:spacing w:after="0" w:line="298" w:lineRule="auto"/>
        <w:rPr>
          <w:sz w:val="20"/>
          <w:szCs w:val="20"/>
          <w:color w:val="auto"/>
        </w:rPr>
      </w:pPr>
      <w:r>
        <w:rPr>
          <w:rFonts w:ascii="Arial" w:cs="Arial" w:eastAsia="Arial" w:hAnsi="Arial"/>
          <w:sz w:val="16"/>
          <w:szCs w:val="16"/>
          <w:color w:val="auto"/>
        </w:rPr>
        <w:t>Revenue is recognized when the risks and rewards of ownership and title to the product have transferred to the buyer. This occurs upon the shipment of goods to independent dealers or, in the case of Company-owned retail stores, upon delivery to the customer. We offer terms varying from 30 to 60 days for wholesale customers. Estimates for returns and allowances for advertising and promotional arrangements have been recorded as a reduction to revenue. The contracts with our licensee store owners do not provide for any royalty or license fee to be paid to us.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Income Taxes</w:t>
      </w:r>
    </w:p>
    <w:p>
      <w:pPr>
        <w:spacing w:after="0" w:line="96" w:lineRule="exact"/>
        <w:rPr>
          <w:sz w:val="20"/>
          <w:szCs w:val="20"/>
          <w:color w:val="auto"/>
        </w:rPr>
      </w:pPr>
    </w:p>
    <w:p>
      <w:pPr>
        <w:ind w:right="80"/>
        <w:spacing w:after="0" w:line="291" w:lineRule="auto"/>
        <w:rPr>
          <w:sz w:val="20"/>
          <w:szCs w:val="20"/>
          <w:color w:val="auto"/>
        </w:rPr>
      </w:pPr>
      <w:r>
        <w:rPr>
          <w:rFonts w:ascii="Arial" w:cs="Arial" w:eastAsia="Arial" w:hAnsi="Arial"/>
          <w:sz w:val="16"/>
          <w:szCs w:val="16"/>
          <w:color w:val="auto"/>
        </w:rPr>
        <w:t>Income taxes are accounted for under the asset and liability method in accordance with SFAS 109, “Accounting for Income Taxes”. Deferred tax assets and liabilities are recognized for future tax consequences attributable to differences between the financial statement carrying amounts of existing assets and liabilities and their respective tax bases and operating loss and tax credit carryforwards.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The Company provides valuation allowances against the net deferred tax asset for amounts that are not considered more likely than not to be realized.</w:t>
      </w:r>
    </w:p>
    <w:p>
      <w:pPr>
        <w:spacing w:after="0" w:line="120"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Significant judgment is required in evaluating the Company’s federal, state and foreign tax positions and in the determination of its tax provision. Despite management’s belief that the Company’s tax return positions are fully supportable, the Company may establish and has established reserves when it believes that certain tax positions are likely to be challenged and it may not fully prevail in overcoming</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- 27</w:t>
      </w:r>
    </w:p>
    <w:p>
      <w:pPr>
        <w:sectPr>
          <w:pgSz w:w="11900" w:h="16838" w:orient="portrait"/>
          <w:cols w:equalWidth="0" w:num="1">
            <w:col w:w="11400"/>
          </w:cols>
          <w:pgMar w:left="240" w:top="459" w:right="25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65" w:lineRule="exact"/>
        <w:rPr>
          <w:sz w:val="20"/>
          <w:szCs w:val="20"/>
          <w:color w:val="auto"/>
        </w:rPr>
      </w:pPr>
    </w:p>
    <w:p>
      <w:pPr>
        <w:jc w:val="both"/>
        <w:ind w:right="140"/>
        <w:spacing w:after="0" w:line="259" w:lineRule="auto"/>
        <w:rPr>
          <w:sz w:val="20"/>
          <w:szCs w:val="20"/>
          <w:color w:val="auto"/>
        </w:rPr>
      </w:pPr>
      <w:r>
        <w:rPr>
          <w:rFonts w:ascii="Arial" w:cs="Arial" w:eastAsia="Arial" w:hAnsi="Arial"/>
          <w:sz w:val="18"/>
          <w:szCs w:val="18"/>
          <w:color w:val="auto"/>
        </w:rPr>
        <w:t>these challenges. The Company may adjust these reserves as relevant circumstances evolve, such as guidance from the relevant tax authority, its tax advisors, or resolution of issues in the courts. The Company’s tax expense includes the impact of reserve provisions and changes to reserves that it considers appropriate, as well as related interest.</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Earnings per Share</w:t>
      </w:r>
    </w:p>
    <w:p>
      <w:pPr>
        <w:spacing w:after="0" w:line="96" w:lineRule="exact"/>
        <w:rPr>
          <w:sz w:val="20"/>
          <w:szCs w:val="20"/>
          <w:color w:val="auto"/>
        </w:rPr>
      </w:pPr>
    </w:p>
    <w:p>
      <w:pPr>
        <w:ind w:right="360"/>
        <w:spacing w:after="0" w:line="268" w:lineRule="auto"/>
        <w:rPr>
          <w:sz w:val="20"/>
          <w:szCs w:val="20"/>
          <w:color w:val="auto"/>
        </w:rPr>
      </w:pPr>
      <w:r>
        <w:rPr>
          <w:rFonts w:ascii="Arial" w:cs="Arial" w:eastAsia="Arial" w:hAnsi="Arial"/>
          <w:sz w:val="18"/>
          <w:szCs w:val="18"/>
          <w:color w:val="auto"/>
        </w:rPr>
        <w:t>Basic earnings per share is determined by dividing net income by the weighted average number of shares of common stock outstanding. Diluted earnings per share also considers the dilutive effect for stock options and restricted stock.</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Shipping and Handling Costs</w:t>
      </w:r>
    </w:p>
    <w:p>
      <w:pPr>
        <w:spacing w:after="0" w:line="96"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Costs incurred to deliver retail merchandise to customers are expensed and recorded in selling, general and administrative expense and totaled $2,775 for 2006, $2,385 for 2005 and $1,437 for 2004. Shipping and handling costs associated with wholesale sales to independent licensees and other customers are borne by the purchaser.</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Advertising</w:t>
      </w:r>
    </w:p>
    <w:p>
      <w:pPr>
        <w:spacing w:after="0" w:line="96" w:lineRule="exact"/>
        <w:rPr>
          <w:sz w:val="20"/>
          <w:szCs w:val="20"/>
          <w:color w:val="auto"/>
        </w:rPr>
      </w:pPr>
    </w:p>
    <w:p>
      <w:pPr>
        <w:ind w:right="220"/>
        <w:spacing w:after="0" w:line="268" w:lineRule="auto"/>
        <w:rPr>
          <w:sz w:val="20"/>
          <w:szCs w:val="20"/>
          <w:color w:val="auto"/>
        </w:rPr>
      </w:pPr>
      <w:r>
        <w:rPr>
          <w:rFonts w:ascii="Arial" w:cs="Arial" w:eastAsia="Arial" w:hAnsi="Arial"/>
          <w:sz w:val="18"/>
          <w:szCs w:val="18"/>
          <w:color w:val="auto"/>
        </w:rPr>
        <w:t>Costs incurred for producing and distributing advertising and advertising materials are expensed when incurred. Advertising costs, totaled $11,194, $9,278 and $9,881 and are included in selling, general and administrative expenses in 2006, 2005 and 2004, respectively.</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of Financial Instruments</w:t>
      </w:r>
    </w:p>
    <w:p>
      <w:pPr>
        <w:spacing w:after="0" w:line="96" w:lineRule="exact"/>
        <w:rPr>
          <w:sz w:val="20"/>
          <w:szCs w:val="20"/>
          <w:color w:val="auto"/>
        </w:rPr>
      </w:pPr>
    </w:p>
    <w:p>
      <w:pPr>
        <w:ind w:right="280"/>
        <w:spacing w:after="0" w:line="323" w:lineRule="auto"/>
        <w:rPr>
          <w:sz w:val="20"/>
          <w:szCs w:val="20"/>
          <w:color w:val="auto"/>
        </w:rPr>
      </w:pPr>
      <w:r>
        <w:rPr>
          <w:rFonts w:ascii="Arial" w:cs="Arial" w:eastAsia="Arial" w:hAnsi="Arial"/>
          <w:sz w:val="15"/>
          <w:szCs w:val="15"/>
          <w:color w:val="auto"/>
        </w:rPr>
        <w:t>Our financial instruments include cash and cash equivalents, accounts receivable, notes receivable, investment securities, cost and equity method investments, accounts payable and long-term debt. Because of their short maturity, the carrying amounts of cash and cash equivalents, accounts receivable, and accounts payable approximate fair value. Our cost and equity method investments generally involve entities for which it is not practical to determine fair values. The carrying amounts of notes receivable approximate fair value as the effective rates for these instruments are comparable to market rates at year-end.</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Insurance Reserves</w:t>
      </w:r>
    </w:p>
    <w:p>
      <w:pPr>
        <w:spacing w:after="0" w:line="96" w:lineRule="exact"/>
        <w:rPr>
          <w:sz w:val="20"/>
          <w:szCs w:val="20"/>
          <w:color w:val="auto"/>
        </w:rPr>
      </w:pPr>
    </w:p>
    <w:p>
      <w:pPr>
        <w:ind w:right="140"/>
        <w:spacing w:after="0" w:line="323" w:lineRule="auto"/>
        <w:rPr>
          <w:sz w:val="20"/>
          <w:szCs w:val="20"/>
          <w:color w:val="auto"/>
        </w:rPr>
      </w:pPr>
      <w:r>
        <w:rPr>
          <w:rFonts w:ascii="Arial" w:cs="Arial" w:eastAsia="Arial" w:hAnsi="Arial"/>
          <w:sz w:val="15"/>
          <w:szCs w:val="15"/>
          <w:color w:val="auto"/>
        </w:rPr>
        <w:t>We have insurance programs in place to cover workers’ compensation and health insurance claims. The insurance programs, which are funded through self-insured retention, are subject to various stop-loss limitations and partially re-insured through a captive insurance program. We accrue estimated losses using historical loss experience. Although we believe that the insurance reserves are adequate, the reserve estimates are based on historical experience, which may not be indicative of current and future losses. We adjust insurance reserves, as needed, in the event that future loss experience differs from historical loss patterns.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Variable Interest Entities</w:t>
      </w:r>
    </w:p>
    <w:p>
      <w:pPr>
        <w:spacing w:after="0" w:line="96"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In 2003, the FASB issued Interpretation No. 46, “Consolidation of Variable Interest Entities” (“FIN 46R”), which addresses the consolidation of certain business enterprises (“variable interest entities” or “VIEs”), to which the usual condition of consolidation, a controlling financial interest, does not apply. FIN 46R requires an entity to assess its equity investments, among other interests, to determine if they are variable interest entities. As defined in FIN 46R, VIEs are contractual, ownership or other interests in entities that change with the changes in the entities’ net asset value. Variable interests in an entity may arise from guarantees, leases, borrowings and other arrangements with the VIE. An entity that will absorb a majority of the variable interest entity’s expected losses or expected residual returns, as defined in FIN 46R, is considered the primary beneficiary of the VIE. Under FIN 46R, the primary beneficiary must include the VIE’s assets, liabilities and results of operations in its consolidated financial statements.</w:t>
      </w:r>
    </w:p>
    <w:p>
      <w:pPr>
        <w:spacing w:after="0" w:line="118" w:lineRule="exact"/>
        <w:rPr>
          <w:sz w:val="20"/>
          <w:szCs w:val="20"/>
          <w:color w:val="auto"/>
        </w:rPr>
      </w:pPr>
    </w:p>
    <w:p>
      <w:pPr>
        <w:ind w:right="40"/>
        <w:spacing w:after="0" w:line="290" w:lineRule="auto"/>
        <w:rPr>
          <w:sz w:val="20"/>
          <w:szCs w:val="20"/>
          <w:color w:val="auto"/>
        </w:rPr>
      </w:pPr>
      <w:r>
        <w:rPr>
          <w:rFonts w:ascii="Arial" w:cs="Arial" w:eastAsia="Arial" w:hAnsi="Arial"/>
          <w:sz w:val="16"/>
          <w:szCs w:val="16"/>
          <w:color w:val="auto"/>
        </w:rPr>
        <w:t>We analyzed our partnership licensee and our independent licensees under the requirements of FIN 46R. All of these licensees operate as Bassett Furniture Direct stores and are furniture retailers. We sell furniture to these licensees, and in some cases have extended credit beyond normal terms, made lease guarantees, guaranteed loans, or loaned directly to the licensees. Consistent with our critical accounting policies, we have recorded reserves for potential exposures related to these licensees. See Note 17 for disclosure of leases, lease guarantees and loan guarantees. Based on financial projections and best available information, substantially all licensees have sufficient equity to carry out their principal operating activities without additional subordinated financial support. We completed our assessment for potential VIEs, and concluded that these entities were not required to be consolidated by us. Since adoption of FIN 46R, we have and will continue to reassess the status of potential VIEs including when facts and circumstances surrounding each potential VIE change.</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- 28</w:t>
      </w:r>
    </w:p>
    <w:p>
      <w:pPr>
        <w:sectPr>
          <w:pgSz w:w="11900" w:h="16838" w:orient="portrait"/>
          <w:cols w:equalWidth="0" w:num="1">
            <w:col w:w="11400"/>
          </w:cols>
          <w:pgMar w:left="240" w:top="459" w:right="25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Pronouncements</w:t>
      </w:r>
    </w:p>
    <w:p>
      <w:pPr>
        <w:spacing w:after="0" w:line="96" w:lineRule="exact"/>
        <w:rPr>
          <w:sz w:val="20"/>
          <w:szCs w:val="20"/>
          <w:color w:val="auto"/>
        </w:rPr>
      </w:pPr>
    </w:p>
    <w:p>
      <w:pPr>
        <w:ind w:right="40"/>
        <w:spacing w:after="0" w:line="290" w:lineRule="auto"/>
        <w:rPr>
          <w:sz w:val="20"/>
          <w:szCs w:val="20"/>
          <w:color w:val="auto"/>
        </w:rPr>
      </w:pPr>
      <w:r>
        <w:rPr>
          <w:rFonts w:ascii="Arial" w:cs="Arial" w:eastAsia="Arial" w:hAnsi="Arial"/>
          <w:sz w:val="16"/>
          <w:szCs w:val="16"/>
          <w:color w:val="auto"/>
        </w:rPr>
        <w:t>In July 2006, the FASB issued FASB Interpretation No. 48, “Accounting for Uncertainty in Income Taxes – an Interpretation of FASB Statement No. 109” (“FIN 48”). FIN 48 provides a comprehensive model for the recognition, measurement, presentation and disclosure in a company’s financial statements of uncertain tax positions taken, or expected to be taken, on a tax return. If an income tax position exceeds a more likely than not (i.e., greater than 50%) probability of success upon tax audit, we recognize an income tax benefit in our financial statements. Additionally, companies are required to accrue interest and related penalties, if applicable, on all tax exposures consistent with the respective jurisdictional tax laws. This interpretation is effective for fiscal years beginning after December 15, 2006, our fiscal year ending November 30, 2008. We are in the process of evaluating this guidance and therefore have not yet determined the impact that FIN 48 will have on our financial statements.</w:t>
      </w:r>
    </w:p>
    <w:p>
      <w:pPr>
        <w:spacing w:after="0" w:line="118"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In September 2006, the FASB issued Statement of Financial Accounting Standards No. 157, “Fair Value Measurements” which defines fair value, establishes a framework for measuring fair value in generally accepted accounting principles (“GAAP”) and expands disclosure about fair value measurements. SFAS No.157 is effective for financial statements issued for fiscal years beginning after November 15, 2007, and interim periods within those fiscal years (our fiscal 2008), with early adoption permitted. We have not yet determined the impact, if any, that the implementation of SFAS No. 157 will have on our results of operations or financial condition.</w:t>
      </w:r>
    </w:p>
    <w:p>
      <w:pPr>
        <w:spacing w:after="0" w:line="143"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 xml:space="preserve">In September 2006, the FASB issued Statement of Financial Accounting Standards No. 158, “Employers’ Accounting for Defined Benefit Pension and Other Postretirement Plans—an amendment of FASB Statements No. 87, 88, 106, and 132(R)” </w:t>
      </w:r>
      <w:r>
        <w:rPr>
          <w:rFonts w:ascii="Arial" w:cs="Arial" w:eastAsia="Arial" w:hAnsi="Arial"/>
          <w:sz w:val="16"/>
          <w:szCs w:val="16"/>
          <w:b w:val="1"/>
          <w:bCs w:val="1"/>
          <w:color w:val="auto"/>
        </w:rPr>
        <w:t>(</w:t>
      </w:r>
      <w:r>
        <w:rPr>
          <w:rFonts w:ascii="Arial" w:cs="Arial" w:eastAsia="Arial" w:hAnsi="Arial"/>
          <w:sz w:val="16"/>
          <w:szCs w:val="16"/>
          <w:color w:val="auto"/>
        </w:rPr>
        <w:t>“SFAS No. 158”</w:t>
      </w:r>
      <w:r>
        <w:rPr>
          <w:rFonts w:ascii="Arial" w:cs="Arial" w:eastAsia="Arial" w:hAnsi="Arial"/>
          <w:sz w:val="16"/>
          <w:szCs w:val="16"/>
          <w:b w:val="1"/>
          <w:bCs w:val="1"/>
          <w:color w:val="auto"/>
        </w:rPr>
        <w:t>)</w:t>
      </w:r>
      <w:r>
        <w:rPr>
          <w:rFonts w:ascii="Arial" w:cs="Arial" w:eastAsia="Arial" w:hAnsi="Arial"/>
          <w:sz w:val="16"/>
          <w:szCs w:val="16"/>
          <w:color w:val="auto"/>
        </w:rPr>
        <w:t>. SFAS No.158 requires an employer to recognize the overfunded or underfunded status of a defined benefit postretirement plan (other than a multiemployer plan) as an asset or liability in its statement of financial position and to recognize changes in that funded status in the year in which the changes occur through comprehensive income of a business entity. This part of the statement is effective for years ending after December 15, 2006, our fiscal 2007. This Statement also requires an employer to measure the funded status of a plan as of the date of its year-end statement of financial position. This part of the statement is effective for years ending after December 15, 2008, our fiscal 2009. We have not yet determined the impact that the implementation of SFAS No. 158 will have on our results of operations or financial condition.</w:t>
      </w:r>
    </w:p>
    <w:p>
      <w:pPr>
        <w:spacing w:after="0" w:line="118"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In September 2006, the SEC issued Staff Accounting Bulletin No. 108 “Considering the Effects of Prior Year Misstatements when Quantifying Misstatements in Current Year Financial Statements” (“SAB No. 108”)</w:t>
      </w:r>
      <w:r>
        <w:rPr>
          <w:rFonts w:ascii="Arial" w:cs="Arial" w:eastAsia="Arial" w:hAnsi="Arial"/>
          <w:sz w:val="18"/>
          <w:szCs w:val="18"/>
          <w:i w:val="1"/>
          <w:iCs w:val="1"/>
          <w:color w:val="auto"/>
        </w:rPr>
        <w:t>.</w:t>
      </w:r>
      <w:r>
        <w:rPr>
          <w:rFonts w:ascii="Arial" w:cs="Arial" w:eastAsia="Arial" w:hAnsi="Arial"/>
          <w:sz w:val="18"/>
          <w:szCs w:val="18"/>
          <w:color w:val="auto"/>
        </w:rPr>
        <w:t xml:space="preserve"> SAB No. 108 provides interpretive guidance on how the effects of the carryover or reversal of prior year misstatements should be considered in quantifying a current year misstatement. The SEC staff believes that registrants should quantify errors using both a balance sheet and an income statement approach and evaluate whether either approach results in quantifying a misstatement that, when all relevant quantitative and qualitative factors are considered, is material. SAB 108 was effective for fiscal years ending on or after November 15, 2006, and had no impact on our consolidated financial statements.</w:t>
      </w:r>
    </w:p>
    <w:p>
      <w:pPr>
        <w:spacing w:after="0" w:line="144"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In June 2006, the Emerging Issues Task Force (“EITF”) reached a consensus on EITF Issue No. 06-03 (“EITF 06-03”), “How Taxes Collected from Customers and Remitted to Governmental Authorities Should Be Presented in the Income Statement (That Is, Gross versus Net Presentation).” EITF 06-03 provides that the presentation of taxes assessed by a governmental authority that is directly imposed on a revenue-producing transaction between a seller and a customer on either a gross basis (included in revenues and costs) or on a net basis (excluded from revenues) is an accounting policy decision that should be disclosed. The provisions of EITF 06-03 become effective for annual periods ending after December 15, 2006, our fiscal 2007. Our adoption of ETIF 06-03 is not expected to have a material effect on our consolidated financial position or results of operations</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96" w:lineRule="exact"/>
        <w:rPr>
          <w:sz w:val="20"/>
          <w:szCs w:val="20"/>
          <w:color w:val="auto"/>
        </w:rPr>
      </w:pPr>
    </w:p>
    <w:p>
      <w:pPr>
        <w:ind w:right="40"/>
        <w:spacing w:after="0" w:line="306" w:lineRule="auto"/>
        <w:rPr>
          <w:sz w:val="20"/>
          <w:szCs w:val="20"/>
          <w:color w:val="auto"/>
        </w:rPr>
      </w:pPr>
      <w:r>
        <w:rPr>
          <w:rFonts w:ascii="Arial" w:cs="Arial" w:eastAsia="Arial" w:hAnsi="Arial"/>
          <w:sz w:val="16"/>
          <w:szCs w:val="16"/>
          <w:color w:val="auto"/>
        </w:rPr>
        <w:t>The preparation of financial statements in conformity with accounting principles generally accepted in the United States requires us to make estimates and assumptions that affect the reported amounts of assets and liabilities and disclosure of contingent liabilities at the date of the financial statements and the reported amounts of revenues and expenses during the reporting period. Actual results could differ from those estimates.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Reclassifications</w:t>
      </w:r>
    </w:p>
    <w:p>
      <w:pPr>
        <w:spacing w:after="0" w:line="96" w:lineRule="exact"/>
        <w:rPr>
          <w:sz w:val="20"/>
          <w:szCs w:val="20"/>
          <w:color w:val="auto"/>
        </w:rPr>
      </w:pPr>
    </w:p>
    <w:p>
      <w:pPr>
        <w:spacing w:after="0"/>
        <w:rPr>
          <w:sz w:val="20"/>
          <w:szCs w:val="20"/>
          <w:color w:val="auto"/>
        </w:rPr>
      </w:pPr>
      <w:r>
        <w:rPr>
          <w:rFonts w:ascii="Arial" w:cs="Arial" w:eastAsia="Arial" w:hAnsi="Arial"/>
          <w:sz w:val="16"/>
          <w:szCs w:val="16"/>
          <w:color w:val="auto"/>
        </w:rPr>
        <w:t>For comparative purposes, certain amounts in the 2005 and 2004 financial statements have been reclassified to conform to the 2006 presentation.</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- 29</w:t>
      </w:r>
    </w:p>
    <w:p>
      <w:pPr>
        <w:sectPr>
          <w:pgSz w:w="11900" w:h="16838" w:orient="portrait"/>
          <w:cols w:equalWidth="0" w:num="1">
            <w:col w:w="11400"/>
          </w:cols>
          <w:pgMar w:left="240" w:top="459" w:right="25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Inventories</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color w:val="auto"/>
        </w:rPr>
        <w:t>Inventories consist of the following:</w:t>
      </w:r>
    </w:p>
    <w:p>
      <w:pPr>
        <w:spacing w:after="0" w:line="19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2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4"/>
                <w:szCs w:val="14"/>
                <w:b w:val="1"/>
                <w:bCs w:val="1"/>
                <w:color w:val="auto"/>
                <w:w w:val="91"/>
              </w:rPr>
              <w:t>As restated</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7240" w:type="dxa"/>
            <w:vAlign w:val="bottom"/>
          </w:tcPr>
          <w:p>
            <w:pPr>
              <w:spacing w:after="0"/>
              <w:rPr>
                <w:sz w:val="14"/>
                <w:szCs w:val="14"/>
                <w:color w:val="auto"/>
              </w:rPr>
            </w:pPr>
          </w:p>
        </w:tc>
        <w:tc>
          <w:tcPr>
            <w:tcW w:w="1620" w:type="dxa"/>
            <w:vAlign w:val="bottom"/>
            <w:gridSpan w:val="3"/>
          </w:tcPr>
          <w:p>
            <w:pPr>
              <w:spacing w:after="0"/>
              <w:rPr>
                <w:sz w:val="20"/>
                <w:szCs w:val="20"/>
                <w:color w:val="auto"/>
              </w:rPr>
            </w:pPr>
            <w:r>
              <w:rPr>
                <w:rFonts w:ascii="Arial" w:cs="Arial" w:eastAsia="Arial" w:hAnsi="Arial"/>
                <w:sz w:val="14"/>
                <w:szCs w:val="14"/>
                <w:b w:val="1"/>
                <w:bCs w:val="1"/>
                <w:color w:val="auto"/>
              </w:rPr>
              <w:t>November 25, 2006</w:t>
            </w:r>
          </w:p>
        </w:tc>
        <w:tc>
          <w:tcPr>
            <w:tcW w:w="440" w:type="dxa"/>
            <w:vAlign w:val="bottom"/>
          </w:tcPr>
          <w:p>
            <w:pPr>
              <w:spacing w:after="0"/>
              <w:rPr>
                <w:sz w:val="14"/>
                <w:szCs w:val="14"/>
                <w:color w:val="auto"/>
              </w:rPr>
            </w:pPr>
          </w:p>
        </w:tc>
        <w:tc>
          <w:tcPr>
            <w:tcW w:w="1180" w:type="dxa"/>
            <w:vAlign w:val="bottom"/>
            <w:gridSpan w:val="3"/>
          </w:tcPr>
          <w:p>
            <w:pPr>
              <w:spacing w:after="0"/>
              <w:rPr>
                <w:sz w:val="20"/>
                <w:szCs w:val="20"/>
                <w:color w:val="auto"/>
              </w:rPr>
            </w:pPr>
            <w:r>
              <w:rPr>
                <w:rFonts w:ascii="Arial" w:cs="Arial" w:eastAsia="Arial" w:hAnsi="Arial"/>
                <w:sz w:val="14"/>
                <w:szCs w:val="14"/>
                <w:b w:val="1"/>
                <w:bCs w:val="1"/>
                <w:color w:val="auto"/>
                <w:w w:val="91"/>
              </w:rPr>
              <w:t>November 26, 2005</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724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240" w:type="dxa"/>
            <w:vAlign w:val="bottom"/>
            <w:shd w:val="clear" w:color="auto" w:fill="CCEEFF"/>
          </w:tcPr>
          <w:p>
            <w:pPr>
              <w:spacing w:after="0"/>
              <w:rPr>
                <w:sz w:val="20"/>
                <w:szCs w:val="20"/>
                <w:color w:val="auto"/>
              </w:rPr>
            </w:pPr>
            <w:r>
              <w:rPr>
                <w:rFonts w:ascii="Arial" w:cs="Arial" w:eastAsia="Arial" w:hAnsi="Arial"/>
                <w:sz w:val="18"/>
                <w:szCs w:val="18"/>
                <w:color w:val="auto"/>
              </w:rPr>
              <w:t>Finished goods</w:t>
            </w:r>
          </w:p>
        </w:tc>
        <w:tc>
          <w:tcPr>
            <w:tcW w:w="3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34,159</w:t>
            </w:r>
          </w:p>
        </w:tc>
        <w:tc>
          <w:tcPr>
            <w:tcW w:w="6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35,773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40" w:type="dxa"/>
            <w:vAlign w:val="bottom"/>
          </w:tcPr>
          <w:p>
            <w:pPr>
              <w:spacing w:after="0"/>
              <w:rPr>
                <w:sz w:val="20"/>
                <w:szCs w:val="20"/>
                <w:color w:val="auto"/>
              </w:rPr>
            </w:pPr>
            <w:r>
              <w:rPr>
                <w:rFonts w:ascii="Arial" w:cs="Arial" w:eastAsia="Arial" w:hAnsi="Arial"/>
                <w:sz w:val="18"/>
                <w:szCs w:val="18"/>
                <w:color w:val="auto"/>
              </w:rPr>
              <w:t>Work in process</w:t>
            </w:r>
          </w:p>
        </w:tc>
        <w:tc>
          <w:tcPr>
            <w:tcW w:w="320" w:type="dxa"/>
            <w:vAlign w:val="bottom"/>
          </w:tcPr>
          <w:p>
            <w:pPr>
              <w:spacing w:after="0"/>
              <w:rPr>
                <w:sz w:val="18"/>
                <w:szCs w:val="18"/>
                <w:color w:val="auto"/>
              </w:rPr>
            </w:pPr>
          </w:p>
        </w:tc>
        <w:tc>
          <w:tcPr>
            <w:tcW w:w="1300" w:type="dxa"/>
            <w:vAlign w:val="bottom"/>
            <w:gridSpan w:val="2"/>
          </w:tcPr>
          <w:p>
            <w:pPr>
              <w:jc w:val="right"/>
              <w:ind w:right="520"/>
              <w:spacing w:after="0"/>
              <w:rPr>
                <w:sz w:val="20"/>
                <w:szCs w:val="20"/>
                <w:color w:val="auto"/>
              </w:rPr>
            </w:pPr>
            <w:r>
              <w:rPr>
                <w:rFonts w:ascii="Arial" w:cs="Arial" w:eastAsia="Arial" w:hAnsi="Arial"/>
                <w:sz w:val="18"/>
                <w:szCs w:val="18"/>
                <w:color w:val="auto"/>
              </w:rPr>
              <w:t>987</w:t>
            </w: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1,779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40" w:type="dxa"/>
            <w:vAlign w:val="bottom"/>
            <w:shd w:val="clear" w:color="auto" w:fill="CCEEFF"/>
          </w:tcPr>
          <w:p>
            <w:pPr>
              <w:spacing w:after="0"/>
              <w:rPr>
                <w:sz w:val="20"/>
                <w:szCs w:val="20"/>
                <w:color w:val="auto"/>
              </w:rPr>
            </w:pPr>
            <w:r>
              <w:rPr>
                <w:rFonts w:ascii="Arial" w:cs="Arial" w:eastAsia="Arial" w:hAnsi="Arial"/>
                <w:sz w:val="18"/>
                <w:szCs w:val="18"/>
                <w:color w:val="auto"/>
              </w:rPr>
              <w:t>Raw materials and supplies</w:t>
            </w:r>
          </w:p>
        </w:tc>
        <w:tc>
          <w:tcPr>
            <w:tcW w:w="3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10,111</w:t>
            </w:r>
          </w:p>
        </w:tc>
        <w:tc>
          <w:tcPr>
            <w:tcW w:w="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12,113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40" w:type="dxa"/>
            <w:vAlign w:val="bottom"/>
          </w:tcPr>
          <w:p>
            <w:pPr>
              <w:spacing w:after="0"/>
              <w:rPr>
                <w:sz w:val="20"/>
                <w:szCs w:val="20"/>
                <w:color w:val="auto"/>
              </w:rPr>
            </w:pPr>
            <w:r>
              <w:rPr>
                <w:rFonts w:ascii="Arial" w:cs="Arial" w:eastAsia="Arial" w:hAnsi="Arial"/>
                <w:sz w:val="18"/>
                <w:szCs w:val="18"/>
                <w:color w:val="auto"/>
              </w:rPr>
              <w:t>Retail merchandise</w:t>
            </w:r>
          </w:p>
        </w:tc>
        <w:tc>
          <w:tcPr>
            <w:tcW w:w="320" w:type="dxa"/>
            <w:vAlign w:val="bottom"/>
          </w:tcPr>
          <w:p>
            <w:pPr>
              <w:spacing w:after="0"/>
              <w:rPr>
                <w:sz w:val="18"/>
                <w:szCs w:val="18"/>
                <w:color w:val="auto"/>
              </w:rPr>
            </w:pPr>
          </w:p>
        </w:tc>
        <w:tc>
          <w:tcPr>
            <w:tcW w:w="1300" w:type="dxa"/>
            <w:vAlign w:val="bottom"/>
            <w:gridSpan w:val="2"/>
          </w:tcPr>
          <w:p>
            <w:pPr>
              <w:jc w:val="right"/>
              <w:ind w:right="520"/>
              <w:spacing w:after="0"/>
              <w:rPr>
                <w:sz w:val="20"/>
                <w:szCs w:val="20"/>
                <w:color w:val="auto"/>
              </w:rPr>
            </w:pPr>
            <w:r>
              <w:rPr>
                <w:rFonts w:ascii="Arial" w:cs="Arial" w:eastAsia="Arial" w:hAnsi="Arial"/>
                <w:sz w:val="18"/>
                <w:szCs w:val="18"/>
                <w:color w:val="auto"/>
              </w:rPr>
              <w:t>14,472</w:t>
            </w: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15,695</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724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240" w:type="dxa"/>
            <w:vAlign w:val="bottom"/>
            <w:shd w:val="clear" w:color="auto" w:fill="CCEEFF"/>
          </w:tcPr>
          <w:p>
            <w:pPr>
              <w:spacing w:after="0"/>
              <w:rPr>
                <w:sz w:val="20"/>
                <w:szCs w:val="20"/>
                <w:color w:val="auto"/>
              </w:rPr>
            </w:pPr>
            <w:r>
              <w:rPr>
                <w:rFonts w:ascii="Arial" w:cs="Arial" w:eastAsia="Arial" w:hAnsi="Arial"/>
                <w:sz w:val="18"/>
                <w:szCs w:val="18"/>
                <w:color w:val="auto"/>
              </w:rPr>
              <w:t>Total inventories on first-in, first-out cost method</w:t>
            </w:r>
          </w:p>
        </w:tc>
        <w:tc>
          <w:tcPr>
            <w:tcW w:w="3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59,729</w:t>
            </w:r>
          </w:p>
        </w:tc>
        <w:tc>
          <w:tcPr>
            <w:tcW w:w="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65,360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40" w:type="dxa"/>
            <w:vAlign w:val="bottom"/>
          </w:tcPr>
          <w:p>
            <w:pPr>
              <w:spacing w:after="0"/>
              <w:rPr>
                <w:sz w:val="20"/>
                <w:szCs w:val="20"/>
                <w:color w:val="auto"/>
              </w:rPr>
            </w:pPr>
            <w:r>
              <w:rPr>
                <w:rFonts w:ascii="Arial" w:cs="Arial" w:eastAsia="Arial" w:hAnsi="Arial"/>
                <w:sz w:val="18"/>
                <w:szCs w:val="18"/>
                <w:color w:val="auto"/>
              </w:rPr>
              <w:t>LIFO adjustment</w:t>
            </w:r>
          </w:p>
        </w:tc>
        <w:tc>
          <w:tcPr>
            <w:tcW w:w="320" w:type="dxa"/>
            <w:vAlign w:val="bottom"/>
          </w:tcPr>
          <w:p>
            <w:pPr>
              <w:spacing w:after="0"/>
              <w:rPr>
                <w:sz w:val="18"/>
                <w:szCs w:val="18"/>
                <w:color w:val="auto"/>
              </w:rPr>
            </w:pPr>
          </w:p>
        </w:tc>
        <w:tc>
          <w:tcPr>
            <w:tcW w:w="1300" w:type="dxa"/>
            <w:vAlign w:val="bottom"/>
            <w:gridSpan w:val="2"/>
          </w:tcPr>
          <w:p>
            <w:pPr>
              <w:jc w:val="right"/>
              <w:ind w:right="460"/>
              <w:spacing w:after="0"/>
              <w:rPr>
                <w:sz w:val="20"/>
                <w:szCs w:val="20"/>
                <w:color w:val="auto"/>
              </w:rPr>
            </w:pPr>
            <w:r>
              <w:rPr>
                <w:rFonts w:ascii="Arial" w:cs="Arial" w:eastAsia="Arial" w:hAnsi="Arial"/>
                <w:sz w:val="18"/>
                <w:szCs w:val="18"/>
                <w:color w:val="auto"/>
              </w:rPr>
              <w:t>(10,849)</w:t>
            </w: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(14,365)</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24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2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48,880</w:t>
            </w:r>
          </w:p>
        </w:tc>
        <w:tc>
          <w:tcPr>
            <w:tcW w:w="6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50,995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24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spacing w:after="0"/>
        <w:rPr>
          <w:sz w:val="20"/>
          <w:szCs w:val="20"/>
          <w:color w:val="auto"/>
        </w:rPr>
      </w:pPr>
      <w:r>
        <w:rPr>
          <w:rFonts w:ascii="Arial" w:cs="Arial" w:eastAsia="Arial" w:hAnsi="Arial"/>
          <w:sz w:val="16"/>
          <w:szCs w:val="16"/>
          <w:color w:val="auto"/>
        </w:rPr>
        <w:t>During 2006 and 2005, we liquidated certain LIFO inventories, which decreased cost of sales by approximately $3,516 and $2,573, respectively.</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Property and Equipment</w:t>
      </w:r>
    </w:p>
    <w:p>
      <w:pPr>
        <w:spacing w:after="0" w:line="213"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7260" w:type="dxa"/>
            <w:vAlign w:val="bottom"/>
          </w:tcPr>
          <w:p>
            <w:pPr>
              <w:spacing w:after="0"/>
              <w:rPr>
                <w:sz w:val="14"/>
                <w:szCs w:val="14"/>
                <w:color w:val="auto"/>
              </w:rPr>
            </w:pPr>
          </w:p>
        </w:tc>
        <w:tc>
          <w:tcPr>
            <w:tcW w:w="1620" w:type="dxa"/>
            <w:vAlign w:val="bottom"/>
            <w:gridSpan w:val="3"/>
          </w:tcPr>
          <w:p>
            <w:pPr>
              <w:spacing w:after="0"/>
              <w:rPr>
                <w:sz w:val="20"/>
                <w:szCs w:val="20"/>
                <w:color w:val="auto"/>
              </w:rPr>
            </w:pPr>
            <w:r>
              <w:rPr>
                <w:rFonts w:ascii="Arial" w:cs="Arial" w:eastAsia="Arial" w:hAnsi="Arial"/>
                <w:sz w:val="14"/>
                <w:szCs w:val="14"/>
                <w:b w:val="1"/>
                <w:bCs w:val="1"/>
                <w:color w:val="auto"/>
              </w:rPr>
              <w:t>November 25, 2006</w:t>
            </w:r>
          </w:p>
        </w:tc>
        <w:tc>
          <w:tcPr>
            <w:tcW w:w="440" w:type="dxa"/>
            <w:vAlign w:val="bottom"/>
          </w:tcPr>
          <w:p>
            <w:pPr>
              <w:spacing w:after="0"/>
              <w:rPr>
                <w:sz w:val="14"/>
                <w:szCs w:val="14"/>
                <w:color w:val="auto"/>
              </w:rPr>
            </w:pPr>
          </w:p>
        </w:tc>
        <w:tc>
          <w:tcPr>
            <w:tcW w:w="1180" w:type="dxa"/>
            <w:vAlign w:val="bottom"/>
            <w:gridSpan w:val="3"/>
          </w:tcPr>
          <w:p>
            <w:pPr>
              <w:spacing w:after="0"/>
              <w:rPr>
                <w:sz w:val="20"/>
                <w:szCs w:val="20"/>
                <w:color w:val="auto"/>
              </w:rPr>
            </w:pPr>
            <w:r>
              <w:rPr>
                <w:rFonts w:ascii="Arial" w:cs="Arial" w:eastAsia="Arial" w:hAnsi="Arial"/>
                <w:sz w:val="14"/>
                <w:szCs w:val="14"/>
                <w:b w:val="1"/>
                <w:bCs w:val="1"/>
                <w:color w:val="auto"/>
                <w:w w:val="91"/>
              </w:rPr>
              <w:t>November 26, 2005</w:t>
            </w:r>
          </w:p>
        </w:tc>
      </w:tr>
      <w:tr>
        <w:trPr>
          <w:trHeight w:val="210"/>
        </w:trPr>
        <w:tc>
          <w:tcPr>
            <w:tcW w:w="7260" w:type="dxa"/>
            <w:vAlign w:val="bottom"/>
            <w:shd w:val="clear" w:color="auto" w:fill="CCEEFF"/>
          </w:tcPr>
          <w:p>
            <w:pPr>
              <w:spacing w:after="0"/>
              <w:rPr>
                <w:sz w:val="20"/>
                <w:szCs w:val="20"/>
                <w:color w:val="auto"/>
              </w:rPr>
            </w:pPr>
            <w:r>
              <w:rPr>
                <w:rFonts w:ascii="Arial" w:cs="Arial" w:eastAsia="Arial" w:hAnsi="Arial"/>
                <w:sz w:val="18"/>
                <w:szCs w:val="18"/>
                <w:color w:val="auto"/>
              </w:rPr>
              <w:t>Land</w:t>
            </w:r>
          </w:p>
        </w:tc>
        <w:tc>
          <w:tcPr>
            <w:tcW w:w="2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9,195</w:t>
            </w:r>
          </w:p>
        </w:tc>
        <w:tc>
          <w:tcPr>
            <w:tcW w:w="5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9,229</w:t>
            </w:r>
          </w:p>
        </w:tc>
        <w:tc>
          <w:tcPr>
            <w:tcW w:w="60" w:type="dxa"/>
            <w:vAlign w:val="bottom"/>
            <w:shd w:val="clear" w:color="auto" w:fill="CCEEFF"/>
          </w:tcPr>
          <w:p>
            <w:pPr>
              <w:spacing w:after="0"/>
              <w:rPr>
                <w:sz w:val="18"/>
                <w:szCs w:val="18"/>
                <w:color w:val="auto"/>
              </w:rPr>
            </w:pPr>
          </w:p>
        </w:tc>
      </w:tr>
      <w:tr>
        <w:trPr>
          <w:trHeight w:val="216"/>
        </w:trPr>
        <w:tc>
          <w:tcPr>
            <w:tcW w:w="7260" w:type="dxa"/>
            <w:vAlign w:val="bottom"/>
          </w:tcPr>
          <w:p>
            <w:pPr>
              <w:spacing w:after="0"/>
              <w:rPr>
                <w:sz w:val="20"/>
                <w:szCs w:val="20"/>
                <w:color w:val="auto"/>
              </w:rPr>
            </w:pPr>
            <w:r>
              <w:rPr>
                <w:rFonts w:ascii="Arial" w:cs="Arial" w:eastAsia="Arial" w:hAnsi="Arial"/>
                <w:sz w:val="18"/>
                <w:szCs w:val="18"/>
                <w:color w:val="auto"/>
              </w:rPr>
              <w:t>Buildings and leasehold improvements</w:t>
            </w:r>
          </w:p>
        </w:tc>
        <w:tc>
          <w:tcPr>
            <w:tcW w:w="2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58,568</w:t>
            </w:r>
          </w:p>
        </w:tc>
        <w:tc>
          <w:tcPr>
            <w:tcW w:w="5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60,198</w:t>
            </w:r>
          </w:p>
        </w:tc>
        <w:tc>
          <w:tcPr>
            <w:tcW w:w="60" w:type="dxa"/>
            <w:vAlign w:val="bottom"/>
          </w:tcPr>
          <w:p>
            <w:pPr>
              <w:spacing w:after="0"/>
              <w:rPr>
                <w:sz w:val="18"/>
                <w:szCs w:val="18"/>
                <w:color w:val="auto"/>
              </w:rPr>
            </w:pPr>
          </w:p>
        </w:tc>
      </w:tr>
      <w:tr>
        <w:trPr>
          <w:trHeight w:val="216"/>
        </w:trPr>
        <w:tc>
          <w:tcPr>
            <w:tcW w:w="7260" w:type="dxa"/>
            <w:vAlign w:val="bottom"/>
            <w:shd w:val="clear" w:color="auto" w:fill="CCEEFF"/>
          </w:tcPr>
          <w:p>
            <w:pPr>
              <w:spacing w:after="0"/>
              <w:rPr>
                <w:sz w:val="20"/>
                <w:szCs w:val="20"/>
                <w:color w:val="auto"/>
              </w:rPr>
            </w:pPr>
            <w:r>
              <w:rPr>
                <w:rFonts w:ascii="Arial" w:cs="Arial" w:eastAsia="Arial" w:hAnsi="Arial"/>
                <w:sz w:val="18"/>
                <w:szCs w:val="18"/>
                <w:color w:val="auto"/>
              </w:rPr>
              <w:t>Machinery and equipment</w:t>
            </w:r>
          </w:p>
        </w:tc>
        <w:tc>
          <w:tcPr>
            <w:tcW w:w="28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101,337</w:t>
            </w:r>
          </w:p>
        </w:tc>
        <w:tc>
          <w:tcPr>
            <w:tcW w:w="5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113,177</w:t>
            </w:r>
          </w:p>
        </w:tc>
        <w:tc>
          <w:tcPr>
            <w:tcW w:w="60" w:type="dxa"/>
            <w:vAlign w:val="bottom"/>
            <w:shd w:val="clear" w:color="auto" w:fill="CCEEFF"/>
          </w:tcPr>
          <w:p>
            <w:pPr>
              <w:spacing w:after="0"/>
              <w:rPr>
                <w:sz w:val="18"/>
                <w:szCs w:val="18"/>
                <w:color w:val="auto"/>
              </w:rPr>
            </w:pPr>
          </w:p>
        </w:tc>
      </w:tr>
      <w:tr>
        <w:trPr>
          <w:trHeight w:val="221"/>
        </w:trPr>
        <w:tc>
          <w:tcPr>
            <w:tcW w:w="72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169,100</w:t>
            </w: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182,604</w:t>
            </w:r>
          </w:p>
        </w:tc>
        <w:tc>
          <w:tcPr>
            <w:tcW w:w="60" w:type="dxa"/>
            <w:vAlign w:val="bottom"/>
          </w:tcPr>
          <w:p>
            <w:pPr>
              <w:spacing w:after="0"/>
              <w:rPr>
                <w:sz w:val="19"/>
                <w:szCs w:val="19"/>
                <w:color w:val="auto"/>
              </w:rPr>
            </w:pPr>
          </w:p>
        </w:tc>
      </w:tr>
      <w:tr>
        <w:trPr>
          <w:trHeight w:val="218"/>
        </w:trPr>
        <w:tc>
          <w:tcPr>
            <w:tcW w:w="7260" w:type="dxa"/>
            <w:vAlign w:val="bottom"/>
            <w:shd w:val="clear" w:color="auto" w:fill="CCEEFF"/>
          </w:tcPr>
          <w:p>
            <w:pPr>
              <w:spacing w:after="0"/>
              <w:rPr>
                <w:sz w:val="20"/>
                <w:szCs w:val="20"/>
                <w:color w:val="auto"/>
              </w:rPr>
            </w:pPr>
            <w:r>
              <w:rPr>
                <w:rFonts w:ascii="Arial" w:cs="Arial" w:eastAsia="Arial" w:hAnsi="Arial"/>
                <w:sz w:val="18"/>
                <w:szCs w:val="18"/>
                <w:color w:val="auto"/>
              </w:rPr>
              <w:t>Less accumulated depreciation</w:t>
            </w:r>
          </w:p>
        </w:tc>
        <w:tc>
          <w:tcPr>
            <w:tcW w:w="28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(110,175)</w:t>
            </w:r>
          </w:p>
        </w:tc>
        <w:tc>
          <w:tcPr>
            <w:tcW w:w="4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(117,960)</w:t>
            </w:r>
          </w:p>
        </w:tc>
      </w:tr>
      <w:tr>
        <w:trPr>
          <w:trHeight w:val="222"/>
        </w:trPr>
        <w:tc>
          <w:tcPr>
            <w:tcW w:w="7260" w:type="dxa"/>
            <w:vAlign w:val="bottom"/>
          </w:tcPr>
          <w:p>
            <w:pPr>
              <w:spacing w:after="0"/>
              <w:rPr>
                <w:sz w:val="19"/>
                <w:szCs w:val="19"/>
                <w:color w:val="auto"/>
              </w:rPr>
            </w:pPr>
          </w:p>
        </w:tc>
        <w:tc>
          <w:tcPr>
            <w:tcW w:w="2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58,925</w:t>
            </w: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64,644</w:t>
            </w:r>
          </w:p>
        </w:tc>
        <w:tc>
          <w:tcPr>
            <w:tcW w:w="60" w:type="dxa"/>
            <w:vAlign w:val="bottom"/>
          </w:tcPr>
          <w:p>
            <w:pPr>
              <w:spacing w:after="0"/>
              <w:rPr>
                <w:sz w:val="19"/>
                <w:szCs w:val="19"/>
                <w:color w:val="auto"/>
              </w:rPr>
            </w:pPr>
          </w:p>
        </w:tc>
      </w:tr>
      <w:tr>
        <w:trPr>
          <w:trHeight w:val="20"/>
        </w:trPr>
        <w:tc>
          <w:tcPr>
            <w:tcW w:w="72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167" w:lineRule="exact"/>
        <w:rPr>
          <w:sz w:val="20"/>
          <w:szCs w:val="20"/>
          <w:color w:val="auto"/>
        </w:rPr>
      </w:pPr>
    </w:p>
    <w:p>
      <w:pPr>
        <w:ind w:right="580"/>
        <w:spacing w:after="0" w:line="268" w:lineRule="auto"/>
        <w:rPr>
          <w:sz w:val="20"/>
          <w:szCs w:val="20"/>
          <w:color w:val="auto"/>
        </w:rPr>
      </w:pPr>
      <w:r>
        <w:rPr>
          <w:rFonts w:ascii="Arial" w:cs="Arial" w:eastAsia="Arial" w:hAnsi="Arial"/>
          <w:sz w:val="18"/>
          <w:szCs w:val="18"/>
          <w:color w:val="auto"/>
        </w:rPr>
        <w:t>Depreciation expense for property and equipment was $7,142, $8,268 and $9,069 in 2006, 2005 and 2004, respectively. Net book value of property and equipment utilized by Company-owned stores for 2006 and 2005, was $25,243 and $26,285, respectively.</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color w:val="auto"/>
        </w:rPr>
        <w:t>During 2004, we received the proceeds from the sale of our California Upholstery facility and recognized a gain of $3,890.</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Investments</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color w:val="auto"/>
        </w:rPr>
        <w:t>Our investments consist of a 99.8% interest in the Alternative Asset Fund and a portfolio of marketable securities.</w:t>
      </w:r>
    </w:p>
    <w:p>
      <w:pPr>
        <w:spacing w:after="0" w:line="207"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7360" w:type="dxa"/>
            <w:vAlign w:val="bottom"/>
          </w:tcPr>
          <w:p>
            <w:pPr>
              <w:spacing w:after="0"/>
              <w:rPr>
                <w:sz w:val="14"/>
                <w:szCs w:val="14"/>
                <w:color w:val="auto"/>
              </w:rPr>
            </w:pPr>
          </w:p>
        </w:tc>
        <w:tc>
          <w:tcPr>
            <w:tcW w:w="11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86"/>
              </w:rPr>
              <w:t>November 25, 2006</w:t>
            </w:r>
          </w:p>
        </w:tc>
        <w:tc>
          <w:tcPr>
            <w:tcW w:w="920" w:type="dxa"/>
            <w:vAlign w:val="bottom"/>
          </w:tcPr>
          <w:p>
            <w:pPr>
              <w:spacing w:after="0"/>
              <w:rPr>
                <w:sz w:val="14"/>
                <w:szCs w:val="14"/>
                <w:color w:val="auto"/>
              </w:rPr>
            </w:pPr>
          </w:p>
        </w:tc>
        <w:tc>
          <w:tcPr>
            <w:tcW w:w="11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85"/>
              </w:rPr>
              <w:t>November 26, 2005</w:t>
            </w:r>
          </w:p>
        </w:tc>
        <w:tc>
          <w:tcPr>
            <w:tcW w:w="20" w:type="dxa"/>
            <w:vAlign w:val="bottom"/>
          </w:tcPr>
          <w:p>
            <w:pPr>
              <w:spacing w:after="0"/>
              <w:rPr>
                <w:sz w:val="14"/>
                <w:szCs w:val="14"/>
                <w:color w:val="auto"/>
              </w:rPr>
            </w:pPr>
          </w:p>
        </w:tc>
      </w:tr>
      <w:tr>
        <w:trPr>
          <w:trHeight w:val="210"/>
        </w:trPr>
        <w:tc>
          <w:tcPr>
            <w:tcW w:w="7360" w:type="dxa"/>
            <w:vAlign w:val="bottom"/>
            <w:shd w:val="clear" w:color="auto" w:fill="CCEEFF"/>
          </w:tcPr>
          <w:p>
            <w:pPr>
              <w:spacing w:after="0"/>
              <w:rPr>
                <w:sz w:val="20"/>
                <w:szCs w:val="20"/>
                <w:color w:val="auto"/>
              </w:rPr>
            </w:pPr>
            <w:r>
              <w:rPr>
                <w:rFonts w:ascii="Arial" w:cs="Arial" w:eastAsia="Arial" w:hAnsi="Arial"/>
                <w:sz w:val="18"/>
                <w:szCs w:val="18"/>
                <w:color w:val="auto"/>
              </w:rPr>
              <w:t>Alternative Asset Fund</w:t>
            </w:r>
          </w:p>
        </w:tc>
        <w:tc>
          <w:tcPr>
            <w:tcW w:w="360" w:type="dxa"/>
            <w:vAlign w:val="bottom"/>
            <w:shd w:val="clear" w:color="auto" w:fill="CCEEFF"/>
          </w:tcPr>
          <w:p>
            <w:pPr>
              <w:jc w:val="right"/>
              <w:ind w:right="179"/>
              <w:spacing w:after="0"/>
              <w:rPr>
                <w:sz w:val="20"/>
                <w:szCs w:val="20"/>
                <w:color w:val="auto"/>
              </w:rPr>
            </w:pPr>
            <w:r>
              <w:rPr>
                <w:rFonts w:ascii="Arial" w:cs="Arial" w:eastAsia="Arial" w:hAnsi="Arial"/>
                <w:sz w:val="18"/>
                <w:szCs w:val="18"/>
                <w:color w:val="auto"/>
                <w:w w:val="79"/>
              </w:rPr>
              <w:t>$</w:t>
            </w:r>
          </w:p>
        </w:tc>
        <w:tc>
          <w:tcPr>
            <w:tcW w:w="1680" w:type="dxa"/>
            <w:vAlign w:val="bottom"/>
            <w:gridSpan w:val="2"/>
            <w:shd w:val="clear" w:color="auto" w:fill="CCEEFF"/>
          </w:tcPr>
          <w:p>
            <w:pPr>
              <w:jc w:val="right"/>
              <w:ind w:right="920"/>
              <w:spacing w:after="0"/>
              <w:rPr>
                <w:sz w:val="20"/>
                <w:szCs w:val="20"/>
                <w:color w:val="auto"/>
              </w:rPr>
            </w:pPr>
            <w:r>
              <w:rPr>
                <w:rFonts w:ascii="Arial" w:cs="Arial" w:eastAsia="Arial" w:hAnsi="Arial"/>
                <w:sz w:val="18"/>
                <w:szCs w:val="18"/>
                <w:color w:val="auto"/>
              </w:rPr>
              <w:t>52,755</w:t>
            </w:r>
          </w:p>
        </w:tc>
        <w:tc>
          <w:tcPr>
            <w:tcW w:w="340" w:type="dxa"/>
            <w:vAlign w:val="bottom"/>
            <w:shd w:val="clear" w:color="auto" w:fill="CCEEFF"/>
          </w:tcPr>
          <w:p>
            <w:pPr>
              <w:jc w:val="right"/>
              <w:ind w:right="186"/>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51,593</w:t>
            </w:r>
          </w:p>
        </w:tc>
        <w:tc>
          <w:tcPr>
            <w:tcW w:w="20" w:type="dxa"/>
            <w:vAlign w:val="bottom"/>
          </w:tcPr>
          <w:p>
            <w:pPr>
              <w:spacing w:after="0"/>
              <w:rPr>
                <w:sz w:val="18"/>
                <w:szCs w:val="18"/>
                <w:color w:val="auto"/>
              </w:rPr>
            </w:pPr>
          </w:p>
        </w:tc>
      </w:tr>
      <w:tr>
        <w:trPr>
          <w:trHeight w:val="223"/>
        </w:trPr>
        <w:tc>
          <w:tcPr>
            <w:tcW w:w="7360" w:type="dxa"/>
            <w:vAlign w:val="bottom"/>
          </w:tcPr>
          <w:p>
            <w:pPr>
              <w:spacing w:after="0"/>
              <w:rPr>
                <w:sz w:val="20"/>
                <w:szCs w:val="20"/>
                <w:color w:val="auto"/>
              </w:rPr>
            </w:pPr>
            <w:r>
              <w:rPr>
                <w:rFonts w:ascii="Arial" w:cs="Arial" w:eastAsia="Arial" w:hAnsi="Arial"/>
                <w:sz w:val="18"/>
                <w:szCs w:val="18"/>
                <w:color w:val="auto"/>
              </w:rPr>
              <w:t>Marketable Securities</w:t>
            </w:r>
          </w:p>
        </w:tc>
        <w:tc>
          <w:tcPr>
            <w:tcW w:w="36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25,862</w:t>
            </w:r>
          </w:p>
        </w:tc>
        <w:tc>
          <w:tcPr>
            <w:tcW w:w="92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25,297</w:t>
            </w:r>
          </w:p>
        </w:tc>
        <w:tc>
          <w:tcPr>
            <w:tcW w:w="20" w:type="dxa"/>
            <w:vAlign w:val="bottom"/>
          </w:tcPr>
          <w:p>
            <w:pPr>
              <w:spacing w:after="0"/>
              <w:rPr>
                <w:sz w:val="19"/>
                <w:szCs w:val="19"/>
                <w:color w:val="auto"/>
              </w:rPr>
            </w:pPr>
          </w:p>
        </w:tc>
      </w:tr>
      <w:tr>
        <w:trPr>
          <w:trHeight w:val="216"/>
        </w:trPr>
        <w:tc>
          <w:tcPr>
            <w:tcW w:w="7360" w:type="dxa"/>
            <w:vAlign w:val="bottom"/>
            <w:shd w:val="clear" w:color="auto" w:fill="CCEEFF"/>
          </w:tcPr>
          <w:p>
            <w:pPr>
              <w:spacing w:after="0"/>
              <w:rPr>
                <w:sz w:val="18"/>
                <w:szCs w:val="18"/>
                <w:color w:val="auto"/>
              </w:rPr>
            </w:pPr>
          </w:p>
        </w:tc>
        <w:tc>
          <w:tcPr>
            <w:tcW w:w="360" w:type="dxa"/>
            <w:vAlign w:val="bottom"/>
            <w:shd w:val="clear" w:color="auto" w:fill="CCEEFF"/>
          </w:tcPr>
          <w:p>
            <w:pPr>
              <w:jc w:val="right"/>
              <w:ind w:right="179"/>
              <w:spacing w:after="0"/>
              <w:rPr>
                <w:sz w:val="20"/>
                <w:szCs w:val="20"/>
                <w:color w:val="auto"/>
              </w:rPr>
            </w:pPr>
            <w:r>
              <w:rPr>
                <w:rFonts w:ascii="Arial" w:cs="Arial" w:eastAsia="Arial" w:hAnsi="Arial"/>
                <w:sz w:val="18"/>
                <w:szCs w:val="18"/>
                <w:color w:val="auto"/>
                <w:w w:val="79"/>
              </w:rPr>
              <w:t>$</w:t>
            </w:r>
          </w:p>
        </w:tc>
        <w:tc>
          <w:tcPr>
            <w:tcW w:w="1680" w:type="dxa"/>
            <w:vAlign w:val="bottom"/>
            <w:gridSpan w:val="2"/>
            <w:shd w:val="clear" w:color="auto" w:fill="CCEEFF"/>
          </w:tcPr>
          <w:p>
            <w:pPr>
              <w:jc w:val="right"/>
              <w:ind w:right="920"/>
              <w:spacing w:after="0"/>
              <w:rPr>
                <w:sz w:val="20"/>
                <w:szCs w:val="20"/>
                <w:color w:val="auto"/>
              </w:rPr>
            </w:pPr>
            <w:r>
              <w:rPr>
                <w:rFonts w:ascii="Arial" w:cs="Arial" w:eastAsia="Arial" w:hAnsi="Arial"/>
                <w:sz w:val="18"/>
                <w:szCs w:val="18"/>
                <w:color w:val="auto"/>
              </w:rPr>
              <w:t>78,617</w:t>
            </w:r>
          </w:p>
        </w:tc>
        <w:tc>
          <w:tcPr>
            <w:tcW w:w="340" w:type="dxa"/>
            <w:vAlign w:val="bottom"/>
            <w:shd w:val="clear" w:color="auto" w:fill="CCEEFF"/>
          </w:tcPr>
          <w:p>
            <w:pPr>
              <w:jc w:val="right"/>
              <w:ind w:right="186"/>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76,890</w:t>
            </w:r>
          </w:p>
        </w:tc>
        <w:tc>
          <w:tcPr>
            <w:tcW w:w="20" w:type="dxa"/>
            <w:vAlign w:val="bottom"/>
          </w:tcPr>
          <w:p>
            <w:pPr>
              <w:spacing w:after="0"/>
              <w:rPr>
                <w:sz w:val="18"/>
                <w:szCs w:val="18"/>
                <w:color w:val="auto"/>
              </w:rPr>
            </w:pPr>
          </w:p>
        </w:tc>
      </w:tr>
      <w:tr>
        <w:trPr>
          <w:trHeight w:val="20"/>
        </w:trPr>
        <w:tc>
          <w:tcPr>
            <w:tcW w:w="73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67"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The Alternative Asset Fund commenced operations on July 1, 1998. Private Advisors, L.L.C. is the general partner (General Partner) of the Alternative Asset Fund. Bassett and the General Partner are the only two partners. The objective of the Alternative Asset Fund is to achieve consistent positive returns, while attempting to reduce risk and volatility, by placing its capital with a variety of hedge funds and experienced portfolio managers. Such hedge funds and portfolio managers employ a variety of trading styles or strategies, including, but not limited to, convertible arbitrage, merger or risk arbitrage, distressed debt, long/short equity, multi- strategy and other market—neutral strategies. The General Partner has discretion to make all investment and trading decisions, including the selection of investment managers. The General Partner selects portfolio managers on the basis of various criteria, including, among other things, the manager’s investment performance during various time periods and market cycles, the fund’s infrastructure, and the manager’s reputation, experience, training and investment philosophy. In general, the General Partner requires that each portfolio manager have a substantial personal investment in the investment program. Our investment in the Alternative Asset Fund, which totaled $52,755 at November 25, 2006, includes investments in various other private limited partnerships, which contain contractual commitments with elements of market risk.</w:t>
      </w:r>
    </w:p>
    <w:p>
      <w:pPr>
        <w:spacing w:after="0" w:line="109"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F - 30</w:t>
      </w:r>
    </w:p>
    <w:p>
      <w:pPr>
        <w:sectPr>
          <w:pgSz w:w="11900" w:h="16838" w:orient="portrait"/>
          <w:cols w:equalWidth="0" w:num="1">
            <w:col w:w="11240"/>
          </w:cols>
          <w:pgMar w:left="240" w:top="459" w:right="41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65" w:lineRule="exact"/>
        <w:rPr>
          <w:sz w:val="20"/>
          <w:szCs w:val="20"/>
          <w:color w:val="auto"/>
        </w:rPr>
      </w:pPr>
    </w:p>
    <w:p>
      <w:pPr>
        <w:ind w:right="60"/>
        <w:spacing w:after="0" w:line="291" w:lineRule="auto"/>
        <w:rPr>
          <w:sz w:val="20"/>
          <w:szCs w:val="20"/>
          <w:color w:val="auto"/>
        </w:rPr>
      </w:pPr>
      <w:r>
        <w:rPr>
          <w:rFonts w:ascii="Arial" w:cs="Arial" w:eastAsia="Arial" w:hAnsi="Arial"/>
          <w:sz w:val="16"/>
          <w:szCs w:val="16"/>
          <w:color w:val="auto"/>
        </w:rPr>
        <w:t>These contractual commitments, which include fixed-income securities and derivatives, may involve future settlements, which give rise to both market and credit risk. The investment partnership’s exposure to market risk is determined by a number of factors, including the size, composition, and diversification of positions held, volatility of interest rates, market currency rates, and liquidity. We account for the investments by marking them to market value each month based on the net asset values provided by the General Partner. The hedge funds and portfolio managers provide the General Partner with estimated net asset values on a monthly basis that represents the amount the partnership would receive if it were to liquidate its investments in the investee funds. The partnership may redeem part of its investments as of the end of each quarter or calendar year, with no less than 45 days prior written notice.</w:t>
      </w:r>
    </w:p>
    <w:p>
      <w:pPr>
        <w:spacing w:after="0" w:line="120" w:lineRule="exact"/>
        <w:rPr>
          <w:sz w:val="20"/>
          <w:szCs w:val="20"/>
          <w:color w:val="auto"/>
        </w:rPr>
      </w:pPr>
    </w:p>
    <w:p>
      <w:pPr>
        <w:ind w:right="660"/>
        <w:spacing w:after="0" w:line="268" w:lineRule="auto"/>
        <w:rPr>
          <w:sz w:val="20"/>
          <w:szCs w:val="20"/>
          <w:color w:val="auto"/>
        </w:rPr>
      </w:pPr>
      <w:r>
        <w:rPr>
          <w:rFonts w:ascii="Arial" w:cs="Arial" w:eastAsia="Arial" w:hAnsi="Arial"/>
          <w:sz w:val="18"/>
          <w:szCs w:val="18"/>
          <w:color w:val="auto"/>
        </w:rPr>
        <w:t>The Alternative Asset Fund was comprised of the following investments. All investments are at fair value and all are below five percent of the respective portfolio manager’s total fund investment.</w:t>
      </w:r>
    </w:p>
    <w:p>
      <w:pPr>
        <w:spacing w:after="0" w:line="168"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528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2020" w:type="dxa"/>
            <w:vAlign w:val="bottom"/>
            <w:gridSpan w:val="3"/>
          </w:tcPr>
          <w:p>
            <w:pPr>
              <w:spacing w:after="0"/>
              <w:rPr>
                <w:sz w:val="20"/>
                <w:szCs w:val="20"/>
                <w:color w:val="auto"/>
              </w:rPr>
            </w:pPr>
            <w:r>
              <w:rPr>
                <w:rFonts w:ascii="Arial" w:cs="Arial" w:eastAsia="Arial" w:hAnsi="Arial"/>
                <w:sz w:val="14"/>
                <w:szCs w:val="14"/>
                <w:b w:val="1"/>
                <w:bCs w:val="1"/>
                <w:color w:val="auto"/>
              </w:rPr>
              <w:t>November 25, 2006</w:t>
            </w:r>
          </w:p>
        </w:tc>
        <w:tc>
          <w:tcPr>
            <w:tcW w:w="1120" w:type="dxa"/>
            <w:vAlign w:val="bottom"/>
            <w:gridSpan w:val="3"/>
          </w:tcPr>
          <w:p>
            <w:pPr>
              <w:spacing w:after="0"/>
              <w:rPr>
                <w:sz w:val="20"/>
                <w:szCs w:val="20"/>
                <w:color w:val="auto"/>
              </w:rPr>
            </w:pPr>
            <w:r>
              <w:rPr>
                <w:rFonts w:ascii="Arial" w:cs="Arial" w:eastAsia="Arial" w:hAnsi="Arial"/>
                <w:sz w:val="14"/>
                <w:szCs w:val="14"/>
                <w:b w:val="1"/>
                <w:bCs w:val="1"/>
                <w:color w:val="auto"/>
                <w:w w:val="86"/>
              </w:rPr>
              <w:t>November 26, 2005</w:t>
            </w:r>
          </w:p>
        </w:tc>
        <w:tc>
          <w:tcPr>
            <w:tcW w:w="0" w:type="dxa"/>
            <w:vAlign w:val="bottom"/>
          </w:tcPr>
          <w:p>
            <w:pPr>
              <w:spacing w:after="0"/>
              <w:rPr>
                <w:sz w:val="1"/>
                <w:szCs w:val="1"/>
                <w:color w:val="auto"/>
              </w:rPr>
            </w:pPr>
          </w:p>
        </w:tc>
      </w:tr>
      <w:tr>
        <w:trPr>
          <w:trHeight w:val="20"/>
        </w:trPr>
        <w:tc>
          <w:tcPr>
            <w:tcW w:w="528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Styx Partners, L.P.</w:t>
            </w:r>
          </w:p>
        </w:tc>
        <w:tc>
          <w:tcPr>
            <w:tcW w:w="2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CCEEFF"/>
          </w:tcPr>
          <w:p>
            <w:pPr>
              <w:jc w:val="right"/>
              <w:ind w:right="920"/>
              <w:spacing w:after="0"/>
              <w:rPr>
                <w:sz w:val="20"/>
                <w:szCs w:val="20"/>
                <w:color w:val="auto"/>
              </w:rPr>
            </w:pPr>
            <w:r>
              <w:rPr>
                <w:rFonts w:ascii="Arial" w:cs="Arial" w:eastAsia="Arial" w:hAnsi="Arial"/>
                <w:sz w:val="18"/>
                <w:szCs w:val="18"/>
                <w:color w:val="auto"/>
              </w:rPr>
              <w:t>22,698</w:t>
            </w:r>
          </w:p>
        </w:tc>
        <w:tc>
          <w:tcPr>
            <w:tcW w:w="3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21,299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80" w:type="dxa"/>
            <w:vAlign w:val="bottom"/>
          </w:tcPr>
          <w:p>
            <w:pPr>
              <w:spacing w:after="0"/>
              <w:rPr>
                <w:sz w:val="20"/>
                <w:szCs w:val="20"/>
                <w:color w:val="auto"/>
              </w:rPr>
            </w:pPr>
            <w:r>
              <w:rPr>
                <w:rFonts w:ascii="Arial" w:cs="Arial" w:eastAsia="Arial" w:hAnsi="Arial"/>
                <w:sz w:val="18"/>
                <w:szCs w:val="18"/>
                <w:color w:val="auto"/>
              </w:rPr>
              <w:t>HBK Fund, L.P.</w:t>
            </w:r>
          </w:p>
        </w:tc>
        <w:tc>
          <w:tcPr>
            <w:tcW w:w="2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660" w:type="dxa"/>
            <w:vAlign w:val="bottom"/>
            <w:gridSpan w:val="2"/>
          </w:tcPr>
          <w:p>
            <w:pPr>
              <w:jc w:val="right"/>
              <w:ind w:right="920"/>
              <w:spacing w:after="0"/>
              <w:rPr>
                <w:sz w:val="20"/>
                <w:szCs w:val="20"/>
                <w:color w:val="auto"/>
              </w:rPr>
            </w:pPr>
            <w:r>
              <w:rPr>
                <w:rFonts w:ascii="Arial" w:cs="Arial" w:eastAsia="Arial" w:hAnsi="Arial"/>
                <w:sz w:val="18"/>
                <w:szCs w:val="18"/>
                <w:color w:val="auto"/>
              </w:rPr>
              <w:t>13,094</w:t>
            </w:r>
          </w:p>
        </w:tc>
        <w:tc>
          <w:tcPr>
            <w:tcW w:w="3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11,543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Contrarian Capital Trade Claims, L.P.</w:t>
            </w:r>
          </w:p>
        </w:tc>
        <w:tc>
          <w:tcPr>
            <w:tcW w:w="2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660" w:type="dxa"/>
            <w:vAlign w:val="bottom"/>
            <w:gridSpan w:val="2"/>
            <w:shd w:val="clear" w:color="auto" w:fill="CCEEFF"/>
          </w:tcPr>
          <w:p>
            <w:pPr>
              <w:jc w:val="right"/>
              <w:ind w:right="920"/>
              <w:spacing w:after="0"/>
              <w:rPr>
                <w:sz w:val="20"/>
                <w:szCs w:val="20"/>
                <w:color w:val="auto"/>
              </w:rPr>
            </w:pPr>
            <w:r>
              <w:rPr>
                <w:rFonts w:ascii="Arial" w:cs="Arial" w:eastAsia="Arial" w:hAnsi="Arial"/>
                <w:sz w:val="18"/>
                <w:szCs w:val="18"/>
                <w:color w:val="auto"/>
              </w:rPr>
              <w:t>5,640</w:t>
            </w:r>
          </w:p>
        </w:tc>
        <w:tc>
          <w:tcPr>
            <w:tcW w:w="3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8,604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80" w:type="dxa"/>
            <w:vAlign w:val="bottom"/>
          </w:tcPr>
          <w:p>
            <w:pPr>
              <w:spacing w:after="0"/>
              <w:rPr>
                <w:sz w:val="20"/>
                <w:szCs w:val="20"/>
                <w:color w:val="auto"/>
              </w:rPr>
            </w:pPr>
            <w:r>
              <w:rPr>
                <w:rFonts w:ascii="Arial" w:cs="Arial" w:eastAsia="Arial" w:hAnsi="Arial"/>
                <w:sz w:val="18"/>
                <w:szCs w:val="18"/>
                <w:color w:val="auto"/>
              </w:rPr>
              <w:t>Drawbridge Special Opportunities Fund, L.P.</w:t>
            </w:r>
          </w:p>
        </w:tc>
        <w:tc>
          <w:tcPr>
            <w:tcW w:w="2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660" w:type="dxa"/>
            <w:vAlign w:val="bottom"/>
            <w:gridSpan w:val="2"/>
          </w:tcPr>
          <w:p>
            <w:pPr>
              <w:jc w:val="right"/>
              <w:ind w:right="920"/>
              <w:spacing w:after="0"/>
              <w:rPr>
                <w:sz w:val="20"/>
                <w:szCs w:val="20"/>
                <w:color w:val="auto"/>
              </w:rPr>
            </w:pPr>
            <w:r>
              <w:rPr>
                <w:rFonts w:ascii="Arial" w:cs="Arial" w:eastAsia="Arial" w:hAnsi="Arial"/>
                <w:sz w:val="18"/>
                <w:szCs w:val="18"/>
                <w:color w:val="auto"/>
              </w:rPr>
              <w:t>6,099</w:t>
            </w:r>
          </w:p>
        </w:tc>
        <w:tc>
          <w:tcPr>
            <w:tcW w:w="3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5,350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DB Zwim Special Opportunities Fund, L.P.</w:t>
            </w:r>
          </w:p>
        </w:tc>
        <w:tc>
          <w:tcPr>
            <w:tcW w:w="2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660" w:type="dxa"/>
            <w:vAlign w:val="bottom"/>
            <w:gridSpan w:val="2"/>
            <w:shd w:val="clear" w:color="auto" w:fill="CCEEFF"/>
          </w:tcPr>
          <w:p>
            <w:pPr>
              <w:jc w:val="right"/>
              <w:ind w:right="920"/>
              <w:spacing w:after="0"/>
              <w:rPr>
                <w:sz w:val="20"/>
                <w:szCs w:val="20"/>
                <w:color w:val="auto"/>
              </w:rPr>
            </w:pPr>
            <w:r>
              <w:rPr>
                <w:rFonts w:ascii="Arial" w:cs="Arial" w:eastAsia="Arial" w:hAnsi="Arial"/>
                <w:sz w:val="18"/>
                <w:szCs w:val="18"/>
                <w:color w:val="auto"/>
              </w:rPr>
              <w:t>5,031</w:t>
            </w:r>
          </w:p>
        </w:tc>
        <w:tc>
          <w:tcPr>
            <w:tcW w:w="3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4,323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80" w:type="dxa"/>
            <w:vAlign w:val="bottom"/>
          </w:tcPr>
          <w:p>
            <w:pPr>
              <w:spacing w:after="0"/>
              <w:rPr>
                <w:sz w:val="20"/>
                <w:szCs w:val="20"/>
                <w:color w:val="auto"/>
              </w:rPr>
            </w:pPr>
            <w:r>
              <w:rPr>
                <w:rFonts w:ascii="Arial" w:cs="Arial" w:eastAsia="Arial" w:hAnsi="Arial"/>
                <w:sz w:val="18"/>
                <w:szCs w:val="18"/>
                <w:color w:val="auto"/>
              </w:rPr>
              <w:t>Cash and Other</w:t>
            </w:r>
          </w:p>
        </w:tc>
        <w:tc>
          <w:tcPr>
            <w:tcW w:w="2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660" w:type="dxa"/>
            <w:vAlign w:val="bottom"/>
            <w:gridSpan w:val="2"/>
          </w:tcPr>
          <w:p>
            <w:pPr>
              <w:jc w:val="right"/>
              <w:ind w:right="920"/>
              <w:spacing w:after="0"/>
              <w:rPr>
                <w:sz w:val="20"/>
                <w:szCs w:val="20"/>
                <w:color w:val="auto"/>
              </w:rPr>
            </w:pPr>
            <w:r>
              <w:rPr>
                <w:rFonts w:ascii="Arial" w:cs="Arial" w:eastAsia="Arial" w:hAnsi="Arial"/>
                <w:sz w:val="18"/>
                <w:szCs w:val="18"/>
                <w:color w:val="auto"/>
              </w:rPr>
              <w:t>193</w:t>
            </w:r>
          </w:p>
        </w:tc>
        <w:tc>
          <w:tcPr>
            <w:tcW w:w="3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474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280" w:type="dxa"/>
            <w:vAlign w:val="bottom"/>
          </w:tcPr>
          <w:p>
            <w:pPr>
              <w:spacing w:after="0"/>
              <w:rPr>
                <w:sz w:val="2"/>
                <w:szCs w:val="2"/>
                <w:color w:val="auto"/>
              </w:rPr>
            </w:pPr>
          </w:p>
        </w:tc>
        <w:tc>
          <w:tcPr>
            <w:tcW w:w="210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92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280" w:type="dxa"/>
            <w:vAlign w:val="bottom"/>
            <w:shd w:val="clear" w:color="auto" w:fill="CCEEFF"/>
          </w:tcPr>
          <w:p>
            <w:pPr>
              <w:spacing w:after="0"/>
              <w:rPr>
                <w:sz w:val="18"/>
                <w:szCs w:val="18"/>
                <w:color w:val="auto"/>
              </w:rPr>
            </w:pPr>
          </w:p>
        </w:tc>
        <w:tc>
          <w:tcPr>
            <w:tcW w:w="2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CCEEFF"/>
          </w:tcPr>
          <w:p>
            <w:pPr>
              <w:jc w:val="right"/>
              <w:ind w:right="920"/>
              <w:spacing w:after="0"/>
              <w:rPr>
                <w:sz w:val="20"/>
                <w:szCs w:val="20"/>
                <w:color w:val="auto"/>
              </w:rPr>
            </w:pPr>
            <w:r>
              <w:rPr>
                <w:rFonts w:ascii="Arial" w:cs="Arial" w:eastAsia="Arial" w:hAnsi="Arial"/>
                <w:sz w:val="18"/>
                <w:szCs w:val="18"/>
                <w:color w:val="auto"/>
              </w:rPr>
              <w:t>52,755</w:t>
            </w:r>
          </w:p>
        </w:tc>
        <w:tc>
          <w:tcPr>
            <w:tcW w:w="3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51,593</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28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right="280"/>
        <w:spacing w:after="0" w:line="332" w:lineRule="auto"/>
        <w:rPr>
          <w:sz w:val="20"/>
          <w:szCs w:val="20"/>
          <w:color w:val="auto"/>
        </w:rPr>
      </w:pPr>
      <w:r>
        <w:rPr>
          <w:rFonts w:ascii="Arial" w:cs="Arial" w:eastAsia="Arial" w:hAnsi="Arial"/>
          <w:sz w:val="16"/>
          <w:szCs w:val="16"/>
          <w:color w:val="auto"/>
        </w:rPr>
        <w:t>Our earnings from the Alternative Asset Fund were $5,162, $5,000 and $5,142 for 2006, 2005 and 2004, respectively. We received distributions of $4,000 and $3,800 from the sales of investments in the Alternative Asset Fund in 2006 and 2004, respectively. In 2005, we received no cash distributions.</w:t>
      </w:r>
    </w:p>
    <w:p>
      <w:pPr>
        <w:spacing w:after="0" w:line="85" w:lineRule="exact"/>
        <w:rPr>
          <w:sz w:val="20"/>
          <w:szCs w:val="20"/>
          <w:color w:val="auto"/>
        </w:rPr>
      </w:pPr>
    </w:p>
    <w:p>
      <w:pPr>
        <w:spacing w:after="0"/>
        <w:rPr>
          <w:sz w:val="20"/>
          <w:szCs w:val="20"/>
          <w:color w:val="auto"/>
        </w:rPr>
      </w:pPr>
      <w:r>
        <w:rPr>
          <w:rFonts w:ascii="Arial" w:cs="Arial" w:eastAsia="Arial" w:hAnsi="Arial"/>
          <w:sz w:val="18"/>
          <w:szCs w:val="18"/>
          <w:color w:val="auto"/>
        </w:rPr>
        <w:t>Cost and unrealized holding gains of marketable securities are as follows:</w:t>
      </w:r>
    </w:p>
    <w:p>
      <w:pPr>
        <w:spacing w:after="0" w:line="207"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340" w:type="dxa"/>
            <w:vAlign w:val="bottom"/>
          </w:tcPr>
          <w:p>
            <w:pPr>
              <w:spacing w:after="0"/>
              <w:rPr>
                <w:sz w:val="14"/>
                <w:szCs w:val="14"/>
                <w:color w:val="auto"/>
              </w:rPr>
            </w:pPr>
          </w:p>
        </w:tc>
        <w:tc>
          <w:tcPr>
            <w:tcW w:w="112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6"/>
              </w:rPr>
              <w:t>November 25, 2006</w:t>
            </w:r>
          </w:p>
        </w:tc>
        <w:tc>
          <w:tcPr>
            <w:tcW w:w="920" w:type="dxa"/>
            <w:vAlign w:val="bottom"/>
          </w:tcPr>
          <w:p>
            <w:pPr>
              <w:spacing w:after="0"/>
              <w:rPr>
                <w:sz w:val="14"/>
                <w:szCs w:val="14"/>
                <w:color w:val="auto"/>
              </w:rPr>
            </w:pPr>
          </w:p>
        </w:tc>
        <w:tc>
          <w:tcPr>
            <w:tcW w:w="110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5"/>
              </w:rPr>
              <w:t>November 26, 2005</w:t>
            </w:r>
          </w:p>
        </w:tc>
        <w:tc>
          <w:tcPr>
            <w:tcW w:w="20" w:type="dxa"/>
            <w:vAlign w:val="bottom"/>
          </w:tcPr>
          <w:p>
            <w:pPr>
              <w:spacing w:after="0"/>
              <w:rPr>
                <w:sz w:val="14"/>
                <w:szCs w:val="14"/>
                <w:color w:val="auto"/>
              </w:rPr>
            </w:pPr>
          </w:p>
        </w:tc>
      </w:tr>
      <w:tr>
        <w:trPr>
          <w:trHeight w:val="210"/>
        </w:trPr>
        <w:tc>
          <w:tcPr>
            <w:tcW w:w="20" w:type="dxa"/>
            <w:vAlign w:val="bottom"/>
          </w:tcPr>
          <w:p>
            <w:pPr>
              <w:spacing w:after="0"/>
              <w:rPr>
                <w:sz w:val="18"/>
                <w:szCs w:val="18"/>
                <w:color w:val="auto"/>
              </w:rPr>
            </w:pPr>
          </w:p>
        </w:tc>
        <w:tc>
          <w:tcPr>
            <w:tcW w:w="7340" w:type="dxa"/>
            <w:vAlign w:val="bottom"/>
            <w:shd w:val="clear" w:color="auto" w:fill="CCEEFF"/>
          </w:tcPr>
          <w:p>
            <w:pPr>
              <w:spacing w:after="0"/>
              <w:rPr>
                <w:sz w:val="20"/>
                <w:szCs w:val="20"/>
                <w:color w:val="auto"/>
              </w:rPr>
            </w:pPr>
            <w:r>
              <w:rPr>
                <w:rFonts w:ascii="Arial" w:cs="Arial" w:eastAsia="Arial" w:hAnsi="Arial"/>
                <w:sz w:val="18"/>
                <w:szCs w:val="18"/>
                <w:color w:val="auto"/>
              </w:rPr>
              <w:t>Fixed income securities</w:t>
            </w:r>
          </w:p>
        </w:tc>
        <w:tc>
          <w:tcPr>
            <w:tcW w:w="3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CCEEFF"/>
          </w:tcPr>
          <w:p>
            <w:pPr>
              <w:jc w:val="right"/>
              <w:ind w:right="920"/>
              <w:spacing w:after="0"/>
              <w:rPr>
                <w:sz w:val="20"/>
                <w:szCs w:val="20"/>
                <w:color w:val="auto"/>
              </w:rPr>
            </w:pPr>
            <w:r>
              <w:rPr>
                <w:rFonts w:ascii="Arial" w:cs="Arial" w:eastAsia="Arial" w:hAnsi="Arial"/>
                <w:sz w:val="18"/>
                <w:szCs w:val="18"/>
                <w:color w:val="auto"/>
              </w:rPr>
              <w:t>3,666</w:t>
            </w:r>
          </w:p>
        </w:tc>
        <w:tc>
          <w:tcPr>
            <w:tcW w:w="3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5,658</w:t>
            </w:r>
          </w:p>
        </w:tc>
        <w:tc>
          <w:tcPr>
            <w:tcW w:w="2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7340" w:type="dxa"/>
            <w:vAlign w:val="bottom"/>
          </w:tcPr>
          <w:p>
            <w:pPr>
              <w:spacing w:after="0"/>
              <w:rPr>
                <w:sz w:val="20"/>
                <w:szCs w:val="20"/>
                <w:color w:val="auto"/>
              </w:rPr>
            </w:pPr>
            <w:r>
              <w:rPr>
                <w:rFonts w:ascii="Arial" w:cs="Arial" w:eastAsia="Arial" w:hAnsi="Arial"/>
                <w:sz w:val="18"/>
                <w:szCs w:val="18"/>
                <w:color w:val="auto"/>
              </w:rPr>
              <w:t>Equity securities</w:t>
            </w:r>
          </w:p>
        </w:tc>
        <w:tc>
          <w:tcPr>
            <w:tcW w:w="36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16,738</w:t>
            </w:r>
          </w:p>
        </w:tc>
        <w:tc>
          <w:tcPr>
            <w:tcW w:w="92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15,495</w:t>
            </w:r>
          </w:p>
        </w:tc>
        <w:tc>
          <w:tcPr>
            <w:tcW w:w="2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73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Total cost</w:t>
            </w:r>
          </w:p>
        </w:tc>
        <w:tc>
          <w:tcPr>
            <w:tcW w:w="360" w:type="dxa"/>
            <w:vAlign w:val="bottom"/>
            <w:shd w:val="clear" w:color="auto" w:fill="CCEEFF"/>
          </w:tcPr>
          <w:p>
            <w:pPr>
              <w:spacing w:after="0"/>
              <w:rPr>
                <w:sz w:val="18"/>
                <w:szCs w:val="18"/>
                <w:color w:val="auto"/>
              </w:rPr>
            </w:pPr>
          </w:p>
        </w:tc>
        <w:tc>
          <w:tcPr>
            <w:tcW w:w="1680" w:type="dxa"/>
            <w:vAlign w:val="bottom"/>
            <w:gridSpan w:val="2"/>
            <w:shd w:val="clear" w:color="auto" w:fill="CCEEFF"/>
          </w:tcPr>
          <w:p>
            <w:pPr>
              <w:jc w:val="right"/>
              <w:ind w:right="920"/>
              <w:spacing w:after="0"/>
              <w:rPr>
                <w:sz w:val="20"/>
                <w:szCs w:val="20"/>
                <w:color w:val="auto"/>
              </w:rPr>
            </w:pPr>
            <w:r>
              <w:rPr>
                <w:rFonts w:ascii="Arial" w:cs="Arial" w:eastAsia="Arial" w:hAnsi="Arial"/>
                <w:sz w:val="18"/>
                <w:szCs w:val="18"/>
                <w:color w:val="auto"/>
              </w:rPr>
              <w:t>20,404</w:t>
            </w:r>
          </w:p>
        </w:tc>
        <w:tc>
          <w:tcPr>
            <w:tcW w:w="3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21,153</w:t>
            </w:r>
          </w:p>
        </w:tc>
        <w:tc>
          <w:tcPr>
            <w:tcW w:w="2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7340" w:type="dxa"/>
            <w:vAlign w:val="bottom"/>
          </w:tcPr>
          <w:p>
            <w:pPr>
              <w:spacing w:after="0"/>
              <w:rPr>
                <w:sz w:val="20"/>
                <w:szCs w:val="20"/>
                <w:color w:val="auto"/>
              </w:rPr>
            </w:pPr>
            <w:r>
              <w:rPr>
                <w:rFonts w:ascii="Arial" w:cs="Arial" w:eastAsia="Arial" w:hAnsi="Arial"/>
                <w:sz w:val="18"/>
                <w:szCs w:val="18"/>
                <w:color w:val="auto"/>
              </w:rPr>
              <w:t>Unrealized holding gains</w:t>
            </w:r>
          </w:p>
        </w:tc>
        <w:tc>
          <w:tcPr>
            <w:tcW w:w="36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5,458</w:t>
            </w:r>
          </w:p>
        </w:tc>
        <w:tc>
          <w:tcPr>
            <w:tcW w:w="92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4,144</w:t>
            </w:r>
          </w:p>
        </w:tc>
        <w:tc>
          <w:tcPr>
            <w:tcW w:w="2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7340" w:type="dxa"/>
            <w:vAlign w:val="bottom"/>
            <w:shd w:val="clear" w:color="auto" w:fill="CCEEFF"/>
          </w:tcPr>
          <w:p>
            <w:pPr>
              <w:spacing w:after="0"/>
              <w:rPr>
                <w:sz w:val="20"/>
                <w:szCs w:val="20"/>
                <w:color w:val="auto"/>
              </w:rPr>
            </w:pPr>
            <w:r>
              <w:rPr>
                <w:rFonts w:ascii="Arial" w:cs="Arial" w:eastAsia="Arial" w:hAnsi="Arial"/>
                <w:sz w:val="18"/>
                <w:szCs w:val="18"/>
                <w:color w:val="auto"/>
              </w:rPr>
              <w:t>Fair value</w:t>
            </w:r>
          </w:p>
        </w:tc>
        <w:tc>
          <w:tcPr>
            <w:tcW w:w="3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CCEEFF"/>
          </w:tcPr>
          <w:p>
            <w:pPr>
              <w:jc w:val="right"/>
              <w:ind w:right="920"/>
              <w:spacing w:after="0"/>
              <w:rPr>
                <w:sz w:val="20"/>
                <w:szCs w:val="20"/>
                <w:color w:val="auto"/>
              </w:rPr>
            </w:pPr>
            <w:r>
              <w:rPr>
                <w:rFonts w:ascii="Arial" w:cs="Arial" w:eastAsia="Arial" w:hAnsi="Arial"/>
                <w:sz w:val="18"/>
                <w:szCs w:val="18"/>
                <w:color w:val="auto"/>
              </w:rPr>
              <w:t>25,862</w:t>
            </w:r>
          </w:p>
        </w:tc>
        <w:tc>
          <w:tcPr>
            <w:tcW w:w="3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25,297</w:t>
            </w:r>
          </w:p>
        </w:tc>
        <w:tc>
          <w:tcPr>
            <w:tcW w:w="2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73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67"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Investments in marketable securities are held as “available for sale”. The realized earnings from our marketable securities portfolio was $2,121 and $1,743 for 2006 and 2005, respectively. The change in unrealized holding gains of $1,314, $(259) and $449 is recorded in accumulated other comprehensive income, net of taxes of $(441) for 2006, $93 for 2005 and ($162) for 2004.</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Income from the Continued Dumping and Subsidy Offset Act</w:t>
      </w:r>
    </w:p>
    <w:p>
      <w:pPr>
        <w:spacing w:after="0" w:line="96" w:lineRule="exact"/>
        <w:rPr>
          <w:sz w:val="20"/>
          <w:szCs w:val="20"/>
          <w:color w:val="auto"/>
        </w:rPr>
      </w:pPr>
    </w:p>
    <w:p>
      <w:pPr>
        <w:ind w:right="40"/>
        <w:spacing w:after="0" w:line="318" w:lineRule="auto"/>
        <w:rPr>
          <w:sz w:val="20"/>
          <w:szCs w:val="20"/>
          <w:color w:val="auto"/>
        </w:rPr>
      </w:pPr>
      <w:r>
        <w:rPr>
          <w:rFonts w:ascii="Arial" w:cs="Arial" w:eastAsia="Arial" w:hAnsi="Arial"/>
          <w:sz w:val="15"/>
          <w:szCs w:val="15"/>
          <w:color w:val="auto"/>
        </w:rPr>
        <w:t>In 2000, the United States Congress passed the Continued Dumping and Subsidy Offset Act (CDSOA). This Act requires that the revenues from antidumping and countervailing duties on a given import be distributed on an annual basis to the domestic producers that were either petitioners or interested parties supporting the petition in the case that resulted in the duties being levied on that import. Originally targeting the steel industry, this legislation has also spread to other industries including wooden bedroom furniture beginning January 5, 2005 (produced in China) for which Bassett supported and petitioned. In 2006, we recognized $1,549 of pre-tax income associated with the CDSOA. Amounts for 2005 were insignificant. Current legislation repeals the Act after September 30, 2007.</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Goodwill</w:t>
      </w:r>
    </w:p>
    <w:p>
      <w:pPr>
        <w:spacing w:after="0" w:line="96"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The Company had $3,463 and $4,272 of goodwill as of November 25, 2006, and November 26, 2005, respectively, recorded as part of other long-term assets in the accompanying consolidated balance sheets. We performed our annual review for impairment as of the beginning of our fourth quarter using a discounted cash flow methodology and determined the goodwill associated with our retail reporting unit was impaired and recorded a $1,359 charge. The overall retail furniture environment and, in particular, the markets in which our Company-owned stores operate, softened during 2006 considerably more than we had anticipated. In addition, our strategy to streamline and standardize operations to reduce overhead and other costs has taken more time than we expected to implement. High gasoline costs, rising interest rates and decreased housing starts contributed to the difficult furniture retail environment. These factors led to increased promotional discounts on our products in an attempt to maintain sales volumes that resulted in a significant increase in</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- 31</w:t>
      </w:r>
    </w:p>
    <w:p>
      <w:pPr>
        <w:sectPr>
          <w:pgSz w:w="11900" w:h="16838" w:orient="portrait"/>
          <w:cols w:equalWidth="0" w:num="1">
            <w:col w:w="11420"/>
          </w:cols>
          <w:pgMar w:left="240" w:top="459" w:right="23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65" w:lineRule="exact"/>
        <w:rPr>
          <w:sz w:val="20"/>
          <w:szCs w:val="20"/>
          <w:color w:val="auto"/>
        </w:rPr>
      </w:pPr>
    </w:p>
    <w:p>
      <w:pPr>
        <w:spacing w:after="0" w:line="294" w:lineRule="auto"/>
        <w:rPr>
          <w:sz w:val="20"/>
          <w:szCs w:val="20"/>
          <w:color w:val="auto"/>
        </w:rPr>
      </w:pPr>
      <w:r>
        <w:rPr>
          <w:rFonts w:ascii="Arial" w:cs="Arial" w:eastAsia="Arial" w:hAnsi="Arial"/>
          <w:sz w:val="16"/>
          <w:szCs w:val="16"/>
          <w:color w:val="auto"/>
        </w:rPr>
        <w:t>the operating losses for our Company-owned stores. We do believe that our operations will improve and that operating losses will be reduced in 2007 with plans to be at a break-even level by 2009. However, because of the magnitude of the losses expected in 2007 and 2008, our discounted cash flow analysis indicates that the retail goodwill is impaired. Our discounted cash flow analysis on the goodwill associated with our wholesale reporting unit indicated that the carrying value was realizable from future cash flows and that the fair value of the reporting unit was in excess of 125% of the book value. The fair value of the wholesale reporting unit would continue to be in excess of 110% of the book value even assuming a 10% decrease in the cash flow assumptions.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The carrying value of our goodwill by reporting unit and the activity for fiscal 2006 and 2005 is as follows:</w:t>
      </w:r>
    </w:p>
    <w:p>
      <w:pPr>
        <w:spacing w:after="0" w:line="19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65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00" w:type="dxa"/>
            <w:vAlign w:val="bottom"/>
            <w:gridSpan w:val="2"/>
          </w:tcPr>
          <w:p>
            <w:pPr>
              <w:spacing w:after="0"/>
              <w:rPr>
                <w:sz w:val="20"/>
                <w:szCs w:val="20"/>
                <w:color w:val="auto"/>
              </w:rPr>
            </w:pPr>
            <w:r>
              <w:rPr>
                <w:rFonts w:ascii="Arial" w:cs="Arial" w:eastAsia="Arial" w:hAnsi="Arial"/>
                <w:sz w:val="14"/>
                <w:szCs w:val="14"/>
                <w:b w:val="1"/>
                <w:bCs w:val="1"/>
                <w:color w:val="auto"/>
                <w:w w:val="85"/>
              </w:rPr>
              <w:t>Real Estate/</w:t>
            </w: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6580" w:type="dxa"/>
            <w:vAlign w:val="bottom"/>
          </w:tcPr>
          <w:p>
            <w:pPr>
              <w:spacing w:after="0"/>
              <w:rPr>
                <w:sz w:val="14"/>
                <w:szCs w:val="14"/>
                <w:color w:val="auto"/>
              </w:rPr>
            </w:pPr>
          </w:p>
        </w:tc>
        <w:tc>
          <w:tcPr>
            <w:tcW w:w="60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3"/>
              </w:rPr>
              <w:t>Wholesale</w:t>
            </w:r>
          </w:p>
        </w:tc>
        <w:tc>
          <w:tcPr>
            <w:tcW w:w="4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jc w:val="right"/>
              <w:ind w:right="34"/>
              <w:spacing w:after="0"/>
              <w:rPr>
                <w:sz w:val="20"/>
                <w:szCs w:val="20"/>
                <w:color w:val="auto"/>
              </w:rPr>
            </w:pPr>
            <w:r>
              <w:rPr>
                <w:rFonts w:ascii="Arial" w:cs="Arial" w:eastAsia="Arial" w:hAnsi="Arial"/>
                <w:sz w:val="14"/>
                <w:szCs w:val="14"/>
                <w:b w:val="1"/>
                <w:bCs w:val="1"/>
                <w:color w:val="auto"/>
                <w:w w:val="83"/>
              </w:rPr>
              <w:t>Retail</w:t>
            </w:r>
          </w:p>
        </w:tc>
        <w:tc>
          <w:tcPr>
            <w:tcW w:w="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0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3"/>
              </w:rPr>
              <w:t>Investments</w:t>
            </w:r>
          </w:p>
        </w:tc>
        <w:tc>
          <w:tcPr>
            <w:tcW w:w="4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jc w:val="right"/>
              <w:ind w:right="54"/>
              <w:spacing w:after="0"/>
              <w:rPr>
                <w:sz w:val="20"/>
                <w:szCs w:val="20"/>
                <w:color w:val="auto"/>
              </w:rPr>
            </w:pPr>
            <w:r>
              <w:rPr>
                <w:rFonts w:ascii="Arial" w:cs="Arial" w:eastAsia="Arial" w:hAnsi="Arial"/>
                <w:sz w:val="14"/>
                <w:szCs w:val="14"/>
                <w:b w:val="1"/>
                <w:bCs w:val="1"/>
                <w:color w:val="auto"/>
                <w:w w:val="89"/>
              </w:rPr>
              <w:t>Total</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6580" w:type="dxa"/>
            <w:vAlign w:val="bottom"/>
            <w:shd w:val="clear" w:color="auto" w:fill="CCEEFF"/>
          </w:tcPr>
          <w:p>
            <w:pPr>
              <w:spacing w:after="0"/>
              <w:rPr>
                <w:sz w:val="20"/>
                <w:szCs w:val="20"/>
                <w:color w:val="auto"/>
              </w:rPr>
            </w:pPr>
            <w:r>
              <w:rPr>
                <w:rFonts w:ascii="Arial" w:cs="Arial" w:eastAsia="Arial" w:hAnsi="Arial"/>
                <w:sz w:val="18"/>
                <w:szCs w:val="18"/>
                <w:color w:val="auto"/>
              </w:rPr>
              <w:t>Balance as of November 27, 2004</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240</w:t>
            </w: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15</w:t>
            </w:r>
          </w:p>
        </w:tc>
        <w:tc>
          <w:tcPr>
            <w:tcW w:w="50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23"/>
        </w:trPr>
        <w:tc>
          <w:tcPr>
            <w:tcW w:w="6580" w:type="dxa"/>
            <w:vAlign w:val="bottom"/>
          </w:tcPr>
          <w:p>
            <w:pPr>
              <w:ind w:left="440"/>
              <w:spacing w:after="0"/>
              <w:rPr>
                <w:sz w:val="20"/>
                <w:szCs w:val="20"/>
                <w:color w:val="auto"/>
              </w:rPr>
            </w:pPr>
            <w:r>
              <w:rPr>
                <w:rFonts w:ascii="Arial" w:cs="Arial" w:eastAsia="Arial" w:hAnsi="Arial"/>
                <w:sz w:val="18"/>
                <w:szCs w:val="18"/>
                <w:color w:val="auto"/>
              </w:rPr>
              <w:t>Goodwill from acquisitions</w:t>
            </w:r>
          </w:p>
        </w:tc>
        <w:tc>
          <w:tcPr>
            <w:tcW w:w="140" w:type="dxa"/>
            <w:vAlign w:val="bottom"/>
          </w:tcPr>
          <w:p>
            <w:pPr>
              <w:spacing w:after="0"/>
              <w:rPr>
                <w:sz w:val="24"/>
                <w:szCs w:val="24"/>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w w:val="97"/>
              </w:rPr>
              <w:t>2,851</w:t>
            </w: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gridSpan w:val="2"/>
          </w:tcPr>
          <w:p>
            <w:pPr>
              <w:jc w:val="right"/>
              <w:ind w:right="280"/>
              <w:spacing w:after="0"/>
              <w:rPr>
                <w:sz w:val="20"/>
                <w:szCs w:val="20"/>
                <w:color w:val="auto"/>
              </w:rPr>
            </w:pPr>
            <w:r>
              <w:rPr>
                <w:rFonts w:ascii="Arial" w:cs="Arial" w:eastAsia="Arial" w:hAnsi="Arial"/>
                <w:sz w:val="18"/>
                <w:szCs w:val="18"/>
                <w:color w:val="auto"/>
                <w:w w:val="97"/>
              </w:rPr>
              <w:t>1,116</w:t>
            </w: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40" w:type="dxa"/>
            <w:vAlign w:val="bottom"/>
          </w:tcPr>
          <w:p>
            <w:pPr>
              <w:ind w:left="18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w w:val="97"/>
              </w:rPr>
              <w:t>3,967</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65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Other activity</w:t>
            </w:r>
          </w:p>
        </w:tc>
        <w:tc>
          <w:tcPr>
            <w:tcW w:w="14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4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6580" w:type="dxa"/>
            <w:vAlign w:val="bottom"/>
          </w:tcPr>
          <w:p>
            <w:pPr>
              <w:spacing w:after="0"/>
              <w:rPr>
                <w:sz w:val="20"/>
                <w:szCs w:val="20"/>
                <w:color w:val="auto"/>
              </w:rPr>
            </w:pPr>
            <w:r>
              <w:rPr>
                <w:rFonts w:ascii="Arial" w:cs="Arial" w:eastAsia="Arial" w:hAnsi="Arial"/>
                <w:sz w:val="18"/>
                <w:szCs w:val="18"/>
                <w:color w:val="auto"/>
              </w:rPr>
              <w:t>Balance as of November 26, 2005 as restated</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460" w:type="dxa"/>
            <w:vAlign w:val="bottom"/>
          </w:tcPr>
          <w:p>
            <w:pPr>
              <w:jc w:val="right"/>
              <w:spacing w:after="0"/>
              <w:rPr>
                <w:sz w:val="20"/>
                <w:szCs w:val="20"/>
                <w:color w:val="auto"/>
              </w:rPr>
            </w:pPr>
            <w:r>
              <w:rPr>
                <w:rFonts w:ascii="Arial" w:cs="Arial" w:eastAsia="Arial" w:hAnsi="Arial"/>
                <w:sz w:val="18"/>
                <w:szCs w:val="18"/>
                <w:color w:val="auto"/>
                <w:w w:val="97"/>
              </w:rPr>
              <w:t>3,127</w:t>
            </w:r>
          </w:p>
        </w:tc>
        <w:tc>
          <w:tcPr>
            <w:tcW w:w="5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280"/>
              <w:spacing w:after="0"/>
              <w:rPr>
                <w:sz w:val="20"/>
                <w:szCs w:val="20"/>
                <w:color w:val="auto"/>
              </w:rPr>
            </w:pPr>
            <w:r>
              <w:rPr>
                <w:rFonts w:ascii="Arial" w:cs="Arial" w:eastAsia="Arial" w:hAnsi="Arial"/>
                <w:sz w:val="18"/>
                <w:szCs w:val="18"/>
                <w:color w:val="auto"/>
                <w:w w:val="97"/>
              </w:rPr>
              <w:t>1,145</w:t>
            </w:r>
          </w:p>
        </w:tc>
        <w:tc>
          <w:tcPr>
            <w:tcW w:w="500" w:type="dxa"/>
            <w:vAlign w:val="bottom"/>
            <w:gridSpan w:val="2"/>
          </w:tcPr>
          <w:p>
            <w:pPr>
              <w:ind w:left="240"/>
              <w:spacing w:after="0"/>
              <w:rPr>
                <w:sz w:val="20"/>
                <w:szCs w:val="20"/>
                <w:color w:val="auto"/>
              </w:rPr>
            </w:pPr>
            <w:r>
              <w:rPr>
                <w:rFonts w:ascii="Arial" w:cs="Arial" w:eastAsia="Arial" w:hAnsi="Arial"/>
                <w:sz w:val="18"/>
                <w:szCs w:val="18"/>
                <w:color w:val="auto"/>
              </w:rPr>
              <w:t>$</w:t>
            </w:r>
          </w:p>
        </w:tc>
        <w:tc>
          <w:tcPr>
            <w:tcW w:w="440" w:type="dxa"/>
            <w:vAlign w:val="bottom"/>
          </w:tcPr>
          <w:p>
            <w:pPr>
              <w:ind w:left="180"/>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60" w:type="dxa"/>
            <w:vAlign w:val="bottom"/>
          </w:tcPr>
          <w:p>
            <w:pPr>
              <w:jc w:val="right"/>
              <w:spacing w:after="0"/>
              <w:rPr>
                <w:sz w:val="20"/>
                <w:szCs w:val="20"/>
                <w:color w:val="auto"/>
              </w:rPr>
            </w:pPr>
            <w:r>
              <w:rPr>
                <w:rFonts w:ascii="Arial" w:cs="Arial" w:eastAsia="Arial" w:hAnsi="Arial"/>
                <w:sz w:val="18"/>
                <w:szCs w:val="18"/>
                <w:color w:val="auto"/>
                <w:w w:val="97"/>
              </w:rPr>
              <w:t>4,272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0"/>
        </w:trPr>
        <w:tc>
          <w:tcPr>
            <w:tcW w:w="6580" w:type="dxa"/>
            <w:vAlign w:val="bottom"/>
          </w:tcPr>
          <w:p>
            <w:pPr>
              <w:spacing w:after="0"/>
              <w:rPr>
                <w:sz w:val="9"/>
                <w:szCs w:val="9"/>
                <w:color w:val="auto"/>
              </w:rPr>
            </w:pPr>
          </w:p>
        </w:tc>
        <w:tc>
          <w:tcPr>
            <w:tcW w:w="140" w:type="dxa"/>
            <w:vAlign w:val="bottom"/>
          </w:tcPr>
          <w:p>
            <w:pPr>
              <w:spacing w:after="0"/>
              <w:rPr>
                <w:sz w:val="9"/>
                <w:szCs w:val="9"/>
                <w:color w:val="auto"/>
              </w:rPr>
            </w:pPr>
          </w:p>
        </w:tc>
        <w:tc>
          <w:tcPr>
            <w:tcW w:w="460" w:type="dxa"/>
            <w:vAlign w:val="bottom"/>
          </w:tcPr>
          <w:p>
            <w:pPr>
              <w:spacing w:after="0"/>
              <w:rPr>
                <w:sz w:val="9"/>
                <w:szCs w:val="9"/>
                <w:color w:val="auto"/>
              </w:rPr>
            </w:pPr>
          </w:p>
        </w:tc>
        <w:tc>
          <w:tcPr>
            <w:tcW w:w="4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Pr>
          <w:p>
            <w:pPr>
              <w:spacing w:after="0"/>
              <w:rPr>
                <w:sz w:val="9"/>
                <w:szCs w:val="9"/>
                <w:color w:val="auto"/>
              </w:rPr>
            </w:pPr>
          </w:p>
        </w:tc>
        <w:tc>
          <w:tcPr>
            <w:tcW w:w="440" w:type="dxa"/>
            <w:vAlign w:val="bottom"/>
          </w:tcPr>
          <w:p>
            <w:pPr>
              <w:spacing w:after="0"/>
              <w:rPr>
                <w:sz w:val="9"/>
                <w:szCs w:val="9"/>
                <w:color w:val="auto"/>
              </w:rPr>
            </w:pPr>
          </w:p>
        </w:tc>
        <w:tc>
          <w:tcPr>
            <w:tcW w:w="4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6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65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Goodwill from acquisitions</w:t>
            </w:r>
          </w:p>
        </w:tc>
        <w:tc>
          <w:tcPr>
            <w:tcW w:w="14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278</w:t>
            </w: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109</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80" w:type="dxa"/>
            <w:vAlign w:val="bottom"/>
          </w:tcPr>
          <w:p>
            <w:pPr>
              <w:ind w:left="440"/>
              <w:spacing w:after="0"/>
              <w:rPr>
                <w:sz w:val="20"/>
                <w:szCs w:val="20"/>
                <w:color w:val="auto"/>
              </w:rPr>
            </w:pPr>
            <w:r>
              <w:rPr>
                <w:rFonts w:ascii="Arial" w:cs="Arial" w:eastAsia="Arial" w:hAnsi="Arial"/>
                <w:sz w:val="18"/>
                <w:szCs w:val="18"/>
                <w:color w:val="auto"/>
              </w:rPr>
              <w:t>Other activity</w:t>
            </w:r>
          </w:p>
        </w:tc>
        <w:tc>
          <w:tcPr>
            <w:tcW w:w="14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58</w:t>
            </w: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280"/>
              <w:spacing w:after="0"/>
              <w:rPr>
                <w:sz w:val="20"/>
                <w:szCs w:val="20"/>
                <w:color w:val="auto"/>
              </w:rPr>
            </w:pPr>
            <w:r>
              <w:rPr>
                <w:rFonts w:ascii="Arial" w:cs="Arial" w:eastAsia="Arial" w:hAnsi="Arial"/>
                <w:sz w:val="18"/>
                <w:szCs w:val="18"/>
                <w:color w:val="auto"/>
              </w:rPr>
              <w:t>105</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40" w:type="dxa"/>
            <w:vAlign w:val="bottom"/>
          </w:tcPr>
          <w:p>
            <w:pPr>
              <w:ind w:left="18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163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Fourth quarter impairment charge</w:t>
            </w:r>
          </w:p>
        </w:tc>
        <w:tc>
          <w:tcPr>
            <w:tcW w:w="14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4"/>
              </w:rPr>
              <w:t>(1,359)</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7"/>
              </w:rPr>
              <w:t>(1,359)</w:t>
            </w:r>
          </w:p>
        </w:tc>
        <w:tc>
          <w:tcPr>
            <w:tcW w:w="0" w:type="dxa"/>
            <w:vAlign w:val="bottom"/>
          </w:tcPr>
          <w:p>
            <w:pPr>
              <w:spacing w:after="0"/>
              <w:rPr>
                <w:sz w:val="1"/>
                <w:szCs w:val="1"/>
                <w:color w:val="auto"/>
              </w:rPr>
            </w:pPr>
          </w:p>
        </w:tc>
      </w:tr>
      <w:tr>
        <w:trPr>
          <w:trHeight w:val="20"/>
        </w:trPr>
        <w:tc>
          <w:tcPr>
            <w:tcW w:w="6580" w:type="dxa"/>
            <w:vAlign w:val="bottom"/>
            <w:vMerge w:val="restart"/>
          </w:tcPr>
          <w:p>
            <w:pPr>
              <w:spacing w:after="0"/>
              <w:rPr>
                <w:sz w:val="20"/>
                <w:szCs w:val="20"/>
                <w:color w:val="auto"/>
              </w:rPr>
            </w:pPr>
            <w:r>
              <w:rPr>
                <w:rFonts w:ascii="Arial" w:cs="Arial" w:eastAsia="Arial" w:hAnsi="Arial"/>
                <w:sz w:val="18"/>
                <w:szCs w:val="18"/>
                <w:color w:val="auto"/>
              </w:rPr>
              <w:t>Balance as of November 25, 2006</w:t>
            </w:r>
          </w:p>
        </w:tc>
        <w:tc>
          <w:tcPr>
            <w:tcW w:w="14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6580" w:type="dxa"/>
            <w:vAlign w:val="bottom"/>
            <w:vMerge w:val="continue"/>
          </w:tcPr>
          <w:p>
            <w:pPr>
              <w:spacing w:after="0"/>
              <w:rPr>
                <w:sz w:val="19"/>
                <w:szCs w:val="19"/>
                <w:color w:val="auto"/>
              </w:rPr>
            </w:pP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460" w:type="dxa"/>
            <w:vAlign w:val="bottom"/>
          </w:tcPr>
          <w:p>
            <w:pPr>
              <w:jc w:val="right"/>
              <w:spacing w:after="0"/>
              <w:rPr>
                <w:sz w:val="20"/>
                <w:szCs w:val="20"/>
                <w:color w:val="auto"/>
              </w:rPr>
            </w:pPr>
            <w:r>
              <w:rPr>
                <w:rFonts w:ascii="Arial" w:cs="Arial" w:eastAsia="Arial" w:hAnsi="Arial"/>
                <w:sz w:val="18"/>
                <w:szCs w:val="18"/>
                <w:color w:val="auto"/>
                <w:w w:val="97"/>
              </w:rPr>
              <w:t>3,463</w:t>
            </w:r>
          </w:p>
        </w:tc>
        <w:tc>
          <w:tcPr>
            <w:tcW w:w="5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500" w:type="dxa"/>
            <w:vAlign w:val="bottom"/>
            <w:gridSpan w:val="2"/>
          </w:tcPr>
          <w:p>
            <w:pPr>
              <w:ind w:left="240"/>
              <w:spacing w:after="0"/>
              <w:rPr>
                <w:sz w:val="20"/>
                <w:szCs w:val="20"/>
                <w:color w:val="auto"/>
              </w:rPr>
            </w:pPr>
            <w:r>
              <w:rPr>
                <w:rFonts w:ascii="Arial" w:cs="Arial" w:eastAsia="Arial" w:hAnsi="Arial"/>
                <w:sz w:val="18"/>
                <w:szCs w:val="18"/>
                <w:color w:val="auto"/>
              </w:rPr>
              <w:t>$</w:t>
            </w:r>
          </w:p>
        </w:tc>
        <w:tc>
          <w:tcPr>
            <w:tcW w:w="440" w:type="dxa"/>
            <w:vAlign w:val="bottom"/>
          </w:tcPr>
          <w:p>
            <w:pPr>
              <w:ind w:left="180"/>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60" w:type="dxa"/>
            <w:vAlign w:val="bottom"/>
          </w:tcPr>
          <w:p>
            <w:pPr>
              <w:jc w:val="right"/>
              <w:spacing w:after="0"/>
              <w:rPr>
                <w:sz w:val="20"/>
                <w:szCs w:val="20"/>
                <w:color w:val="auto"/>
              </w:rPr>
            </w:pPr>
            <w:r>
              <w:rPr>
                <w:rFonts w:ascii="Arial" w:cs="Arial" w:eastAsia="Arial" w:hAnsi="Arial"/>
                <w:sz w:val="18"/>
                <w:szCs w:val="18"/>
                <w:color w:val="auto"/>
                <w:w w:val="97"/>
              </w:rPr>
              <w:t>3,463</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5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right="8300" w:firstLine="8"/>
        <w:spacing w:after="0" w:line="391" w:lineRule="auto"/>
        <w:tabs>
          <w:tab w:leader="none" w:pos="176" w:val="left"/>
        </w:tabs>
        <w:numPr>
          <w:ilvl w:val="0"/>
          <w:numId w:val="25"/>
        </w:numPr>
        <w:rPr>
          <w:rFonts w:ascii="Arial" w:cs="Arial" w:eastAsia="Arial" w:hAnsi="Arial"/>
          <w:sz w:val="16"/>
          <w:szCs w:val="16"/>
          <w:b w:val="1"/>
          <w:bCs w:val="1"/>
          <w:color w:val="auto"/>
        </w:rPr>
      </w:pPr>
      <w:r>
        <w:rPr>
          <w:rFonts w:ascii="Arial" w:cs="Arial" w:eastAsia="Arial" w:hAnsi="Arial"/>
          <w:sz w:val="16"/>
          <w:szCs w:val="16"/>
          <w:b w:val="1"/>
          <w:bCs w:val="1"/>
          <w:color w:val="auto"/>
        </w:rPr>
        <w:t>Unconsolidated Affiliated Companies International Home Furnishings Center:</w:t>
      </w:r>
    </w:p>
    <w:p>
      <w:pPr>
        <w:spacing w:after="0" w:line="1" w:lineRule="exact"/>
        <w:rPr>
          <w:sz w:val="20"/>
          <w:szCs w:val="20"/>
          <w:color w:val="auto"/>
        </w:rPr>
      </w:pPr>
    </w:p>
    <w:p>
      <w:pPr>
        <w:ind w:right="160"/>
        <w:spacing w:after="0" w:line="291" w:lineRule="auto"/>
        <w:rPr>
          <w:sz w:val="20"/>
          <w:szCs w:val="20"/>
          <w:color w:val="auto"/>
        </w:rPr>
      </w:pPr>
      <w:r>
        <w:rPr>
          <w:rFonts w:ascii="Arial" w:cs="Arial" w:eastAsia="Arial" w:hAnsi="Arial"/>
          <w:sz w:val="16"/>
          <w:szCs w:val="16"/>
          <w:color w:val="auto"/>
        </w:rPr>
        <w:t>The International Home Furnishings Center (“IHFC”) owns and leases showroom space in High Point, North Carolina. Our ownership interest is 46.9% and is accounted for using the equity method. Our investment reflects a credit balance due to our cumulative receipt of dividends exceeding our cumulative portion of IHFC’s earnings. The credit balance was $11,726 and $11,833 at November 25, 2006, and November 26, 2005, respectively, and is reflected in the liabilities section in the accompanying consolidated balance sheets as distributions in excess of affiliate earnings. This negative book value resulted from IHFC’s refinancing of its real estate based on the market value of the property and using the proceeds to pay a special dividend to its owners. Our share of earnings and dividends from this investment were as follows:</w:t>
      </w:r>
    </w:p>
    <w:p>
      <w:pPr>
        <w:spacing w:after="0" w:line="14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0" w:type="dxa"/>
            <w:vAlign w:val="bottom"/>
          </w:tcPr>
          <w:p>
            <w:pPr>
              <w:spacing w:after="0"/>
              <w:rPr>
                <w:sz w:val="14"/>
                <w:szCs w:val="14"/>
                <w:color w:val="auto"/>
              </w:rPr>
            </w:pPr>
          </w:p>
        </w:tc>
        <w:tc>
          <w:tcPr>
            <w:tcW w:w="7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60" w:type="dxa"/>
            <w:vAlign w:val="bottom"/>
            <w:gridSpan w:val="3"/>
          </w:tcPr>
          <w:p>
            <w:pPr>
              <w:jc w:val="center"/>
              <w:ind w:right="400"/>
              <w:spacing w:after="0"/>
              <w:rPr>
                <w:sz w:val="20"/>
                <w:szCs w:val="20"/>
                <w:color w:val="auto"/>
              </w:rPr>
            </w:pPr>
            <w:r>
              <w:rPr>
                <w:rFonts w:ascii="Arial" w:cs="Arial" w:eastAsia="Arial" w:hAnsi="Arial"/>
                <w:sz w:val="14"/>
                <w:szCs w:val="14"/>
                <w:b w:val="1"/>
                <w:bCs w:val="1"/>
                <w:color w:val="auto"/>
                <w:w w:val="90"/>
              </w:rPr>
              <w:t>Earnings</w:t>
            </w:r>
          </w:p>
        </w:tc>
        <w:tc>
          <w:tcPr>
            <w:tcW w:w="10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4"/>
                <w:szCs w:val="14"/>
                <w:b w:val="1"/>
                <w:bCs w:val="1"/>
                <w:color w:val="auto"/>
                <w:w w:val="86"/>
              </w:rPr>
              <w:t>Dividends</w:t>
            </w:r>
          </w:p>
        </w:tc>
      </w:tr>
      <w:tr>
        <w:trPr>
          <w:trHeight w:val="161"/>
        </w:trPr>
        <w:tc>
          <w:tcPr>
            <w:tcW w:w="460" w:type="dxa"/>
            <w:vAlign w:val="bottom"/>
          </w:tcPr>
          <w:p>
            <w:pPr>
              <w:spacing w:after="0"/>
              <w:rPr>
                <w:sz w:val="14"/>
                <w:szCs w:val="14"/>
                <w:color w:val="auto"/>
              </w:rPr>
            </w:pPr>
          </w:p>
        </w:tc>
        <w:tc>
          <w:tcPr>
            <w:tcW w:w="7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6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1"/>
              </w:rPr>
              <w:t>Recognized</w:t>
            </w: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84"/>
              </w:rPr>
              <w:t>Received</w:t>
            </w:r>
          </w:p>
        </w:tc>
        <w:tc>
          <w:tcPr>
            <w:tcW w:w="20" w:type="dxa"/>
            <w:vAlign w:val="bottom"/>
          </w:tcPr>
          <w:p>
            <w:pPr>
              <w:spacing w:after="0"/>
              <w:rPr>
                <w:sz w:val="14"/>
                <w:szCs w:val="14"/>
                <w:color w:val="auto"/>
              </w:rPr>
            </w:pPr>
          </w:p>
        </w:tc>
      </w:tr>
      <w:tr>
        <w:trPr>
          <w:trHeight w:val="210"/>
        </w:trPr>
        <w:tc>
          <w:tcPr>
            <w:tcW w:w="460" w:type="dxa"/>
            <w:vAlign w:val="bottom"/>
          </w:tcPr>
          <w:p>
            <w:pPr>
              <w:spacing w:after="0"/>
              <w:rPr>
                <w:sz w:val="18"/>
                <w:szCs w:val="18"/>
                <w:color w:val="auto"/>
              </w:rPr>
            </w:pPr>
          </w:p>
        </w:tc>
        <w:tc>
          <w:tcPr>
            <w:tcW w:w="7680" w:type="dxa"/>
            <w:vAlign w:val="bottom"/>
            <w:shd w:val="clear" w:color="auto" w:fill="CCEEFF"/>
          </w:tcPr>
          <w:p>
            <w:pPr>
              <w:spacing w:after="0"/>
              <w:rPr>
                <w:sz w:val="20"/>
                <w:szCs w:val="20"/>
                <w:color w:val="auto"/>
              </w:rPr>
            </w:pPr>
            <w:r>
              <w:rPr>
                <w:rFonts w:ascii="Arial" w:cs="Arial" w:eastAsia="Arial" w:hAnsi="Arial"/>
                <w:sz w:val="18"/>
                <w:szCs w:val="18"/>
                <w:color w:val="auto"/>
              </w:rPr>
              <w:t>Fiscal 2006</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6,666</w:t>
            </w:r>
          </w:p>
        </w:tc>
        <w:tc>
          <w:tcPr>
            <w:tcW w:w="2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79"/>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6,560</w:t>
            </w:r>
          </w:p>
        </w:tc>
        <w:tc>
          <w:tcPr>
            <w:tcW w:w="20" w:type="dxa"/>
            <w:vAlign w:val="bottom"/>
          </w:tcPr>
          <w:p>
            <w:pPr>
              <w:spacing w:after="0"/>
              <w:rPr>
                <w:sz w:val="18"/>
                <w:szCs w:val="18"/>
                <w:color w:val="auto"/>
              </w:rPr>
            </w:pPr>
          </w:p>
        </w:tc>
      </w:tr>
      <w:tr>
        <w:trPr>
          <w:trHeight w:val="216"/>
        </w:trPr>
        <w:tc>
          <w:tcPr>
            <w:tcW w:w="460" w:type="dxa"/>
            <w:vAlign w:val="bottom"/>
          </w:tcPr>
          <w:p>
            <w:pPr>
              <w:spacing w:after="0"/>
              <w:rPr>
                <w:sz w:val="18"/>
                <w:szCs w:val="18"/>
                <w:color w:val="auto"/>
              </w:rPr>
            </w:pPr>
          </w:p>
        </w:tc>
        <w:tc>
          <w:tcPr>
            <w:tcW w:w="7680" w:type="dxa"/>
            <w:vAlign w:val="bottom"/>
          </w:tcPr>
          <w:p>
            <w:pPr>
              <w:spacing w:after="0"/>
              <w:rPr>
                <w:sz w:val="20"/>
                <w:szCs w:val="20"/>
                <w:color w:val="auto"/>
              </w:rPr>
            </w:pPr>
            <w:r>
              <w:rPr>
                <w:rFonts w:ascii="Arial" w:cs="Arial" w:eastAsia="Arial" w:hAnsi="Arial"/>
                <w:sz w:val="18"/>
                <w:szCs w:val="18"/>
                <w:color w:val="auto"/>
              </w:rPr>
              <w:t>Fiscal 2005</w:t>
            </w: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400"/>
              <w:spacing w:after="0"/>
              <w:rPr>
                <w:sz w:val="20"/>
                <w:szCs w:val="20"/>
                <w:color w:val="auto"/>
              </w:rPr>
            </w:pPr>
            <w:r>
              <w:rPr>
                <w:rFonts w:ascii="Arial" w:cs="Arial" w:eastAsia="Arial" w:hAnsi="Arial"/>
                <w:sz w:val="18"/>
                <w:szCs w:val="18"/>
                <w:color w:val="auto"/>
              </w:rPr>
              <w:t>6,367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5,623</w:t>
            </w:r>
          </w:p>
        </w:tc>
        <w:tc>
          <w:tcPr>
            <w:tcW w:w="20" w:type="dxa"/>
            <w:vAlign w:val="bottom"/>
          </w:tcPr>
          <w:p>
            <w:pPr>
              <w:spacing w:after="0"/>
              <w:rPr>
                <w:sz w:val="18"/>
                <w:szCs w:val="18"/>
                <w:color w:val="auto"/>
              </w:rPr>
            </w:pPr>
          </w:p>
        </w:tc>
      </w:tr>
      <w:tr>
        <w:trPr>
          <w:trHeight w:val="216"/>
        </w:trPr>
        <w:tc>
          <w:tcPr>
            <w:tcW w:w="460" w:type="dxa"/>
            <w:vAlign w:val="bottom"/>
          </w:tcPr>
          <w:p>
            <w:pPr>
              <w:spacing w:after="0"/>
              <w:rPr>
                <w:sz w:val="18"/>
                <w:szCs w:val="18"/>
                <w:color w:val="auto"/>
              </w:rPr>
            </w:pPr>
          </w:p>
        </w:tc>
        <w:tc>
          <w:tcPr>
            <w:tcW w:w="7680" w:type="dxa"/>
            <w:vAlign w:val="bottom"/>
            <w:shd w:val="clear" w:color="auto" w:fill="CCEEFF"/>
          </w:tcPr>
          <w:p>
            <w:pPr>
              <w:spacing w:after="0"/>
              <w:rPr>
                <w:sz w:val="20"/>
                <w:szCs w:val="20"/>
                <w:color w:val="auto"/>
              </w:rPr>
            </w:pPr>
            <w:r>
              <w:rPr>
                <w:rFonts w:ascii="Arial" w:cs="Arial" w:eastAsia="Arial" w:hAnsi="Arial"/>
                <w:sz w:val="18"/>
                <w:szCs w:val="18"/>
                <w:color w:val="auto"/>
              </w:rPr>
              <w:t>Fiscal 2004</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6,116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5,623</w:t>
            </w:r>
          </w:p>
        </w:tc>
        <w:tc>
          <w:tcPr>
            <w:tcW w:w="20" w:type="dxa"/>
            <w:vAlign w:val="bottom"/>
          </w:tcPr>
          <w:p>
            <w:pPr>
              <w:spacing w:after="0"/>
              <w:rPr>
                <w:sz w:val="18"/>
                <w:szCs w:val="18"/>
                <w:color w:val="auto"/>
              </w:rPr>
            </w:pPr>
          </w:p>
        </w:tc>
      </w:tr>
      <w:tr>
        <w:trPr>
          <w:trHeight w:val="457"/>
        </w:trPr>
        <w:tc>
          <w:tcPr>
            <w:tcW w:w="8140" w:type="dxa"/>
            <w:vAlign w:val="bottom"/>
            <w:gridSpan w:val="2"/>
          </w:tcPr>
          <w:p>
            <w:pPr>
              <w:spacing w:after="0"/>
              <w:rPr>
                <w:sz w:val="20"/>
                <w:szCs w:val="20"/>
                <w:color w:val="auto"/>
              </w:rPr>
            </w:pPr>
            <w:r>
              <w:rPr>
                <w:rFonts w:ascii="Arial" w:cs="Arial" w:eastAsia="Arial" w:hAnsi="Arial"/>
                <w:sz w:val="18"/>
                <w:szCs w:val="18"/>
                <w:color w:val="auto"/>
              </w:rPr>
              <w:t>Summarized financial information for IHFC is as follows:</w:t>
            </w: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53"/>
        </w:trPr>
        <w:tc>
          <w:tcPr>
            <w:tcW w:w="460" w:type="dxa"/>
            <w:vAlign w:val="bottom"/>
          </w:tcPr>
          <w:p>
            <w:pPr>
              <w:spacing w:after="0"/>
              <w:rPr>
                <w:sz w:val="24"/>
                <w:szCs w:val="24"/>
                <w:color w:val="auto"/>
              </w:rPr>
            </w:pPr>
          </w:p>
        </w:tc>
        <w:tc>
          <w:tcPr>
            <w:tcW w:w="768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jc w:val="right"/>
              <w:ind w:right="115"/>
              <w:spacing w:after="0"/>
              <w:rPr>
                <w:sz w:val="20"/>
                <w:szCs w:val="20"/>
                <w:color w:val="auto"/>
              </w:rPr>
            </w:pPr>
            <w:r>
              <w:rPr>
                <w:rFonts w:ascii="Arial" w:cs="Arial" w:eastAsia="Arial" w:hAnsi="Arial"/>
                <w:sz w:val="14"/>
                <w:szCs w:val="14"/>
                <w:b w:val="1"/>
                <w:bCs w:val="1"/>
                <w:color w:val="auto"/>
              </w:rPr>
              <w:t>2006</w:t>
            </w:r>
          </w:p>
        </w:tc>
        <w:tc>
          <w:tcPr>
            <w:tcW w:w="4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jc w:val="right"/>
              <w:ind w:right="114"/>
              <w:spacing w:after="0"/>
              <w:rPr>
                <w:sz w:val="20"/>
                <w:szCs w:val="20"/>
                <w:color w:val="auto"/>
              </w:rPr>
            </w:pPr>
            <w:r>
              <w:rPr>
                <w:rFonts w:ascii="Arial" w:cs="Arial" w:eastAsia="Arial" w:hAnsi="Arial"/>
                <w:sz w:val="14"/>
                <w:szCs w:val="14"/>
                <w:b w:val="1"/>
                <w:bCs w:val="1"/>
                <w:color w:val="auto"/>
              </w:rPr>
              <w:t>2005</w:t>
            </w:r>
          </w:p>
        </w:tc>
        <w:tc>
          <w:tcPr>
            <w:tcW w:w="4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jc w:val="right"/>
              <w:ind w:right="114"/>
              <w:spacing w:after="0"/>
              <w:rPr>
                <w:sz w:val="20"/>
                <w:szCs w:val="20"/>
                <w:color w:val="auto"/>
              </w:rPr>
            </w:pPr>
            <w:r>
              <w:rPr>
                <w:rFonts w:ascii="Arial" w:cs="Arial" w:eastAsia="Arial" w:hAnsi="Arial"/>
                <w:sz w:val="14"/>
                <w:szCs w:val="14"/>
                <w:b w:val="1"/>
                <w:bCs w:val="1"/>
                <w:color w:val="auto"/>
                <w:w w:val="83"/>
              </w:rPr>
              <w:t>2004</w:t>
            </w:r>
          </w:p>
        </w:tc>
        <w:tc>
          <w:tcPr>
            <w:tcW w:w="20" w:type="dxa"/>
            <w:vAlign w:val="bottom"/>
          </w:tcPr>
          <w:p>
            <w:pPr>
              <w:spacing w:after="0"/>
              <w:rPr>
                <w:sz w:val="24"/>
                <w:szCs w:val="24"/>
                <w:color w:val="auto"/>
              </w:rPr>
            </w:pPr>
          </w:p>
        </w:tc>
      </w:tr>
      <w:tr>
        <w:trPr>
          <w:trHeight w:val="210"/>
        </w:trPr>
        <w:tc>
          <w:tcPr>
            <w:tcW w:w="460" w:type="dxa"/>
            <w:vAlign w:val="bottom"/>
          </w:tcPr>
          <w:p>
            <w:pPr>
              <w:spacing w:after="0"/>
              <w:rPr>
                <w:sz w:val="18"/>
                <w:szCs w:val="18"/>
                <w:color w:val="auto"/>
              </w:rPr>
            </w:pPr>
          </w:p>
        </w:tc>
        <w:tc>
          <w:tcPr>
            <w:tcW w:w="7680" w:type="dxa"/>
            <w:vAlign w:val="bottom"/>
            <w:shd w:val="clear" w:color="auto" w:fill="CCEEFF"/>
          </w:tcPr>
          <w:p>
            <w:pPr>
              <w:spacing w:after="0"/>
              <w:rPr>
                <w:sz w:val="20"/>
                <w:szCs w:val="20"/>
                <w:color w:val="auto"/>
              </w:rPr>
            </w:pPr>
            <w:r>
              <w:rPr>
                <w:rFonts w:ascii="Arial" w:cs="Arial" w:eastAsia="Arial" w:hAnsi="Arial"/>
                <w:sz w:val="18"/>
                <w:szCs w:val="18"/>
                <w:color w:val="auto"/>
              </w:rPr>
              <w:t>Current assets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19,871</w:t>
            </w:r>
          </w:p>
        </w:tc>
        <w:tc>
          <w:tcPr>
            <w:tcW w:w="50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98"/>
              </w:rPr>
              <w:t>25,015</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32,600</w:t>
            </w:r>
          </w:p>
        </w:tc>
        <w:tc>
          <w:tcPr>
            <w:tcW w:w="20" w:type="dxa"/>
            <w:vAlign w:val="bottom"/>
          </w:tcPr>
          <w:p>
            <w:pPr>
              <w:spacing w:after="0"/>
              <w:rPr>
                <w:sz w:val="18"/>
                <w:szCs w:val="18"/>
                <w:color w:val="auto"/>
              </w:rPr>
            </w:pPr>
          </w:p>
        </w:tc>
      </w:tr>
      <w:tr>
        <w:trPr>
          <w:trHeight w:val="216"/>
        </w:trPr>
        <w:tc>
          <w:tcPr>
            <w:tcW w:w="460" w:type="dxa"/>
            <w:vAlign w:val="bottom"/>
          </w:tcPr>
          <w:p>
            <w:pPr>
              <w:spacing w:after="0"/>
              <w:rPr>
                <w:sz w:val="18"/>
                <w:szCs w:val="18"/>
                <w:color w:val="auto"/>
              </w:rPr>
            </w:pPr>
          </w:p>
        </w:tc>
        <w:tc>
          <w:tcPr>
            <w:tcW w:w="7680" w:type="dxa"/>
            <w:vAlign w:val="bottom"/>
          </w:tcPr>
          <w:p>
            <w:pPr>
              <w:spacing w:after="0"/>
              <w:rPr>
                <w:sz w:val="20"/>
                <w:szCs w:val="20"/>
                <w:color w:val="auto"/>
              </w:rPr>
            </w:pPr>
            <w:r>
              <w:rPr>
                <w:rFonts w:ascii="Arial" w:cs="Arial" w:eastAsia="Arial" w:hAnsi="Arial"/>
                <w:sz w:val="18"/>
                <w:szCs w:val="18"/>
                <w:color w:val="auto"/>
              </w:rPr>
              <w:t>Non-current assets</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46,310</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400"/>
              <w:spacing w:after="0"/>
              <w:rPr>
                <w:sz w:val="20"/>
                <w:szCs w:val="20"/>
                <w:color w:val="auto"/>
              </w:rPr>
            </w:pPr>
            <w:r>
              <w:rPr>
                <w:rFonts w:ascii="Arial" w:cs="Arial" w:eastAsia="Arial" w:hAnsi="Arial"/>
                <w:sz w:val="18"/>
                <w:szCs w:val="18"/>
                <w:color w:val="auto"/>
                <w:w w:val="98"/>
              </w:rPr>
              <w:t>46,229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47,279</w:t>
            </w:r>
          </w:p>
        </w:tc>
        <w:tc>
          <w:tcPr>
            <w:tcW w:w="20" w:type="dxa"/>
            <w:vAlign w:val="bottom"/>
          </w:tcPr>
          <w:p>
            <w:pPr>
              <w:spacing w:after="0"/>
              <w:rPr>
                <w:sz w:val="18"/>
                <w:szCs w:val="18"/>
                <w:color w:val="auto"/>
              </w:rPr>
            </w:pPr>
          </w:p>
        </w:tc>
      </w:tr>
      <w:tr>
        <w:trPr>
          <w:trHeight w:val="216"/>
        </w:trPr>
        <w:tc>
          <w:tcPr>
            <w:tcW w:w="460" w:type="dxa"/>
            <w:vAlign w:val="bottom"/>
          </w:tcPr>
          <w:p>
            <w:pPr>
              <w:spacing w:after="0"/>
              <w:rPr>
                <w:sz w:val="18"/>
                <w:szCs w:val="18"/>
                <w:color w:val="auto"/>
              </w:rPr>
            </w:pPr>
          </w:p>
        </w:tc>
        <w:tc>
          <w:tcPr>
            <w:tcW w:w="768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19,494</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98"/>
              </w:rPr>
              <w:t>17,756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18,936</w:t>
            </w:r>
          </w:p>
        </w:tc>
        <w:tc>
          <w:tcPr>
            <w:tcW w:w="20" w:type="dxa"/>
            <w:vAlign w:val="bottom"/>
          </w:tcPr>
          <w:p>
            <w:pPr>
              <w:spacing w:after="0"/>
              <w:rPr>
                <w:sz w:val="18"/>
                <w:szCs w:val="18"/>
                <w:color w:val="auto"/>
              </w:rPr>
            </w:pPr>
          </w:p>
        </w:tc>
      </w:tr>
      <w:tr>
        <w:trPr>
          <w:trHeight w:val="216"/>
        </w:trPr>
        <w:tc>
          <w:tcPr>
            <w:tcW w:w="460" w:type="dxa"/>
            <w:vAlign w:val="bottom"/>
          </w:tcPr>
          <w:p>
            <w:pPr>
              <w:spacing w:after="0"/>
              <w:rPr>
                <w:sz w:val="18"/>
                <w:szCs w:val="18"/>
                <w:color w:val="auto"/>
              </w:rPr>
            </w:pPr>
          </w:p>
        </w:tc>
        <w:tc>
          <w:tcPr>
            <w:tcW w:w="7680" w:type="dxa"/>
            <w:vAlign w:val="bottom"/>
          </w:tcPr>
          <w:p>
            <w:pPr>
              <w:spacing w:after="0"/>
              <w:rPr>
                <w:sz w:val="20"/>
                <w:szCs w:val="20"/>
                <w:color w:val="auto"/>
              </w:rPr>
            </w:pPr>
            <w:r>
              <w:rPr>
                <w:rFonts w:ascii="Arial" w:cs="Arial" w:eastAsia="Arial" w:hAnsi="Arial"/>
                <w:sz w:val="18"/>
                <w:szCs w:val="18"/>
                <w:color w:val="auto"/>
              </w:rPr>
              <w:t>Long-term liabilities</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86"/>
              </w:rPr>
              <w:t>107,996</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400"/>
              <w:spacing w:after="0"/>
              <w:rPr>
                <w:sz w:val="20"/>
                <w:szCs w:val="20"/>
                <w:color w:val="auto"/>
              </w:rPr>
            </w:pPr>
            <w:r>
              <w:rPr>
                <w:rFonts w:ascii="Arial" w:cs="Arial" w:eastAsia="Arial" w:hAnsi="Arial"/>
                <w:sz w:val="18"/>
                <w:szCs w:val="18"/>
                <w:color w:val="auto"/>
                <w:w w:val="82"/>
              </w:rPr>
              <w:t>115,025</w:t>
            </w:r>
          </w:p>
        </w:tc>
        <w:tc>
          <w:tcPr>
            <w:tcW w:w="680" w:type="dxa"/>
            <w:vAlign w:val="bottom"/>
            <w:gridSpan w:val="3"/>
          </w:tcPr>
          <w:p>
            <w:pPr>
              <w:jc w:val="right"/>
              <w:spacing w:after="0"/>
              <w:rPr>
                <w:sz w:val="20"/>
                <w:szCs w:val="20"/>
                <w:color w:val="auto"/>
              </w:rPr>
            </w:pPr>
            <w:r>
              <w:rPr>
                <w:rFonts w:ascii="Arial" w:cs="Arial" w:eastAsia="Arial" w:hAnsi="Arial"/>
                <w:sz w:val="18"/>
                <w:szCs w:val="18"/>
                <w:color w:val="auto"/>
              </w:rPr>
              <w:t>124,370</w:t>
            </w:r>
          </w:p>
        </w:tc>
        <w:tc>
          <w:tcPr>
            <w:tcW w:w="20" w:type="dxa"/>
            <w:vAlign w:val="bottom"/>
          </w:tcPr>
          <w:p>
            <w:pPr>
              <w:spacing w:after="0"/>
              <w:rPr>
                <w:sz w:val="18"/>
                <w:szCs w:val="18"/>
                <w:color w:val="auto"/>
              </w:rPr>
            </w:pPr>
          </w:p>
        </w:tc>
      </w:tr>
      <w:tr>
        <w:trPr>
          <w:trHeight w:val="216"/>
        </w:trPr>
        <w:tc>
          <w:tcPr>
            <w:tcW w:w="460" w:type="dxa"/>
            <w:vAlign w:val="bottom"/>
          </w:tcPr>
          <w:p>
            <w:pPr>
              <w:spacing w:after="0"/>
              <w:rPr>
                <w:sz w:val="18"/>
                <w:szCs w:val="18"/>
                <w:color w:val="auto"/>
              </w:rPr>
            </w:pPr>
          </w:p>
        </w:tc>
        <w:tc>
          <w:tcPr>
            <w:tcW w:w="7680" w:type="dxa"/>
            <w:vAlign w:val="bottom"/>
            <w:shd w:val="clear" w:color="auto" w:fill="CCEEFF"/>
          </w:tcPr>
          <w:p>
            <w:pPr>
              <w:spacing w:after="0"/>
              <w:rPr>
                <w:sz w:val="20"/>
                <w:szCs w:val="20"/>
                <w:color w:val="auto"/>
              </w:rPr>
            </w:pPr>
            <w:r>
              <w:rPr>
                <w:rFonts w:ascii="Arial" w:cs="Arial" w:eastAsia="Arial" w:hAnsi="Arial"/>
                <w:sz w:val="18"/>
                <w:szCs w:val="18"/>
                <w:color w:val="auto"/>
              </w:rPr>
              <w:t>Revenues</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46,764</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98"/>
              </w:rPr>
              <w:t>46,411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44,965</w:t>
            </w:r>
          </w:p>
        </w:tc>
        <w:tc>
          <w:tcPr>
            <w:tcW w:w="20" w:type="dxa"/>
            <w:vAlign w:val="bottom"/>
          </w:tcPr>
          <w:p>
            <w:pPr>
              <w:spacing w:after="0"/>
              <w:rPr>
                <w:sz w:val="18"/>
                <w:szCs w:val="18"/>
                <w:color w:val="auto"/>
              </w:rPr>
            </w:pPr>
          </w:p>
        </w:tc>
      </w:tr>
      <w:tr>
        <w:trPr>
          <w:trHeight w:val="222"/>
        </w:trPr>
        <w:tc>
          <w:tcPr>
            <w:tcW w:w="460" w:type="dxa"/>
            <w:vAlign w:val="bottom"/>
          </w:tcPr>
          <w:p>
            <w:pPr>
              <w:spacing w:after="0"/>
              <w:rPr>
                <w:sz w:val="19"/>
                <w:szCs w:val="19"/>
                <w:color w:val="auto"/>
              </w:rPr>
            </w:pPr>
          </w:p>
        </w:tc>
        <w:tc>
          <w:tcPr>
            <w:tcW w:w="7680" w:type="dxa"/>
            <w:vAlign w:val="bottom"/>
          </w:tcPr>
          <w:p>
            <w:pPr>
              <w:spacing w:after="0"/>
              <w:rPr>
                <w:sz w:val="20"/>
                <w:szCs w:val="20"/>
                <w:color w:val="auto"/>
              </w:rPr>
            </w:pPr>
            <w:r>
              <w:rPr>
                <w:rFonts w:ascii="Arial" w:cs="Arial" w:eastAsia="Arial" w:hAnsi="Arial"/>
                <w:sz w:val="18"/>
                <w:szCs w:val="18"/>
                <w:color w:val="auto"/>
              </w:rPr>
              <w:t>Net income</w:t>
            </w: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14,229</w:t>
            </w:r>
          </w:p>
        </w:tc>
        <w:tc>
          <w:tcPr>
            <w:tcW w:w="4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gridSpan w:val="2"/>
          </w:tcPr>
          <w:p>
            <w:pPr>
              <w:jc w:val="right"/>
              <w:ind w:right="400"/>
              <w:spacing w:after="0"/>
              <w:rPr>
                <w:sz w:val="20"/>
                <w:szCs w:val="20"/>
                <w:color w:val="auto"/>
              </w:rPr>
            </w:pPr>
            <w:r>
              <w:rPr>
                <w:rFonts w:ascii="Arial" w:cs="Arial" w:eastAsia="Arial" w:hAnsi="Arial"/>
                <w:sz w:val="18"/>
                <w:szCs w:val="18"/>
                <w:color w:val="auto"/>
                <w:w w:val="98"/>
              </w:rPr>
              <w:t>13,591</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13,053</w:t>
            </w:r>
          </w:p>
        </w:tc>
        <w:tc>
          <w:tcPr>
            <w:tcW w:w="20" w:type="dxa"/>
            <w:vAlign w:val="bottom"/>
          </w:tcPr>
          <w:p>
            <w:pPr>
              <w:spacing w:after="0"/>
              <w:rPr>
                <w:sz w:val="19"/>
                <w:szCs w:val="19"/>
                <w:color w:val="auto"/>
              </w:rPr>
            </w:pPr>
          </w:p>
        </w:tc>
      </w:tr>
    </w:tbl>
    <w:p>
      <w:pPr>
        <w:spacing w:after="0" w:line="147" w:lineRule="exact"/>
        <w:rPr>
          <w:sz w:val="20"/>
          <w:szCs w:val="20"/>
          <w:color w:val="auto"/>
        </w:rPr>
      </w:pPr>
    </w:p>
    <w:p>
      <w:pPr>
        <w:ind w:right="100"/>
        <w:spacing w:after="0" w:line="332" w:lineRule="auto"/>
        <w:rPr>
          <w:sz w:val="20"/>
          <w:szCs w:val="20"/>
          <w:color w:val="auto"/>
        </w:rPr>
      </w:pPr>
      <w:r>
        <w:rPr>
          <w:rFonts w:ascii="Arial" w:cs="Arial" w:eastAsia="Arial" w:hAnsi="Arial"/>
          <w:sz w:val="16"/>
          <w:szCs w:val="16"/>
          <w:color w:val="auto"/>
        </w:rPr>
        <w:t>The complete financial statements of IHFC are included in our annual report on Form 10-K. Based on current and expected future earnings of IHFC, we believe that the market value of this investment is positive and substantially greater than its book value of negative $11,726 at November 25, 2006.</w:t>
      </w:r>
    </w:p>
    <w:p>
      <w:pPr>
        <w:spacing w:after="0" w:line="85" w:lineRule="exact"/>
        <w:rPr>
          <w:sz w:val="20"/>
          <w:szCs w:val="20"/>
          <w:color w:val="auto"/>
        </w:rPr>
      </w:pPr>
    </w:p>
    <w:p>
      <w:pPr>
        <w:jc w:val="center"/>
        <w:ind w:right="200"/>
        <w:spacing w:after="0" w:line="440" w:lineRule="auto"/>
        <w:rPr>
          <w:sz w:val="20"/>
          <w:szCs w:val="20"/>
          <w:color w:val="auto"/>
        </w:rPr>
      </w:pPr>
      <w:r>
        <w:rPr>
          <w:rFonts w:ascii="Arial" w:cs="Arial" w:eastAsia="Arial" w:hAnsi="Arial"/>
          <w:sz w:val="18"/>
          <w:szCs w:val="18"/>
          <w:color w:val="auto"/>
        </w:rPr>
        <w:t>We also lease 61,789 square feet of showroom space from IHFC, 2.0% of the total space available for lease, at what we believe to be competitive market rates. F - 32</w:t>
      </w:r>
    </w:p>
    <w:p>
      <w:pPr>
        <w:sectPr>
          <w:pgSz w:w="11900" w:h="16838" w:orient="portrait"/>
          <w:cols w:equalWidth="0" w:num="1">
            <w:col w:w="11360"/>
          </w:cols>
          <w:pgMar w:left="240" w:top="459" w:right="29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Partnership licensees:</w:t>
      </w:r>
    </w:p>
    <w:p>
      <w:pPr>
        <w:spacing w:after="0" w:line="96" w:lineRule="exact"/>
        <w:rPr>
          <w:sz w:val="20"/>
          <w:szCs w:val="20"/>
          <w:color w:val="auto"/>
        </w:rPr>
      </w:pPr>
    </w:p>
    <w:p>
      <w:pPr>
        <w:ind w:right="60"/>
        <w:spacing w:after="0" w:line="294" w:lineRule="auto"/>
        <w:rPr>
          <w:sz w:val="20"/>
          <w:szCs w:val="20"/>
          <w:color w:val="auto"/>
        </w:rPr>
      </w:pPr>
      <w:r>
        <w:rPr>
          <w:rFonts w:ascii="Arial" w:cs="Arial" w:eastAsia="Arial" w:hAnsi="Arial"/>
          <w:sz w:val="16"/>
          <w:szCs w:val="16"/>
          <w:color w:val="auto"/>
        </w:rPr>
        <w:t>As part of our retail expansion strategy, we have made equity investments in two licensee operators of our BFD store program. In 2002, we purchased a 30% ownership interest in BFD Northeast, LLC (“BFDNE”) for $600. BFDNE is developing BFD retail stores in New England. As of November 25, 2006, BFDNE operates seven BFD stores. Sales to BFDNE were $9,062, $11,440 and $11,581 for 2006, 2005 and 2004, respectively, and we had notes and accounts receivable, net of reserves, of $3,586 and $2,037 due from BFDNE at November 25, 2006, and November 26, 2005, respectively. Our share of income (losses) amounted to $(1,954), $(166) and ($178) for 2006, 2005 and 2004, respectively.</w:t>
      </w:r>
    </w:p>
    <w:p>
      <w:pPr>
        <w:spacing w:after="0" w:line="116" w:lineRule="exact"/>
        <w:rPr>
          <w:sz w:val="20"/>
          <w:szCs w:val="20"/>
          <w:color w:val="auto"/>
        </w:rPr>
      </w:pPr>
    </w:p>
    <w:p>
      <w:pPr>
        <w:ind w:right="80"/>
        <w:spacing w:after="0" w:line="256" w:lineRule="auto"/>
        <w:rPr>
          <w:sz w:val="20"/>
          <w:szCs w:val="20"/>
          <w:color w:val="auto"/>
        </w:rPr>
      </w:pPr>
      <w:r>
        <w:rPr>
          <w:rFonts w:ascii="Arial" w:cs="Arial" w:eastAsia="Arial" w:hAnsi="Arial"/>
          <w:sz w:val="18"/>
          <w:szCs w:val="18"/>
          <w:color w:val="auto"/>
        </w:rPr>
        <w:t>In 2004, we had a 30% ownership interest in BFD Atlanta, LLC (“BFD-Atlanta”). Sales to BFD-Atlanta were $3,438, and $4,307 for 2005 and 2004, respectively. Our share of (losses) were $(656) and ($895) in 2005 and 2004, respectively. During 2005, we purchased an additional 36% interest in BFD-Atlanta and began consolidating BFD-Atlanta’s operating results and financial position into ours. See Note 14 for a further discussion of our purchase of a controlling interest in BFD-Atlanta.</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affiliates:</w:t>
      </w:r>
    </w:p>
    <w:p>
      <w:pPr>
        <w:spacing w:after="0" w:line="96" w:lineRule="exact"/>
        <w:rPr>
          <w:sz w:val="20"/>
          <w:szCs w:val="20"/>
          <w:color w:val="auto"/>
        </w:rPr>
      </w:pPr>
    </w:p>
    <w:p>
      <w:pPr>
        <w:ind w:right="140"/>
        <w:spacing w:after="0" w:line="256" w:lineRule="auto"/>
        <w:rPr>
          <w:sz w:val="20"/>
          <w:szCs w:val="20"/>
          <w:color w:val="auto"/>
        </w:rPr>
      </w:pPr>
      <w:r>
        <w:rPr>
          <w:rFonts w:ascii="Arial" w:cs="Arial" w:eastAsia="Arial" w:hAnsi="Arial"/>
          <w:sz w:val="18"/>
          <w:szCs w:val="18"/>
          <w:color w:val="auto"/>
        </w:rPr>
        <w:t>We own 49% of Zenith Freight Lines, LLC, (“Zenith”) which hauls freight for many of our customers. Our investment balance was $5,264 at November 25, 2006, and $5,512 at November 26, 2005, and is recorded in other long-term assets. Company-owned retail stores paid Zenith approximately $3,700, $2,589 and $1,749, for freight expense in 2006, 2005 and 2004, respectively. Our share of income (loss) from the investment in Zenith was $(248), $500 and $523 for 2006, 2005 and 2004, respectively.</w:t>
      </w:r>
    </w:p>
    <w:p>
      <w:pPr>
        <w:spacing w:after="0" w:line="143" w:lineRule="exact"/>
        <w:rPr>
          <w:sz w:val="20"/>
          <w:szCs w:val="20"/>
          <w:color w:val="auto"/>
        </w:rPr>
      </w:pPr>
    </w:p>
    <w:p>
      <w:pPr>
        <w:ind w:right="400"/>
        <w:spacing w:after="0" w:line="259" w:lineRule="auto"/>
        <w:rPr>
          <w:sz w:val="20"/>
          <w:szCs w:val="20"/>
          <w:color w:val="auto"/>
        </w:rPr>
      </w:pPr>
      <w:r>
        <w:rPr>
          <w:rFonts w:ascii="Arial" w:cs="Arial" w:eastAsia="Arial" w:hAnsi="Arial"/>
          <w:sz w:val="18"/>
          <w:szCs w:val="18"/>
          <w:color w:val="auto"/>
        </w:rPr>
        <w:t>Summarized combined financial information for 2006 includes Zenith and BFDNE. Summarized combined financial information for 2005 includes Zenith, BFDNE and BFD-Atlanta through the date of our acquisition of a controlling interest in BFD-Atlanta. Summarized combined financial information for 2004 includes Zenith, BFDNE and BFD-Atlanta.</w:t>
      </w:r>
    </w:p>
    <w:p>
      <w:pPr>
        <w:spacing w:after="0" w:line="176"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460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580" w:type="dxa"/>
            <w:vAlign w:val="bottom"/>
            <w:tcBorders>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rPr>
              <w:t>2006</w:t>
            </w:r>
          </w:p>
        </w:tc>
        <w:tc>
          <w:tcPr>
            <w:tcW w:w="460" w:type="dxa"/>
            <w:vAlign w:val="bottom"/>
          </w:tcPr>
          <w:p>
            <w:pPr>
              <w:spacing w:after="0"/>
              <w:rPr>
                <w:sz w:val="14"/>
                <w:szCs w:val="14"/>
                <w:color w:val="auto"/>
              </w:rPr>
            </w:pPr>
          </w:p>
        </w:tc>
        <w:tc>
          <w:tcPr>
            <w:tcW w:w="580" w:type="dxa"/>
            <w:vAlign w:val="bottom"/>
            <w:tcBorders>
              <w:bottom w:val="single" w:sz="8" w:color="auto"/>
            </w:tcBorders>
          </w:tcPr>
          <w:p>
            <w:pPr>
              <w:jc w:val="right"/>
              <w:ind w:right="75"/>
              <w:spacing w:after="0"/>
              <w:rPr>
                <w:sz w:val="20"/>
                <w:szCs w:val="20"/>
                <w:color w:val="auto"/>
              </w:rPr>
            </w:pPr>
            <w:r>
              <w:rPr>
                <w:rFonts w:ascii="Arial" w:cs="Arial" w:eastAsia="Arial" w:hAnsi="Arial"/>
                <w:sz w:val="14"/>
                <w:szCs w:val="14"/>
                <w:b w:val="1"/>
                <w:bCs w:val="1"/>
                <w:color w:val="auto"/>
              </w:rPr>
              <w:t>2005</w:t>
            </w:r>
          </w:p>
        </w:tc>
        <w:tc>
          <w:tcPr>
            <w:tcW w:w="480" w:type="dxa"/>
            <w:vAlign w:val="bottom"/>
          </w:tcPr>
          <w:p>
            <w:pPr>
              <w:spacing w:after="0"/>
              <w:rPr>
                <w:sz w:val="14"/>
                <w:szCs w:val="14"/>
                <w:color w:val="auto"/>
              </w:rPr>
            </w:pPr>
          </w:p>
        </w:tc>
        <w:tc>
          <w:tcPr>
            <w:tcW w:w="580" w:type="dxa"/>
            <w:vAlign w:val="bottom"/>
            <w:tcBorders>
              <w:bottom w:val="single" w:sz="8" w:color="auto"/>
            </w:tcBorders>
          </w:tcPr>
          <w:p>
            <w:pPr>
              <w:jc w:val="right"/>
              <w:ind w:right="75"/>
              <w:spacing w:after="0"/>
              <w:rPr>
                <w:sz w:val="20"/>
                <w:szCs w:val="20"/>
                <w:color w:val="auto"/>
              </w:rPr>
            </w:pPr>
            <w:r>
              <w:rPr>
                <w:rFonts w:ascii="Arial" w:cs="Arial" w:eastAsia="Arial" w:hAnsi="Arial"/>
                <w:sz w:val="14"/>
                <w:szCs w:val="14"/>
                <w:b w:val="1"/>
                <w:bCs w:val="1"/>
                <w:color w:val="auto"/>
              </w:rPr>
              <w:t>2004</w:t>
            </w:r>
          </w:p>
        </w:tc>
        <w:tc>
          <w:tcPr>
            <w:tcW w:w="60" w:type="dxa"/>
            <w:vAlign w:val="bottom"/>
          </w:tcPr>
          <w:p>
            <w:pPr>
              <w:spacing w:after="0"/>
              <w:rPr>
                <w:sz w:val="14"/>
                <w:szCs w:val="14"/>
                <w:color w:val="auto"/>
              </w:rPr>
            </w:pPr>
          </w:p>
        </w:tc>
      </w:tr>
      <w:tr>
        <w:trPr>
          <w:trHeight w:val="210"/>
        </w:trPr>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Current assets</w:t>
            </w:r>
          </w:p>
        </w:tc>
        <w:tc>
          <w:tcPr>
            <w:tcW w:w="4200" w:type="dxa"/>
            <w:vAlign w:val="bottom"/>
            <w:gridSpan w:val="3"/>
            <w:shd w:val="clear" w:color="auto" w:fill="CCEEFF"/>
          </w:tcPr>
          <w:p>
            <w:pPr>
              <w:jc w:val="right"/>
              <w:ind w:right="460"/>
              <w:spacing w:after="0"/>
              <w:rPr>
                <w:sz w:val="20"/>
                <w:szCs w:val="20"/>
                <w:color w:val="auto"/>
              </w:rPr>
            </w:pPr>
            <w:r>
              <w:rPr>
                <w:rFonts w:ascii="Arial" w:cs="Arial" w:eastAsia="Arial" w:hAnsi="Arial"/>
                <w:sz w:val="18"/>
                <w:szCs w:val="18"/>
                <w:color w:val="auto"/>
              </w:rPr>
              <w:t>$ 7,991</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$ 8,242</w:t>
            </w:r>
          </w:p>
        </w:tc>
        <w:tc>
          <w:tcPr>
            <w:tcW w:w="4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$10,046</w:t>
            </w:r>
          </w:p>
        </w:tc>
        <w:tc>
          <w:tcPr>
            <w:tcW w:w="60" w:type="dxa"/>
            <w:vAlign w:val="bottom"/>
            <w:shd w:val="clear" w:color="auto" w:fill="CCEEFF"/>
          </w:tcPr>
          <w:p>
            <w:pPr>
              <w:spacing w:after="0"/>
              <w:rPr>
                <w:sz w:val="18"/>
                <w:szCs w:val="18"/>
                <w:color w:val="auto"/>
              </w:rPr>
            </w:pPr>
          </w:p>
        </w:tc>
      </w:tr>
      <w:tr>
        <w:trPr>
          <w:trHeight w:val="216"/>
        </w:trPr>
        <w:tc>
          <w:tcPr>
            <w:tcW w:w="4600" w:type="dxa"/>
            <w:vAlign w:val="bottom"/>
          </w:tcPr>
          <w:p>
            <w:pPr>
              <w:spacing w:after="0"/>
              <w:rPr>
                <w:sz w:val="20"/>
                <w:szCs w:val="20"/>
                <w:color w:val="auto"/>
              </w:rPr>
            </w:pPr>
            <w:r>
              <w:rPr>
                <w:rFonts w:ascii="Arial" w:cs="Arial" w:eastAsia="Arial" w:hAnsi="Arial"/>
                <w:sz w:val="18"/>
                <w:szCs w:val="18"/>
                <w:color w:val="auto"/>
              </w:rPr>
              <w:t>Non-current assets</w:t>
            </w:r>
          </w:p>
        </w:tc>
        <w:tc>
          <w:tcPr>
            <w:tcW w:w="4200" w:type="dxa"/>
            <w:vAlign w:val="bottom"/>
            <w:gridSpan w:val="3"/>
          </w:tcPr>
          <w:p>
            <w:pPr>
              <w:jc w:val="right"/>
              <w:ind w:right="460"/>
              <w:spacing w:after="0"/>
              <w:rPr>
                <w:sz w:val="20"/>
                <w:szCs w:val="20"/>
                <w:color w:val="auto"/>
              </w:rPr>
            </w:pPr>
            <w:r>
              <w:rPr>
                <w:rFonts w:ascii="Arial" w:cs="Arial" w:eastAsia="Arial" w:hAnsi="Arial"/>
                <w:sz w:val="18"/>
                <w:szCs w:val="18"/>
                <w:color w:val="auto"/>
              </w:rPr>
              <w:t>9,556</w:t>
            </w:r>
          </w:p>
        </w:tc>
        <w:tc>
          <w:tcPr>
            <w:tcW w:w="580" w:type="dxa"/>
            <w:vAlign w:val="bottom"/>
          </w:tcPr>
          <w:p>
            <w:pPr>
              <w:jc w:val="right"/>
              <w:spacing w:after="0"/>
              <w:rPr>
                <w:sz w:val="20"/>
                <w:szCs w:val="20"/>
                <w:color w:val="auto"/>
              </w:rPr>
            </w:pPr>
            <w:r>
              <w:rPr>
                <w:rFonts w:ascii="Arial" w:cs="Arial" w:eastAsia="Arial" w:hAnsi="Arial"/>
                <w:sz w:val="18"/>
                <w:szCs w:val="18"/>
                <w:color w:val="auto"/>
              </w:rPr>
              <w:t>9,508</w:t>
            </w:r>
          </w:p>
        </w:tc>
        <w:tc>
          <w:tcPr>
            <w:tcW w:w="4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9,633</w:t>
            </w:r>
          </w:p>
        </w:tc>
        <w:tc>
          <w:tcPr>
            <w:tcW w:w="60" w:type="dxa"/>
            <w:vAlign w:val="bottom"/>
          </w:tcPr>
          <w:p>
            <w:pPr>
              <w:spacing w:after="0"/>
              <w:rPr>
                <w:sz w:val="18"/>
                <w:szCs w:val="18"/>
                <w:color w:val="auto"/>
              </w:rPr>
            </w:pPr>
          </w:p>
        </w:tc>
      </w:tr>
      <w:tr>
        <w:trPr>
          <w:trHeight w:val="216"/>
        </w:trPr>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4200" w:type="dxa"/>
            <w:vAlign w:val="bottom"/>
            <w:gridSpan w:val="3"/>
            <w:shd w:val="clear" w:color="auto" w:fill="CCEEFF"/>
          </w:tcPr>
          <w:p>
            <w:pPr>
              <w:jc w:val="right"/>
              <w:ind w:right="460"/>
              <w:spacing w:after="0"/>
              <w:rPr>
                <w:sz w:val="20"/>
                <w:szCs w:val="20"/>
                <w:color w:val="auto"/>
              </w:rPr>
            </w:pPr>
            <w:r>
              <w:rPr>
                <w:rFonts w:ascii="Arial" w:cs="Arial" w:eastAsia="Arial" w:hAnsi="Arial"/>
                <w:sz w:val="18"/>
                <w:szCs w:val="18"/>
                <w:color w:val="auto"/>
              </w:rPr>
              <w:t>11,774</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8,666</w:t>
            </w:r>
          </w:p>
        </w:tc>
        <w:tc>
          <w:tcPr>
            <w:tcW w:w="4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9,419</w:t>
            </w:r>
          </w:p>
        </w:tc>
        <w:tc>
          <w:tcPr>
            <w:tcW w:w="60" w:type="dxa"/>
            <w:vAlign w:val="bottom"/>
            <w:shd w:val="clear" w:color="auto" w:fill="CCEEFF"/>
          </w:tcPr>
          <w:p>
            <w:pPr>
              <w:spacing w:after="0"/>
              <w:rPr>
                <w:sz w:val="18"/>
                <w:szCs w:val="18"/>
                <w:color w:val="auto"/>
              </w:rPr>
            </w:pPr>
          </w:p>
        </w:tc>
      </w:tr>
      <w:tr>
        <w:trPr>
          <w:trHeight w:val="216"/>
        </w:trPr>
        <w:tc>
          <w:tcPr>
            <w:tcW w:w="4600" w:type="dxa"/>
            <w:vAlign w:val="bottom"/>
          </w:tcPr>
          <w:p>
            <w:pPr>
              <w:spacing w:after="0"/>
              <w:rPr>
                <w:sz w:val="20"/>
                <w:szCs w:val="20"/>
                <w:color w:val="auto"/>
              </w:rPr>
            </w:pPr>
            <w:r>
              <w:rPr>
                <w:rFonts w:ascii="Arial" w:cs="Arial" w:eastAsia="Arial" w:hAnsi="Arial"/>
                <w:sz w:val="18"/>
                <w:szCs w:val="18"/>
                <w:color w:val="auto"/>
              </w:rPr>
              <w:t>Long-term liabilities</w:t>
            </w:r>
          </w:p>
        </w:tc>
        <w:tc>
          <w:tcPr>
            <w:tcW w:w="4200" w:type="dxa"/>
            <w:vAlign w:val="bottom"/>
            <w:gridSpan w:val="3"/>
          </w:tcPr>
          <w:p>
            <w:pPr>
              <w:jc w:val="right"/>
              <w:ind w:right="460"/>
              <w:spacing w:after="0"/>
              <w:rPr>
                <w:sz w:val="20"/>
                <w:szCs w:val="20"/>
                <w:color w:val="auto"/>
              </w:rPr>
            </w:pPr>
            <w:r>
              <w:rPr>
                <w:rFonts w:ascii="Arial" w:cs="Arial" w:eastAsia="Arial" w:hAnsi="Arial"/>
                <w:sz w:val="18"/>
                <w:szCs w:val="18"/>
                <w:color w:val="auto"/>
              </w:rPr>
              <w:t>2,815</w:t>
            </w:r>
          </w:p>
        </w:tc>
        <w:tc>
          <w:tcPr>
            <w:tcW w:w="580" w:type="dxa"/>
            <w:vAlign w:val="bottom"/>
          </w:tcPr>
          <w:p>
            <w:pPr>
              <w:jc w:val="right"/>
              <w:spacing w:after="0"/>
              <w:rPr>
                <w:sz w:val="20"/>
                <w:szCs w:val="20"/>
                <w:color w:val="auto"/>
              </w:rPr>
            </w:pPr>
            <w:r>
              <w:rPr>
                <w:rFonts w:ascii="Arial" w:cs="Arial" w:eastAsia="Arial" w:hAnsi="Arial"/>
                <w:sz w:val="18"/>
                <w:szCs w:val="18"/>
                <w:color w:val="auto"/>
              </w:rPr>
              <w:t>2,679</w:t>
            </w:r>
          </w:p>
        </w:tc>
        <w:tc>
          <w:tcPr>
            <w:tcW w:w="4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5,568</w:t>
            </w:r>
          </w:p>
        </w:tc>
        <w:tc>
          <w:tcPr>
            <w:tcW w:w="60" w:type="dxa"/>
            <w:vAlign w:val="bottom"/>
          </w:tcPr>
          <w:p>
            <w:pPr>
              <w:spacing w:after="0"/>
              <w:rPr>
                <w:sz w:val="18"/>
                <w:szCs w:val="18"/>
                <w:color w:val="auto"/>
              </w:rPr>
            </w:pPr>
          </w:p>
        </w:tc>
      </w:tr>
      <w:tr>
        <w:trPr>
          <w:trHeight w:val="216"/>
        </w:trPr>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Revenues</w:t>
            </w:r>
          </w:p>
        </w:tc>
        <w:tc>
          <w:tcPr>
            <w:tcW w:w="4200" w:type="dxa"/>
            <w:vAlign w:val="bottom"/>
            <w:gridSpan w:val="3"/>
            <w:shd w:val="clear" w:color="auto" w:fill="CCEEFF"/>
          </w:tcPr>
          <w:p>
            <w:pPr>
              <w:jc w:val="right"/>
              <w:ind w:right="460"/>
              <w:spacing w:after="0"/>
              <w:rPr>
                <w:sz w:val="20"/>
                <w:szCs w:val="20"/>
                <w:color w:val="auto"/>
              </w:rPr>
            </w:pPr>
            <w:r>
              <w:rPr>
                <w:rFonts w:ascii="Arial" w:cs="Arial" w:eastAsia="Arial" w:hAnsi="Arial"/>
                <w:sz w:val="18"/>
                <w:szCs w:val="18"/>
                <w:color w:val="auto"/>
              </w:rPr>
              <w:t>37,088</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44,474</w:t>
            </w:r>
          </w:p>
        </w:tc>
        <w:tc>
          <w:tcPr>
            <w:tcW w:w="4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42,130</w:t>
            </w:r>
          </w:p>
        </w:tc>
        <w:tc>
          <w:tcPr>
            <w:tcW w:w="60" w:type="dxa"/>
            <w:vAlign w:val="bottom"/>
            <w:shd w:val="clear" w:color="auto" w:fill="CCEEFF"/>
          </w:tcPr>
          <w:p>
            <w:pPr>
              <w:spacing w:after="0"/>
              <w:rPr>
                <w:sz w:val="18"/>
                <w:szCs w:val="18"/>
                <w:color w:val="auto"/>
              </w:rPr>
            </w:pPr>
          </w:p>
        </w:tc>
      </w:tr>
      <w:tr>
        <w:trPr>
          <w:trHeight w:val="222"/>
        </w:trPr>
        <w:tc>
          <w:tcPr>
            <w:tcW w:w="4600" w:type="dxa"/>
            <w:vAlign w:val="bottom"/>
          </w:tcPr>
          <w:p>
            <w:pPr>
              <w:spacing w:after="0"/>
              <w:rPr>
                <w:sz w:val="20"/>
                <w:szCs w:val="20"/>
                <w:color w:val="auto"/>
              </w:rPr>
            </w:pPr>
            <w:r>
              <w:rPr>
                <w:rFonts w:ascii="Arial" w:cs="Arial" w:eastAsia="Arial" w:hAnsi="Arial"/>
                <w:sz w:val="18"/>
                <w:szCs w:val="18"/>
                <w:color w:val="auto"/>
              </w:rPr>
              <w:t>Net loss</w:t>
            </w:r>
          </w:p>
        </w:tc>
        <w:tc>
          <w:tcPr>
            <w:tcW w:w="4200" w:type="dxa"/>
            <w:vAlign w:val="bottom"/>
            <w:gridSpan w:val="3"/>
          </w:tcPr>
          <w:p>
            <w:pPr>
              <w:jc w:val="right"/>
              <w:ind w:right="400"/>
              <w:spacing w:after="0"/>
              <w:rPr>
                <w:sz w:val="20"/>
                <w:szCs w:val="20"/>
                <w:color w:val="auto"/>
              </w:rPr>
            </w:pPr>
            <w:r>
              <w:rPr>
                <w:rFonts w:ascii="Arial" w:cs="Arial" w:eastAsia="Arial" w:hAnsi="Arial"/>
                <w:sz w:val="18"/>
                <w:szCs w:val="18"/>
                <w:color w:val="auto"/>
              </w:rPr>
              <w:t>(3,809)</w:t>
            </w:r>
          </w:p>
        </w:tc>
        <w:tc>
          <w:tcPr>
            <w:tcW w:w="1060" w:type="dxa"/>
            <w:vAlign w:val="bottom"/>
            <w:gridSpan w:val="2"/>
          </w:tcPr>
          <w:p>
            <w:pPr>
              <w:jc w:val="right"/>
              <w:ind w:right="420"/>
              <w:spacing w:after="0"/>
              <w:rPr>
                <w:sz w:val="20"/>
                <w:szCs w:val="20"/>
                <w:color w:val="auto"/>
              </w:rPr>
            </w:pPr>
            <w:r>
              <w:rPr>
                <w:rFonts w:ascii="Arial" w:cs="Arial" w:eastAsia="Arial" w:hAnsi="Arial"/>
                <w:sz w:val="18"/>
                <w:szCs w:val="18"/>
                <w:color w:val="auto"/>
              </w:rPr>
              <w:t>(546)</w:t>
            </w: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(1,001)</w:t>
            </w:r>
          </w:p>
        </w:tc>
      </w:tr>
    </w:tbl>
    <w:p>
      <w:pPr>
        <w:spacing w:after="0" w:line="2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Income Taxes</w:t>
      </w:r>
    </w:p>
    <w:p>
      <w:pPr>
        <w:spacing w:after="0" w:line="96" w:lineRule="exact"/>
        <w:rPr>
          <w:sz w:val="20"/>
          <w:szCs w:val="20"/>
          <w:color w:val="auto"/>
        </w:rPr>
      </w:pPr>
    </w:p>
    <w:p>
      <w:pPr>
        <w:spacing w:after="0"/>
        <w:rPr>
          <w:sz w:val="20"/>
          <w:szCs w:val="20"/>
          <w:color w:val="auto"/>
        </w:rPr>
      </w:pPr>
      <w:r>
        <w:rPr>
          <w:rFonts w:ascii="Arial" w:cs="Arial" w:eastAsia="Arial" w:hAnsi="Arial"/>
          <w:sz w:val="16"/>
          <w:szCs w:val="16"/>
          <w:color w:val="auto"/>
        </w:rPr>
        <w:t>A reconciliation of the statutory federal income tax rate and the effective income tax rate, as a percentage of income before income taxes, is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6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120" w:type="dxa"/>
            <w:vAlign w:val="bottom"/>
            <w:gridSpan w:val="2"/>
          </w:tcPr>
          <w:p>
            <w:pPr>
              <w:jc w:val="right"/>
              <w:ind w:right="1240"/>
              <w:spacing w:after="0"/>
              <w:rPr>
                <w:sz w:val="20"/>
                <w:szCs w:val="20"/>
                <w:color w:val="auto"/>
              </w:rPr>
            </w:pPr>
            <w:r>
              <w:rPr>
                <w:rFonts w:ascii="Arial" w:cs="Arial" w:eastAsia="Arial" w:hAnsi="Arial"/>
                <w:sz w:val="14"/>
                <w:szCs w:val="14"/>
                <w:b w:val="1"/>
                <w:bCs w:val="1"/>
                <w:color w:val="auto"/>
              </w:rPr>
              <w:t>As restated</w:t>
            </w:r>
          </w:p>
        </w:tc>
        <w:tc>
          <w:tcPr>
            <w:tcW w:w="1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426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5"/>
              </w:rPr>
              <w:t>November 25, 2006</w:t>
            </w:r>
          </w:p>
        </w:tc>
        <w:tc>
          <w:tcPr>
            <w:tcW w:w="1000" w:type="dxa"/>
            <w:vAlign w:val="bottom"/>
          </w:tcPr>
          <w:p>
            <w:pPr>
              <w:spacing w:after="0"/>
              <w:rPr>
                <w:sz w:val="14"/>
                <w:szCs w:val="14"/>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5"/>
              </w:rPr>
              <w:t>November 26, 2005</w:t>
            </w:r>
          </w:p>
        </w:tc>
        <w:tc>
          <w:tcPr>
            <w:tcW w:w="1000" w:type="dxa"/>
            <w:vAlign w:val="bottom"/>
          </w:tcPr>
          <w:p>
            <w:pPr>
              <w:spacing w:after="0"/>
              <w:rPr>
                <w:sz w:val="14"/>
                <w:szCs w:val="14"/>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5"/>
              </w:rPr>
              <w:t>November 27, 2004</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Statutory federal income tax rate</w:t>
            </w:r>
          </w:p>
        </w:tc>
        <w:tc>
          <w:tcPr>
            <w:tcW w:w="3780" w:type="dxa"/>
            <w:vAlign w:val="bottom"/>
            <w:gridSpan w:val="3"/>
            <w:shd w:val="clear" w:color="auto" w:fill="CCEEFF"/>
          </w:tcPr>
          <w:p>
            <w:pPr>
              <w:jc w:val="right"/>
              <w:ind w:right="860"/>
              <w:spacing w:after="0"/>
              <w:rPr>
                <w:sz w:val="20"/>
                <w:szCs w:val="20"/>
                <w:color w:val="auto"/>
              </w:rPr>
            </w:pPr>
            <w:r>
              <w:rPr>
                <w:rFonts w:ascii="Arial" w:cs="Arial" w:eastAsia="Arial" w:hAnsi="Arial"/>
                <w:sz w:val="18"/>
                <w:szCs w:val="18"/>
                <w:color w:val="auto"/>
              </w:rPr>
              <w:t>35.0%</w:t>
            </w:r>
          </w:p>
        </w:tc>
        <w:tc>
          <w:tcPr>
            <w:tcW w:w="2120" w:type="dxa"/>
            <w:vAlign w:val="bottom"/>
            <w:gridSpan w:val="2"/>
            <w:shd w:val="clear" w:color="auto" w:fill="CCEEFF"/>
          </w:tcPr>
          <w:p>
            <w:pPr>
              <w:jc w:val="right"/>
              <w:ind w:right="860"/>
              <w:spacing w:after="0"/>
              <w:rPr>
                <w:sz w:val="20"/>
                <w:szCs w:val="20"/>
                <w:color w:val="auto"/>
              </w:rPr>
            </w:pPr>
            <w:r>
              <w:rPr>
                <w:rFonts w:ascii="Arial" w:cs="Arial" w:eastAsia="Arial" w:hAnsi="Arial"/>
                <w:sz w:val="18"/>
                <w:szCs w:val="18"/>
                <w:color w:val="auto"/>
              </w:rPr>
              <w:t>35.0%</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35.0%</w:t>
            </w:r>
          </w:p>
        </w:tc>
        <w:tc>
          <w:tcPr>
            <w:tcW w:w="0" w:type="dxa"/>
            <w:vAlign w:val="bottom"/>
          </w:tcPr>
          <w:p>
            <w:pPr>
              <w:spacing w:after="0"/>
              <w:rPr>
                <w:sz w:val="1"/>
                <w:szCs w:val="1"/>
                <w:color w:val="auto"/>
              </w:rPr>
            </w:pPr>
          </w:p>
        </w:tc>
      </w:tr>
      <w:tr>
        <w:trPr>
          <w:trHeight w:val="216"/>
        </w:trPr>
        <w:tc>
          <w:tcPr>
            <w:tcW w:w="4260" w:type="dxa"/>
            <w:vAlign w:val="bottom"/>
          </w:tcPr>
          <w:p>
            <w:pPr>
              <w:spacing w:after="0"/>
              <w:rPr>
                <w:sz w:val="20"/>
                <w:szCs w:val="20"/>
                <w:color w:val="auto"/>
              </w:rPr>
            </w:pPr>
            <w:r>
              <w:rPr>
                <w:rFonts w:ascii="Arial" w:cs="Arial" w:eastAsia="Arial" w:hAnsi="Arial"/>
                <w:sz w:val="18"/>
                <w:szCs w:val="18"/>
                <w:color w:val="auto"/>
              </w:rPr>
              <w:t>Dividends received exclusion</w:t>
            </w:r>
          </w:p>
        </w:tc>
        <w:tc>
          <w:tcPr>
            <w:tcW w:w="3780" w:type="dxa"/>
            <w:vAlign w:val="bottom"/>
            <w:gridSpan w:val="3"/>
          </w:tcPr>
          <w:p>
            <w:pPr>
              <w:jc w:val="right"/>
              <w:ind w:right="960"/>
              <w:spacing w:after="0"/>
              <w:rPr>
                <w:sz w:val="20"/>
                <w:szCs w:val="20"/>
                <w:color w:val="auto"/>
              </w:rPr>
            </w:pPr>
            <w:r>
              <w:rPr>
                <w:rFonts w:ascii="Arial" w:cs="Arial" w:eastAsia="Arial" w:hAnsi="Arial"/>
                <w:sz w:val="18"/>
                <w:szCs w:val="18"/>
                <w:color w:val="auto"/>
              </w:rPr>
              <w:t>(33.2)</w:t>
            </w:r>
          </w:p>
        </w:tc>
        <w:tc>
          <w:tcPr>
            <w:tcW w:w="2120" w:type="dxa"/>
            <w:vAlign w:val="bottom"/>
            <w:gridSpan w:val="2"/>
          </w:tcPr>
          <w:p>
            <w:pPr>
              <w:jc w:val="right"/>
              <w:ind w:right="960"/>
              <w:spacing w:after="0"/>
              <w:rPr>
                <w:sz w:val="20"/>
                <w:szCs w:val="20"/>
                <w:color w:val="auto"/>
              </w:rPr>
            </w:pPr>
            <w:r>
              <w:rPr>
                <w:rFonts w:ascii="Arial" w:cs="Arial" w:eastAsia="Arial" w:hAnsi="Arial"/>
                <w:sz w:val="18"/>
                <w:szCs w:val="18"/>
                <w:color w:val="auto"/>
              </w:rPr>
              <w:t>(14.2)</w:t>
            </w: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(16.7)</w:t>
            </w:r>
          </w:p>
        </w:tc>
        <w:tc>
          <w:tcPr>
            <w:tcW w:w="0" w:type="dxa"/>
            <w:vAlign w:val="bottom"/>
          </w:tcPr>
          <w:p>
            <w:pPr>
              <w:spacing w:after="0"/>
              <w:rPr>
                <w:sz w:val="1"/>
                <w:szCs w:val="1"/>
                <w:color w:val="auto"/>
              </w:rPr>
            </w:pPr>
          </w:p>
        </w:tc>
      </w:tr>
      <w:tr>
        <w:trPr>
          <w:trHeight w:val="216"/>
        </w:trPr>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Goodwill impairment</w:t>
            </w:r>
          </w:p>
        </w:tc>
        <w:tc>
          <w:tcPr>
            <w:tcW w:w="3780" w:type="dxa"/>
            <w:vAlign w:val="bottom"/>
            <w:gridSpan w:val="3"/>
            <w:shd w:val="clear" w:color="auto" w:fill="CCEEFF"/>
          </w:tcPr>
          <w:p>
            <w:pPr>
              <w:jc w:val="right"/>
              <w:ind w:right="1000"/>
              <w:spacing w:after="0"/>
              <w:rPr>
                <w:sz w:val="20"/>
                <w:szCs w:val="20"/>
                <w:color w:val="auto"/>
              </w:rPr>
            </w:pPr>
            <w:r>
              <w:rPr>
                <w:rFonts w:ascii="Arial" w:cs="Arial" w:eastAsia="Arial" w:hAnsi="Arial"/>
                <w:sz w:val="18"/>
                <w:szCs w:val="18"/>
                <w:color w:val="auto"/>
              </w:rPr>
              <w:t>7.4</w:t>
            </w:r>
          </w:p>
        </w:tc>
        <w:tc>
          <w:tcPr>
            <w:tcW w:w="2120" w:type="dxa"/>
            <w:vAlign w:val="bottom"/>
            <w:gridSpan w:val="2"/>
            <w:shd w:val="clear" w:color="auto" w:fill="CCEEFF"/>
          </w:tcPr>
          <w:p>
            <w:pPr>
              <w:jc w:val="right"/>
              <w:ind w:right="110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260" w:type="dxa"/>
            <w:vAlign w:val="bottom"/>
          </w:tcPr>
          <w:p>
            <w:pPr>
              <w:spacing w:after="0"/>
              <w:rPr>
                <w:sz w:val="20"/>
                <w:szCs w:val="20"/>
                <w:color w:val="auto"/>
              </w:rPr>
            </w:pPr>
            <w:r>
              <w:rPr>
                <w:rFonts w:ascii="Arial" w:cs="Arial" w:eastAsia="Arial" w:hAnsi="Arial"/>
                <w:sz w:val="18"/>
                <w:szCs w:val="18"/>
                <w:color w:val="auto"/>
              </w:rPr>
              <w:t>Change in income tax valuation allowance</w:t>
            </w:r>
          </w:p>
        </w:tc>
        <w:tc>
          <w:tcPr>
            <w:tcW w:w="3780" w:type="dxa"/>
            <w:vAlign w:val="bottom"/>
            <w:gridSpan w:val="3"/>
          </w:tcPr>
          <w:p>
            <w:pPr>
              <w:jc w:val="right"/>
              <w:ind w:right="1000"/>
              <w:spacing w:after="0"/>
              <w:rPr>
                <w:sz w:val="20"/>
                <w:szCs w:val="20"/>
                <w:color w:val="auto"/>
              </w:rPr>
            </w:pPr>
            <w:r>
              <w:rPr>
                <w:rFonts w:ascii="Arial" w:cs="Arial" w:eastAsia="Arial" w:hAnsi="Arial"/>
                <w:sz w:val="18"/>
                <w:szCs w:val="18"/>
                <w:color w:val="auto"/>
              </w:rPr>
              <w:t>6.3</w:t>
            </w:r>
          </w:p>
        </w:tc>
        <w:tc>
          <w:tcPr>
            <w:tcW w:w="1120" w:type="dxa"/>
            <w:vAlign w:val="bottom"/>
          </w:tcPr>
          <w:p>
            <w:pPr>
              <w:jc w:val="right"/>
              <w:spacing w:after="0"/>
              <w:rPr>
                <w:sz w:val="20"/>
                <w:szCs w:val="20"/>
                <w:color w:val="auto"/>
              </w:rPr>
            </w:pPr>
            <w:r>
              <w:rPr>
                <w:rFonts w:ascii="Arial" w:cs="Arial" w:eastAsia="Arial" w:hAnsi="Arial"/>
                <w:sz w:val="18"/>
                <w:szCs w:val="18"/>
                <w:color w:val="auto"/>
              </w:rPr>
              <w:t>3.8</w:t>
            </w:r>
          </w:p>
        </w:tc>
        <w:tc>
          <w:tcPr>
            <w:tcW w:w="1000" w:type="dxa"/>
            <w:vAlign w:val="bottom"/>
          </w:tcPr>
          <w:p>
            <w:pPr>
              <w:spacing w:after="0"/>
              <w:rPr>
                <w:sz w:val="18"/>
                <w:szCs w:val="18"/>
                <w:color w:val="auto"/>
              </w:rPr>
            </w:pPr>
          </w:p>
        </w:tc>
        <w:tc>
          <w:tcPr>
            <w:tcW w:w="1260" w:type="dxa"/>
            <w:vAlign w:val="bottom"/>
            <w:gridSpan w:val="2"/>
          </w:tcPr>
          <w:p>
            <w:pPr>
              <w:jc w:val="right"/>
              <w:ind w:right="140"/>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216"/>
        </w:trPr>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Change in income tax reserves</w:t>
            </w:r>
          </w:p>
        </w:tc>
        <w:tc>
          <w:tcPr>
            <w:tcW w:w="3780" w:type="dxa"/>
            <w:vAlign w:val="bottom"/>
            <w:gridSpan w:val="3"/>
            <w:shd w:val="clear" w:color="auto" w:fill="CCEEFF"/>
          </w:tcPr>
          <w:p>
            <w:pPr>
              <w:jc w:val="right"/>
              <w:ind w:right="1000"/>
              <w:spacing w:after="0"/>
              <w:rPr>
                <w:sz w:val="20"/>
                <w:szCs w:val="20"/>
                <w:color w:val="auto"/>
              </w:rPr>
            </w:pPr>
            <w:r>
              <w:rPr>
                <w:rFonts w:ascii="Arial" w:cs="Arial" w:eastAsia="Arial" w:hAnsi="Arial"/>
                <w:sz w:val="18"/>
                <w:szCs w:val="18"/>
                <w:color w:val="auto"/>
              </w:rPr>
              <w:t>1.1</w:t>
            </w:r>
          </w:p>
        </w:tc>
        <w:tc>
          <w:tcPr>
            <w:tcW w:w="212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(2.8)</w:t>
            </w: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4260" w:type="dxa"/>
            <w:vAlign w:val="bottom"/>
          </w:tcPr>
          <w:p>
            <w:pPr>
              <w:spacing w:after="0"/>
              <w:rPr>
                <w:sz w:val="20"/>
                <w:szCs w:val="20"/>
                <w:color w:val="auto"/>
              </w:rPr>
            </w:pPr>
            <w:r>
              <w:rPr>
                <w:rFonts w:ascii="Arial" w:cs="Arial" w:eastAsia="Arial" w:hAnsi="Arial"/>
                <w:sz w:val="18"/>
                <w:szCs w:val="18"/>
                <w:color w:val="auto"/>
              </w:rPr>
              <w:t>State income tax, net of federal benefit</w:t>
            </w:r>
          </w:p>
        </w:tc>
        <w:tc>
          <w:tcPr>
            <w:tcW w:w="3780" w:type="dxa"/>
            <w:vAlign w:val="bottom"/>
            <w:gridSpan w:val="3"/>
          </w:tcPr>
          <w:p>
            <w:pPr>
              <w:jc w:val="right"/>
              <w:ind w:right="1000"/>
              <w:spacing w:after="0"/>
              <w:rPr>
                <w:sz w:val="20"/>
                <w:szCs w:val="20"/>
                <w:color w:val="auto"/>
              </w:rPr>
            </w:pPr>
            <w:r>
              <w:rPr>
                <w:rFonts w:ascii="Arial" w:cs="Arial" w:eastAsia="Arial" w:hAnsi="Arial"/>
                <w:sz w:val="18"/>
                <w:szCs w:val="18"/>
                <w:color w:val="auto"/>
              </w:rPr>
              <w:t>1.4</w:t>
            </w:r>
          </w:p>
        </w:tc>
        <w:tc>
          <w:tcPr>
            <w:tcW w:w="1120" w:type="dxa"/>
            <w:vAlign w:val="bottom"/>
          </w:tcPr>
          <w:p>
            <w:pPr>
              <w:jc w:val="right"/>
              <w:spacing w:after="0"/>
              <w:rPr>
                <w:sz w:val="20"/>
                <w:szCs w:val="20"/>
                <w:color w:val="auto"/>
              </w:rPr>
            </w:pPr>
            <w:r>
              <w:rPr>
                <w:rFonts w:ascii="Arial" w:cs="Arial" w:eastAsia="Arial" w:hAnsi="Arial"/>
                <w:sz w:val="18"/>
                <w:szCs w:val="18"/>
                <w:color w:val="auto"/>
              </w:rPr>
              <w:t>4.4</w:t>
            </w:r>
          </w:p>
        </w:tc>
        <w:tc>
          <w:tcPr>
            <w:tcW w:w="1000" w:type="dxa"/>
            <w:vAlign w:val="bottom"/>
          </w:tcPr>
          <w:p>
            <w:pPr>
              <w:spacing w:after="0"/>
              <w:rPr>
                <w:sz w:val="18"/>
                <w:szCs w:val="18"/>
                <w:color w:val="auto"/>
              </w:rPr>
            </w:pPr>
          </w:p>
        </w:tc>
        <w:tc>
          <w:tcPr>
            <w:tcW w:w="1260" w:type="dxa"/>
            <w:vAlign w:val="bottom"/>
            <w:gridSpan w:val="2"/>
          </w:tcPr>
          <w:p>
            <w:pPr>
              <w:jc w:val="right"/>
              <w:ind w:right="140"/>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16"/>
        </w:trPr>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1660" w:type="dxa"/>
            <w:vAlign w:val="bottom"/>
            <w:shd w:val="clear" w:color="auto" w:fill="CCEEFF"/>
          </w:tcPr>
          <w:p>
            <w:pPr>
              <w:spacing w:after="0"/>
              <w:rPr>
                <w:sz w:val="18"/>
                <w:szCs w:val="18"/>
                <w:color w:val="auto"/>
              </w:rPr>
            </w:pPr>
          </w:p>
        </w:tc>
        <w:tc>
          <w:tcPr>
            <w:tcW w:w="212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(2.1)</w:t>
            </w:r>
          </w:p>
        </w:tc>
        <w:tc>
          <w:tcPr>
            <w:tcW w:w="212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(0.5)</w:t>
            </w: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w:t>
            </w:r>
          </w:p>
        </w:tc>
        <w:tc>
          <w:tcPr>
            <w:tcW w:w="0" w:type="dxa"/>
            <w:vAlign w:val="bottom"/>
          </w:tcPr>
          <w:p>
            <w:pPr>
              <w:spacing w:after="0"/>
              <w:rPr>
                <w:sz w:val="1"/>
                <w:szCs w:val="1"/>
                <w:color w:val="auto"/>
              </w:rPr>
            </w:pPr>
          </w:p>
        </w:tc>
      </w:tr>
      <w:tr>
        <w:trPr>
          <w:trHeight w:val="20"/>
        </w:trPr>
        <w:tc>
          <w:tcPr>
            <w:tcW w:w="4260" w:type="dxa"/>
            <w:vAlign w:val="bottom"/>
            <w:vMerge w:val="restart"/>
          </w:tcPr>
          <w:p>
            <w:pPr>
              <w:spacing w:after="0"/>
              <w:rPr>
                <w:sz w:val="20"/>
                <w:szCs w:val="20"/>
                <w:color w:val="auto"/>
              </w:rPr>
            </w:pPr>
            <w:r>
              <w:rPr>
                <w:rFonts w:ascii="Arial" w:cs="Arial" w:eastAsia="Arial" w:hAnsi="Arial"/>
                <w:sz w:val="18"/>
                <w:szCs w:val="18"/>
                <w:color w:val="auto"/>
              </w:rPr>
              <w:t>Effective income tax rate</w:t>
            </w:r>
          </w:p>
        </w:tc>
        <w:tc>
          <w:tcPr>
            <w:tcW w:w="166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4260" w:type="dxa"/>
            <w:vAlign w:val="bottom"/>
            <w:vMerge w:val="continue"/>
          </w:tcPr>
          <w:p>
            <w:pPr>
              <w:spacing w:after="0"/>
              <w:rPr>
                <w:sz w:val="19"/>
                <w:szCs w:val="19"/>
                <w:color w:val="auto"/>
              </w:rPr>
            </w:pPr>
          </w:p>
        </w:tc>
        <w:tc>
          <w:tcPr>
            <w:tcW w:w="1660" w:type="dxa"/>
            <w:vAlign w:val="bottom"/>
          </w:tcPr>
          <w:p>
            <w:pPr>
              <w:spacing w:after="0"/>
              <w:rPr>
                <w:sz w:val="19"/>
                <w:szCs w:val="19"/>
                <w:color w:val="auto"/>
              </w:rPr>
            </w:pPr>
          </w:p>
        </w:tc>
        <w:tc>
          <w:tcPr>
            <w:tcW w:w="2120" w:type="dxa"/>
            <w:vAlign w:val="bottom"/>
            <w:gridSpan w:val="2"/>
          </w:tcPr>
          <w:p>
            <w:pPr>
              <w:jc w:val="right"/>
              <w:ind w:right="860"/>
              <w:spacing w:after="0"/>
              <w:rPr>
                <w:sz w:val="20"/>
                <w:szCs w:val="20"/>
                <w:color w:val="auto"/>
              </w:rPr>
            </w:pPr>
            <w:r>
              <w:rPr>
                <w:rFonts w:ascii="Arial" w:cs="Arial" w:eastAsia="Arial" w:hAnsi="Arial"/>
                <w:sz w:val="18"/>
                <w:szCs w:val="18"/>
                <w:color w:val="auto"/>
              </w:rPr>
              <w:t>15.9%</w:t>
            </w:r>
          </w:p>
        </w:tc>
        <w:tc>
          <w:tcPr>
            <w:tcW w:w="2120" w:type="dxa"/>
            <w:vAlign w:val="bottom"/>
            <w:gridSpan w:val="2"/>
          </w:tcPr>
          <w:p>
            <w:pPr>
              <w:jc w:val="right"/>
              <w:ind w:right="860"/>
              <w:spacing w:after="0"/>
              <w:rPr>
                <w:sz w:val="20"/>
                <w:szCs w:val="20"/>
                <w:color w:val="auto"/>
              </w:rPr>
            </w:pPr>
            <w:r>
              <w:rPr>
                <w:rFonts w:ascii="Arial" w:cs="Arial" w:eastAsia="Arial" w:hAnsi="Arial"/>
                <w:sz w:val="18"/>
                <w:szCs w:val="18"/>
                <w:color w:val="auto"/>
              </w:rPr>
              <w:t>25.7%</w:t>
            </w:r>
          </w:p>
        </w:tc>
        <w:tc>
          <w:tcPr>
            <w:tcW w:w="1260" w:type="dxa"/>
            <w:vAlign w:val="bottom"/>
            <w:gridSpan w:val="2"/>
          </w:tcPr>
          <w:p>
            <w:pPr>
              <w:jc w:val="right"/>
              <w:spacing w:after="0"/>
              <w:rPr>
                <w:sz w:val="20"/>
                <w:szCs w:val="20"/>
                <w:color w:val="auto"/>
              </w:rPr>
            </w:pPr>
            <w:r>
              <w:rPr>
                <w:rFonts w:ascii="Arial" w:cs="Arial" w:eastAsia="Arial" w:hAnsi="Arial"/>
                <w:sz w:val="18"/>
                <w:szCs w:val="18"/>
                <w:color w:val="auto"/>
              </w:rPr>
              <w:t>24.3%</w:t>
            </w:r>
          </w:p>
        </w:tc>
        <w:tc>
          <w:tcPr>
            <w:tcW w:w="0" w:type="dxa"/>
            <w:vAlign w:val="bottom"/>
          </w:tcPr>
          <w:p>
            <w:pPr>
              <w:spacing w:after="0"/>
              <w:rPr>
                <w:sz w:val="1"/>
                <w:szCs w:val="1"/>
                <w:color w:val="auto"/>
              </w:rPr>
            </w:pPr>
          </w:p>
        </w:tc>
      </w:tr>
      <w:tr>
        <w:trPr>
          <w:trHeight w:val="20"/>
        </w:trPr>
        <w:tc>
          <w:tcPr>
            <w:tcW w:w="426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4260" w:type="dxa"/>
            <w:vAlign w:val="bottom"/>
          </w:tcPr>
          <w:p>
            <w:pPr>
              <w:spacing w:after="0"/>
              <w:rPr>
                <w:sz w:val="24"/>
                <w:szCs w:val="24"/>
                <w:color w:val="auto"/>
              </w:rPr>
            </w:pPr>
          </w:p>
        </w:tc>
        <w:tc>
          <w:tcPr>
            <w:tcW w:w="3780" w:type="dxa"/>
            <w:vAlign w:val="bottom"/>
            <w:gridSpan w:val="3"/>
          </w:tcPr>
          <w:p>
            <w:pPr>
              <w:jc w:val="right"/>
              <w:ind w:right="2120"/>
              <w:spacing w:after="0"/>
              <w:rPr>
                <w:sz w:val="20"/>
                <w:szCs w:val="20"/>
                <w:color w:val="auto"/>
              </w:rPr>
            </w:pPr>
            <w:r>
              <w:rPr>
                <w:rFonts w:ascii="Arial" w:cs="Arial" w:eastAsia="Arial" w:hAnsi="Arial"/>
                <w:sz w:val="18"/>
                <w:szCs w:val="18"/>
                <w:color w:val="auto"/>
              </w:rPr>
              <w:t>F - 33</w:t>
            </w:r>
          </w:p>
        </w:tc>
        <w:tc>
          <w:tcPr>
            <w:tcW w:w="1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The components of the income tax provision (benefit) are as follows:</w:t>
      </w:r>
    </w:p>
    <w:p>
      <w:pPr>
        <w:spacing w:after="0" w:line="19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3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80" w:type="dxa"/>
            <w:vAlign w:val="bottom"/>
            <w:gridSpan w:val="2"/>
          </w:tcPr>
          <w:p>
            <w:pPr>
              <w:jc w:val="right"/>
              <w:ind w:right="1160"/>
              <w:spacing w:after="0"/>
              <w:rPr>
                <w:sz w:val="20"/>
                <w:szCs w:val="20"/>
                <w:color w:val="auto"/>
              </w:rPr>
            </w:pPr>
            <w:r>
              <w:rPr>
                <w:rFonts w:ascii="Arial" w:cs="Arial" w:eastAsia="Arial" w:hAnsi="Arial"/>
                <w:sz w:val="14"/>
                <w:szCs w:val="14"/>
                <w:b w:val="1"/>
                <w:bCs w:val="1"/>
                <w:color w:val="auto"/>
                <w:w w:val="91"/>
              </w:rPr>
              <w:t>As restated</w:t>
            </w:r>
          </w:p>
        </w:tc>
        <w:tc>
          <w:tcPr>
            <w:tcW w:w="4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61"/>
        </w:trPr>
        <w:tc>
          <w:tcPr>
            <w:tcW w:w="20" w:type="dxa"/>
            <w:vAlign w:val="bottom"/>
          </w:tcPr>
          <w:p>
            <w:pPr>
              <w:spacing w:after="0"/>
              <w:rPr>
                <w:sz w:val="14"/>
                <w:szCs w:val="14"/>
                <w:color w:val="auto"/>
              </w:rPr>
            </w:pPr>
          </w:p>
        </w:tc>
        <w:tc>
          <w:tcPr>
            <w:tcW w:w="5320" w:type="dxa"/>
            <w:vAlign w:val="bottom"/>
          </w:tcPr>
          <w:p>
            <w:pPr>
              <w:spacing w:after="0"/>
              <w:rPr>
                <w:sz w:val="14"/>
                <w:szCs w:val="14"/>
                <w:color w:val="auto"/>
              </w:rPr>
            </w:pPr>
          </w:p>
        </w:tc>
        <w:tc>
          <w:tcPr>
            <w:tcW w:w="2020" w:type="dxa"/>
            <w:vAlign w:val="bottom"/>
            <w:gridSpan w:val="3"/>
          </w:tcPr>
          <w:p>
            <w:pPr>
              <w:spacing w:after="0"/>
              <w:rPr>
                <w:sz w:val="20"/>
                <w:szCs w:val="20"/>
                <w:color w:val="auto"/>
              </w:rPr>
            </w:pPr>
            <w:r>
              <w:rPr>
                <w:rFonts w:ascii="Arial" w:cs="Arial" w:eastAsia="Arial" w:hAnsi="Arial"/>
                <w:sz w:val="14"/>
                <w:szCs w:val="14"/>
                <w:b w:val="1"/>
                <w:bCs w:val="1"/>
                <w:color w:val="auto"/>
              </w:rPr>
              <w:t>November 25, 2006</w:t>
            </w:r>
          </w:p>
        </w:tc>
        <w:tc>
          <w:tcPr>
            <w:tcW w:w="2040" w:type="dxa"/>
            <w:vAlign w:val="bottom"/>
            <w:gridSpan w:val="3"/>
          </w:tcPr>
          <w:p>
            <w:pPr>
              <w:spacing w:after="0"/>
              <w:rPr>
                <w:sz w:val="20"/>
                <w:szCs w:val="20"/>
                <w:color w:val="auto"/>
              </w:rPr>
            </w:pPr>
            <w:r>
              <w:rPr>
                <w:rFonts w:ascii="Arial" w:cs="Arial" w:eastAsia="Arial" w:hAnsi="Arial"/>
                <w:sz w:val="14"/>
                <w:szCs w:val="14"/>
                <w:b w:val="1"/>
                <w:bCs w:val="1"/>
                <w:color w:val="auto"/>
              </w:rPr>
              <w:t>November 26, 2005</w:t>
            </w:r>
          </w:p>
        </w:tc>
        <w:tc>
          <w:tcPr>
            <w:tcW w:w="1120" w:type="dxa"/>
            <w:vAlign w:val="bottom"/>
            <w:gridSpan w:val="3"/>
          </w:tcPr>
          <w:p>
            <w:pPr>
              <w:spacing w:after="0"/>
              <w:rPr>
                <w:sz w:val="20"/>
                <w:szCs w:val="20"/>
                <w:color w:val="auto"/>
              </w:rPr>
            </w:pPr>
            <w:r>
              <w:rPr>
                <w:rFonts w:ascii="Arial" w:cs="Arial" w:eastAsia="Arial" w:hAnsi="Arial"/>
                <w:sz w:val="14"/>
                <w:szCs w:val="14"/>
                <w:b w:val="1"/>
                <w:bCs w:val="1"/>
                <w:color w:val="auto"/>
                <w:w w:val="86"/>
              </w:rPr>
              <w:t>November 27, 2004</w:t>
            </w:r>
          </w:p>
        </w:tc>
      </w:tr>
      <w:tr>
        <w:trPr>
          <w:trHeight w:val="210"/>
        </w:trPr>
        <w:tc>
          <w:tcPr>
            <w:tcW w:w="20" w:type="dxa"/>
            <w:vAlign w:val="bottom"/>
          </w:tcPr>
          <w:p>
            <w:pPr>
              <w:spacing w:after="0"/>
              <w:rPr>
                <w:sz w:val="18"/>
                <w:szCs w:val="18"/>
                <w:color w:val="auto"/>
              </w:rPr>
            </w:pPr>
          </w:p>
        </w:tc>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Current:</w:t>
            </w:r>
          </w:p>
        </w:tc>
        <w:tc>
          <w:tcPr>
            <w:tcW w:w="38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20" w:type="dxa"/>
            <w:vAlign w:val="bottom"/>
          </w:tcPr>
          <w:p>
            <w:pPr>
              <w:ind w:left="420"/>
              <w:spacing w:after="0"/>
              <w:rPr>
                <w:sz w:val="20"/>
                <w:szCs w:val="20"/>
                <w:color w:val="auto"/>
              </w:rPr>
            </w:pPr>
            <w:r>
              <w:rPr>
                <w:rFonts w:ascii="Arial" w:cs="Arial" w:eastAsia="Arial" w:hAnsi="Arial"/>
                <w:sz w:val="18"/>
                <w:szCs w:val="18"/>
                <w:color w:val="auto"/>
              </w:rPr>
              <w:t>Federal</w:t>
            </w:r>
          </w:p>
        </w:tc>
        <w:tc>
          <w:tcPr>
            <w:tcW w:w="380" w:type="dxa"/>
            <w:vAlign w:val="bottom"/>
          </w:tcPr>
          <w:p>
            <w:pPr>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1,608</w:t>
            </w:r>
          </w:p>
        </w:tc>
        <w:tc>
          <w:tcPr>
            <w:tcW w:w="920" w:type="dxa"/>
            <w:vAlign w:val="bottom"/>
          </w:tcPr>
          <w:p>
            <w:pPr>
              <w:spacing w:after="0"/>
              <w:rPr>
                <w:sz w:val="18"/>
                <w:szCs w:val="18"/>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1880" w:type="dxa"/>
            <w:vAlign w:val="bottom"/>
            <w:gridSpan w:val="2"/>
          </w:tcPr>
          <w:p>
            <w:pPr>
              <w:jc w:val="right"/>
              <w:ind w:right="920"/>
              <w:spacing w:after="0"/>
              <w:rPr>
                <w:sz w:val="20"/>
                <w:szCs w:val="20"/>
                <w:color w:val="auto"/>
              </w:rPr>
            </w:pPr>
            <w:r>
              <w:rPr>
                <w:rFonts w:ascii="Arial" w:cs="Arial" w:eastAsia="Arial" w:hAnsi="Arial"/>
                <w:sz w:val="18"/>
                <w:szCs w:val="18"/>
                <w:color w:val="auto"/>
              </w:rPr>
              <w:t>2,739</w:t>
            </w:r>
          </w:p>
        </w:tc>
        <w:tc>
          <w:tcPr>
            <w:tcW w:w="400" w:type="dxa"/>
            <w:vAlign w:val="bottom"/>
          </w:tcPr>
          <w:p>
            <w:pPr>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206</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State</w:t>
            </w:r>
          </w:p>
        </w:tc>
        <w:tc>
          <w:tcPr>
            <w:tcW w:w="3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855</w:t>
            </w: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920"/>
              <w:spacing w:after="0"/>
              <w:rPr>
                <w:sz w:val="20"/>
                <w:szCs w:val="20"/>
                <w:color w:val="auto"/>
              </w:rPr>
            </w:pPr>
            <w:r>
              <w:rPr>
                <w:rFonts w:ascii="Arial" w:cs="Arial" w:eastAsia="Arial" w:hAnsi="Arial"/>
                <w:sz w:val="18"/>
                <w:szCs w:val="18"/>
                <w:color w:val="auto"/>
              </w:rPr>
              <w:t>582</w:t>
            </w:r>
          </w:p>
        </w:tc>
        <w:tc>
          <w:tcPr>
            <w:tcW w:w="4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20" w:type="dxa"/>
            <w:vAlign w:val="bottom"/>
          </w:tcPr>
          <w:p>
            <w:pPr>
              <w:spacing w:after="0"/>
              <w:rPr>
                <w:sz w:val="20"/>
                <w:szCs w:val="20"/>
                <w:color w:val="auto"/>
              </w:rPr>
            </w:pPr>
            <w:r>
              <w:rPr>
                <w:rFonts w:ascii="Arial" w:cs="Arial" w:eastAsia="Arial" w:hAnsi="Arial"/>
                <w:sz w:val="18"/>
                <w:szCs w:val="18"/>
                <w:color w:val="auto"/>
              </w:rPr>
              <w:t>Deferred:</w:t>
            </w:r>
          </w:p>
        </w:tc>
        <w:tc>
          <w:tcPr>
            <w:tcW w:w="3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Federal</w:t>
            </w:r>
          </w:p>
        </w:tc>
        <w:tc>
          <w:tcPr>
            <w:tcW w:w="38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right"/>
              <w:ind w:right="860"/>
              <w:spacing w:after="0"/>
              <w:rPr>
                <w:sz w:val="20"/>
                <w:szCs w:val="20"/>
                <w:color w:val="auto"/>
              </w:rPr>
            </w:pPr>
            <w:r>
              <w:rPr>
                <w:rFonts w:ascii="Arial" w:cs="Arial" w:eastAsia="Arial" w:hAnsi="Arial"/>
                <w:sz w:val="18"/>
                <w:szCs w:val="18"/>
                <w:color w:val="auto"/>
              </w:rPr>
              <w:t>(1,411)</w:t>
            </w: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860"/>
              <w:spacing w:after="0"/>
              <w:rPr>
                <w:sz w:val="20"/>
                <w:szCs w:val="20"/>
                <w:color w:val="auto"/>
              </w:rPr>
            </w:pPr>
            <w:r>
              <w:rPr>
                <w:rFonts w:ascii="Arial" w:cs="Arial" w:eastAsia="Arial" w:hAnsi="Arial"/>
                <w:sz w:val="18"/>
                <w:szCs w:val="18"/>
                <w:color w:val="auto"/>
              </w:rPr>
              <w:t>(137)</w:t>
            </w:r>
          </w:p>
        </w:tc>
        <w:tc>
          <w:tcPr>
            <w:tcW w:w="4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1,579</w:t>
            </w:r>
          </w:p>
        </w:tc>
        <w:tc>
          <w:tcPr>
            <w:tcW w:w="2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5320" w:type="dxa"/>
            <w:vAlign w:val="bottom"/>
          </w:tcPr>
          <w:p>
            <w:pPr>
              <w:ind w:left="420"/>
              <w:spacing w:after="0"/>
              <w:rPr>
                <w:sz w:val="20"/>
                <w:szCs w:val="20"/>
                <w:color w:val="auto"/>
              </w:rPr>
            </w:pPr>
            <w:r>
              <w:rPr>
                <w:rFonts w:ascii="Arial" w:cs="Arial" w:eastAsia="Arial" w:hAnsi="Arial"/>
                <w:sz w:val="18"/>
                <w:szCs w:val="18"/>
                <w:color w:val="auto"/>
              </w:rPr>
              <w:t>State</w:t>
            </w:r>
          </w:p>
        </w:tc>
        <w:tc>
          <w:tcPr>
            <w:tcW w:w="380" w:type="dxa"/>
            <w:vAlign w:val="bottom"/>
          </w:tcPr>
          <w:p>
            <w:pPr>
              <w:spacing w:after="0"/>
              <w:rPr>
                <w:sz w:val="19"/>
                <w:szCs w:val="19"/>
                <w:color w:val="auto"/>
              </w:rPr>
            </w:pPr>
          </w:p>
        </w:tc>
        <w:tc>
          <w:tcPr>
            <w:tcW w:w="1640" w:type="dxa"/>
            <w:vAlign w:val="bottom"/>
            <w:gridSpan w:val="2"/>
          </w:tcPr>
          <w:p>
            <w:pPr>
              <w:jc w:val="right"/>
              <w:ind w:right="860"/>
              <w:spacing w:after="0"/>
              <w:rPr>
                <w:sz w:val="20"/>
                <w:szCs w:val="20"/>
                <w:color w:val="auto"/>
              </w:rPr>
            </w:pPr>
            <w:r>
              <w:rPr>
                <w:rFonts w:ascii="Arial" w:cs="Arial" w:eastAsia="Arial" w:hAnsi="Arial"/>
                <w:sz w:val="18"/>
                <w:szCs w:val="18"/>
                <w:color w:val="auto"/>
              </w:rPr>
              <w:t>(26)</w:t>
            </w:r>
          </w:p>
        </w:tc>
        <w:tc>
          <w:tcPr>
            <w:tcW w:w="160" w:type="dxa"/>
            <w:vAlign w:val="bottom"/>
          </w:tcPr>
          <w:p>
            <w:pPr>
              <w:spacing w:after="0"/>
              <w:rPr>
                <w:sz w:val="19"/>
                <w:szCs w:val="19"/>
                <w:color w:val="auto"/>
              </w:rPr>
            </w:pPr>
          </w:p>
        </w:tc>
        <w:tc>
          <w:tcPr>
            <w:tcW w:w="1880" w:type="dxa"/>
            <w:vAlign w:val="bottom"/>
            <w:gridSpan w:val="2"/>
          </w:tcPr>
          <w:p>
            <w:pPr>
              <w:jc w:val="right"/>
              <w:ind w:right="920"/>
              <w:spacing w:after="0"/>
              <w:rPr>
                <w:sz w:val="20"/>
                <w:szCs w:val="20"/>
                <w:color w:val="auto"/>
              </w:rPr>
            </w:pPr>
            <w:r>
              <w:rPr>
                <w:rFonts w:ascii="Arial" w:cs="Arial" w:eastAsia="Arial" w:hAnsi="Arial"/>
                <w:sz w:val="18"/>
                <w:szCs w:val="18"/>
                <w:color w:val="auto"/>
              </w:rPr>
              <w:t>197</w:t>
            </w:r>
          </w:p>
        </w:tc>
        <w:tc>
          <w:tcPr>
            <w:tcW w:w="4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296</w:t>
            </w:r>
          </w:p>
        </w:tc>
        <w:tc>
          <w:tcPr>
            <w:tcW w:w="2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38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1,026</w:t>
            </w:r>
          </w:p>
        </w:tc>
        <w:tc>
          <w:tcPr>
            <w:tcW w:w="920" w:type="dxa"/>
            <w:vAlign w:val="bottom"/>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3,381</w:t>
            </w:r>
          </w:p>
        </w:tc>
        <w:tc>
          <w:tcPr>
            <w:tcW w:w="920" w:type="dxa"/>
            <w:vAlign w:val="bottom"/>
            <w:shd w:val="clear" w:color="auto" w:fill="CCEEFF"/>
          </w:tcPr>
          <w:p>
            <w:pPr>
              <w:spacing w:after="0"/>
              <w:rPr>
                <w:sz w:val="18"/>
                <w:szCs w:val="18"/>
                <w:color w:val="auto"/>
              </w:rPr>
            </w:pPr>
          </w:p>
        </w:tc>
        <w:tc>
          <w:tcPr>
            <w:tcW w:w="4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2,641</w:t>
            </w:r>
          </w:p>
        </w:tc>
        <w:tc>
          <w:tcPr>
            <w:tcW w:w="2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53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67"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color w:val="auto"/>
        </w:rPr>
        <w:t>The income tax effects of temporary differences and carryforwards, which give rise to significant portions of the deferred income tax assets and deferred income tax liabilities, are as follows:</w:t>
      </w:r>
    </w:p>
    <w:p>
      <w:pPr>
        <w:spacing w:after="0" w:line="156"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98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4"/>
                <w:szCs w:val="14"/>
                <w:b w:val="1"/>
                <w:bCs w:val="1"/>
                <w:color w:val="auto"/>
                <w:w w:val="91"/>
              </w:rPr>
              <w:t>As restated</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98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600" w:type="dxa"/>
            <w:vAlign w:val="bottom"/>
            <w:gridSpan w:val="3"/>
          </w:tcPr>
          <w:p>
            <w:pPr>
              <w:spacing w:after="0"/>
              <w:rPr>
                <w:sz w:val="20"/>
                <w:szCs w:val="20"/>
                <w:color w:val="auto"/>
              </w:rPr>
            </w:pPr>
            <w:r>
              <w:rPr>
                <w:rFonts w:ascii="Arial" w:cs="Arial" w:eastAsia="Arial" w:hAnsi="Arial"/>
                <w:sz w:val="14"/>
                <w:szCs w:val="14"/>
                <w:b w:val="1"/>
                <w:bCs w:val="1"/>
                <w:color w:val="auto"/>
              </w:rPr>
              <w:t>November 25, 2006</w:t>
            </w:r>
          </w:p>
        </w:tc>
        <w:tc>
          <w:tcPr>
            <w:tcW w:w="440" w:type="dxa"/>
            <w:vAlign w:val="bottom"/>
          </w:tcPr>
          <w:p>
            <w:pPr>
              <w:spacing w:after="0"/>
              <w:rPr>
                <w:sz w:val="14"/>
                <w:szCs w:val="14"/>
                <w:color w:val="auto"/>
              </w:rPr>
            </w:pPr>
          </w:p>
        </w:tc>
        <w:tc>
          <w:tcPr>
            <w:tcW w:w="1180" w:type="dxa"/>
            <w:vAlign w:val="bottom"/>
            <w:gridSpan w:val="3"/>
          </w:tcPr>
          <w:p>
            <w:pPr>
              <w:spacing w:after="0"/>
              <w:rPr>
                <w:sz w:val="20"/>
                <w:szCs w:val="20"/>
                <w:color w:val="auto"/>
              </w:rPr>
            </w:pPr>
            <w:r>
              <w:rPr>
                <w:rFonts w:ascii="Arial" w:cs="Arial" w:eastAsia="Arial" w:hAnsi="Arial"/>
                <w:sz w:val="14"/>
                <w:szCs w:val="14"/>
                <w:b w:val="1"/>
                <w:bCs w:val="1"/>
                <w:color w:val="auto"/>
                <w:w w:val="91"/>
              </w:rPr>
              <w:t>November 26, 2005</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Deferred income tax assets:</w:t>
            </w:r>
          </w:p>
        </w:tc>
        <w:tc>
          <w:tcPr>
            <w:tcW w:w="1280" w:type="dxa"/>
            <w:vAlign w:val="bottom"/>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tcPr>
          <w:p>
            <w:pPr>
              <w:ind w:left="420"/>
              <w:spacing w:after="0"/>
              <w:rPr>
                <w:sz w:val="20"/>
                <w:szCs w:val="20"/>
                <w:color w:val="auto"/>
              </w:rPr>
            </w:pPr>
            <w:r>
              <w:rPr>
                <w:rFonts w:ascii="Arial" w:cs="Arial" w:eastAsia="Arial" w:hAnsi="Arial"/>
                <w:sz w:val="18"/>
                <w:szCs w:val="18"/>
                <w:color w:val="auto"/>
              </w:rPr>
              <w:t>Trade accounts receivable</w:t>
            </w:r>
          </w:p>
        </w:tc>
        <w:tc>
          <w:tcPr>
            <w:tcW w:w="1620" w:type="dxa"/>
            <w:vAlign w:val="bottom"/>
            <w:gridSpan w:val="2"/>
          </w:tcPr>
          <w:p>
            <w:pPr>
              <w:ind w:left="128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3,344</w:t>
            </w:r>
          </w:p>
        </w:tc>
        <w:tc>
          <w:tcPr>
            <w:tcW w:w="500" w:type="dxa"/>
            <w:vAlign w:val="bottom"/>
          </w:tcPr>
          <w:p>
            <w:pPr>
              <w:spacing w:after="0"/>
              <w:rPr>
                <w:sz w:val="18"/>
                <w:szCs w:val="18"/>
                <w:color w:val="auto"/>
              </w:rPr>
            </w:pPr>
          </w:p>
        </w:tc>
        <w:tc>
          <w:tcPr>
            <w:tcW w:w="60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1,531</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Inventories</w:t>
            </w:r>
          </w:p>
        </w:tc>
        <w:tc>
          <w:tcPr>
            <w:tcW w:w="1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1,466</w:t>
            </w:r>
          </w:p>
        </w:tc>
        <w:tc>
          <w:tcPr>
            <w:tcW w:w="5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1,618</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tcPr>
          <w:p>
            <w:pPr>
              <w:ind w:left="420"/>
              <w:spacing w:after="0"/>
              <w:rPr>
                <w:sz w:val="20"/>
                <w:szCs w:val="20"/>
                <w:color w:val="auto"/>
              </w:rPr>
            </w:pPr>
            <w:r>
              <w:rPr>
                <w:rFonts w:ascii="Arial" w:cs="Arial" w:eastAsia="Arial" w:hAnsi="Arial"/>
                <w:sz w:val="18"/>
                <w:szCs w:val="18"/>
                <w:color w:val="auto"/>
              </w:rPr>
              <w:t>Property and equipment writedowns</w:t>
            </w:r>
          </w:p>
        </w:tc>
        <w:tc>
          <w:tcPr>
            <w:tcW w:w="1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480</w:t>
            </w:r>
          </w:p>
        </w:tc>
        <w:tc>
          <w:tcPr>
            <w:tcW w:w="5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454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Retirement benefits</w:t>
            </w:r>
          </w:p>
        </w:tc>
        <w:tc>
          <w:tcPr>
            <w:tcW w:w="1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5,651</w:t>
            </w:r>
          </w:p>
        </w:tc>
        <w:tc>
          <w:tcPr>
            <w:tcW w:w="5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5,702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tcPr>
          <w:p>
            <w:pPr>
              <w:ind w:left="420"/>
              <w:spacing w:after="0"/>
              <w:rPr>
                <w:sz w:val="20"/>
                <w:szCs w:val="20"/>
                <w:color w:val="auto"/>
              </w:rPr>
            </w:pPr>
            <w:r>
              <w:rPr>
                <w:rFonts w:ascii="Arial" w:cs="Arial" w:eastAsia="Arial" w:hAnsi="Arial"/>
                <w:sz w:val="18"/>
                <w:szCs w:val="18"/>
                <w:color w:val="auto"/>
              </w:rPr>
              <w:t>State net operating loss carryforwards</w:t>
            </w:r>
          </w:p>
        </w:tc>
        <w:tc>
          <w:tcPr>
            <w:tcW w:w="1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1,499</w:t>
            </w:r>
          </w:p>
        </w:tc>
        <w:tc>
          <w:tcPr>
            <w:tcW w:w="5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1,160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Distributions from affiliates in excess of income</w:t>
            </w:r>
          </w:p>
        </w:tc>
        <w:tc>
          <w:tcPr>
            <w:tcW w:w="1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10,155</w:t>
            </w:r>
          </w:p>
        </w:tc>
        <w:tc>
          <w:tcPr>
            <w:tcW w:w="5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9,726</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tcPr>
          <w:p>
            <w:pPr>
              <w:ind w:left="420"/>
              <w:spacing w:after="0"/>
              <w:rPr>
                <w:sz w:val="20"/>
                <w:szCs w:val="20"/>
                <w:color w:val="auto"/>
              </w:rPr>
            </w:pPr>
            <w:r>
              <w:rPr>
                <w:rFonts w:ascii="Arial" w:cs="Arial" w:eastAsia="Arial" w:hAnsi="Arial"/>
                <w:sz w:val="18"/>
                <w:szCs w:val="18"/>
                <w:color w:val="auto"/>
              </w:rPr>
              <w:t>Alternative minimum tax credit carryforward (no expiration)</w:t>
            </w:r>
          </w:p>
        </w:tc>
        <w:tc>
          <w:tcPr>
            <w:tcW w:w="1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6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782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Other</w:t>
            </w:r>
          </w:p>
        </w:tc>
        <w:tc>
          <w:tcPr>
            <w:tcW w:w="128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1,671</w:t>
            </w:r>
          </w:p>
        </w:tc>
        <w:tc>
          <w:tcPr>
            <w:tcW w:w="5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2,031</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980" w:type="dxa"/>
            <w:vAlign w:val="bottom"/>
          </w:tcPr>
          <w:p>
            <w:pPr>
              <w:ind w:left="860"/>
              <w:spacing w:after="0"/>
              <w:rPr>
                <w:sz w:val="20"/>
                <w:szCs w:val="20"/>
                <w:color w:val="auto"/>
              </w:rPr>
            </w:pPr>
            <w:r>
              <w:rPr>
                <w:rFonts w:ascii="Arial" w:cs="Arial" w:eastAsia="Arial" w:hAnsi="Arial"/>
                <w:sz w:val="18"/>
                <w:szCs w:val="18"/>
                <w:color w:val="auto"/>
              </w:rPr>
              <w:t>Gross deferred income tax assets</w:t>
            </w:r>
          </w:p>
        </w:tc>
        <w:tc>
          <w:tcPr>
            <w:tcW w:w="1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24,266</w:t>
            </w:r>
          </w:p>
        </w:tc>
        <w:tc>
          <w:tcPr>
            <w:tcW w:w="5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23,004</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State net operating loss carryforward valuation allowance</w:t>
            </w:r>
          </w:p>
        </w:tc>
        <w:tc>
          <w:tcPr>
            <w:tcW w:w="1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(1,406)</w:t>
            </w:r>
          </w:p>
        </w:tc>
        <w:tc>
          <w:tcPr>
            <w:tcW w:w="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5980" w:type="dxa"/>
            <w:vAlign w:val="bottom"/>
          </w:tcPr>
          <w:p>
            <w:pPr>
              <w:ind w:left="860"/>
              <w:spacing w:after="0"/>
              <w:rPr>
                <w:sz w:val="20"/>
                <w:szCs w:val="20"/>
                <w:color w:val="auto"/>
              </w:rPr>
            </w:pPr>
            <w:r>
              <w:rPr>
                <w:rFonts w:ascii="Arial" w:cs="Arial" w:eastAsia="Arial" w:hAnsi="Arial"/>
                <w:sz w:val="18"/>
                <w:szCs w:val="18"/>
                <w:color w:val="auto"/>
              </w:rPr>
              <w:t>Total deferred income tax assets</w:t>
            </w:r>
          </w:p>
        </w:tc>
        <w:tc>
          <w:tcPr>
            <w:tcW w:w="1280" w:type="dxa"/>
            <w:vAlign w:val="bottom"/>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22,860</w:t>
            </w:r>
          </w:p>
        </w:tc>
        <w:tc>
          <w:tcPr>
            <w:tcW w:w="5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22,004</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0"/>
        </w:trPr>
        <w:tc>
          <w:tcPr>
            <w:tcW w:w="20" w:type="dxa"/>
            <w:vAlign w:val="bottom"/>
            <w:vMerge w:val="restart"/>
          </w:tcPr>
          <w:p>
            <w:pPr>
              <w:spacing w:after="0"/>
              <w:rPr>
                <w:sz w:val="9"/>
                <w:szCs w:val="9"/>
                <w:color w:val="auto"/>
              </w:rPr>
            </w:pPr>
          </w:p>
        </w:tc>
        <w:tc>
          <w:tcPr>
            <w:tcW w:w="5980" w:type="dxa"/>
            <w:vAlign w:val="bottom"/>
          </w:tcPr>
          <w:p>
            <w:pPr>
              <w:spacing w:after="0"/>
              <w:rPr>
                <w:sz w:val="9"/>
                <w:szCs w:val="9"/>
                <w:color w:val="auto"/>
              </w:rPr>
            </w:pPr>
          </w:p>
        </w:tc>
        <w:tc>
          <w:tcPr>
            <w:tcW w:w="1280" w:type="dxa"/>
            <w:vAlign w:val="bottom"/>
          </w:tcPr>
          <w:p>
            <w:pPr>
              <w:spacing w:after="0"/>
              <w:rPr>
                <w:sz w:val="9"/>
                <w:szCs w:val="9"/>
                <w:color w:val="auto"/>
              </w:rPr>
            </w:pPr>
          </w:p>
        </w:tc>
        <w:tc>
          <w:tcPr>
            <w:tcW w:w="340" w:type="dxa"/>
            <w:vAlign w:val="bottom"/>
          </w:tcPr>
          <w:p>
            <w:pPr>
              <w:spacing w:after="0"/>
              <w:rPr>
                <w:sz w:val="9"/>
                <w:szCs w:val="9"/>
                <w:color w:val="auto"/>
              </w:rPr>
            </w:pPr>
          </w:p>
        </w:tc>
        <w:tc>
          <w:tcPr>
            <w:tcW w:w="760" w:type="dxa"/>
            <w:vAlign w:val="bottom"/>
          </w:tcPr>
          <w:p>
            <w:pPr>
              <w:spacing w:after="0"/>
              <w:rPr>
                <w:sz w:val="9"/>
                <w:szCs w:val="9"/>
                <w:color w:val="auto"/>
              </w:rPr>
            </w:pPr>
          </w:p>
        </w:tc>
        <w:tc>
          <w:tcPr>
            <w:tcW w:w="500" w:type="dxa"/>
            <w:vAlign w:val="bottom"/>
          </w:tcPr>
          <w:p>
            <w:pPr>
              <w:spacing w:after="0"/>
              <w:rPr>
                <w:sz w:val="9"/>
                <w:szCs w:val="9"/>
                <w:color w:val="auto"/>
              </w:rPr>
            </w:pPr>
          </w:p>
        </w:tc>
        <w:tc>
          <w:tcPr>
            <w:tcW w:w="440" w:type="dxa"/>
            <w:vAlign w:val="bottom"/>
          </w:tcPr>
          <w:p>
            <w:pPr>
              <w:spacing w:after="0"/>
              <w:rPr>
                <w:sz w:val="9"/>
                <w:szCs w:val="9"/>
                <w:color w:val="auto"/>
              </w:rPr>
            </w:pPr>
          </w:p>
        </w:tc>
        <w:tc>
          <w:tcPr>
            <w:tcW w:w="160" w:type="dxa"/>
            <w:vAlign w:val="bottom"/>
          </w:tcPr>
          <w:p>
            <w:pPr>
              <w:spacing w:after="0"/>
              <w:rPr>
                <w:sz w:val="9"/>
                <w:szCs w:val="9"/>
                <w:color w:val="auto"/>
              </w:rPr>
            </w:pPr>
          </w:p>
        </w:tc>
        <w:tc>
          <w:tcPr>
            <w:tcW w:w="96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Deferred income tax liabilities:</w:t>
            </w:r>
          </w:p>
        </w:tc>
        <w:tc>
          <w:tcPr>
            <w:tcW w:w="1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tcPr>
          <w:p>
            <w:pPr>
              <w:ind w:left="420"/>
              <w:spacing w:after="0"/>
              <w:rPr>
                <w:sz w:val="20"/>
                <w:szCs w:val="20"/>
                <w:color w:val="auto"/>
              </w:rPr>
            </w:pPr>
            <w:r>
              <w:rPr>
                <w:rFonts w:ascii="Arial" w:cs="Arial" w:eastAsia="Arial" w:hAnsi="Arial"/>
                <w:sz w:val="18"/>
                <w:szCs w:val="18"/>
                <w:color w:val="auto"/>
              </w:rPr>
              <w:t>Property and equipment</w:t>
            </w:r>
          </w:p>
        </w:tc>
        <w:tc>
          <w:tcPr>
            <w:tcW w:w="1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3,159</w:t>
            </w:r>
          </w:p>
        </w:tc>
        <w:tc>
          <w:tcPr>
            <w:tcW w:w="5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4,701</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Undistributed affiliate income</w:t>
            </w:r>
          </w:p>
        </w:tc>
        <w:tc>
          <w:tcPr>
            <w:tcW w:w="1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5,535</w:t>
            </w:r>
          </w:p>
        </w:tc>
        <w:tc>
          <w:tcPr>
            <w:tcW w:w="5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4,665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tcPr>
          <w:p>
            <w:pPr>
              <w:ind w:left="420"/>
              <w:spacing w:after="0"/>
              <w:rPr>
                <w:sz w:val="20"/>
                <w:szCs w:val="20"/>
                <w:color w:val="auto"/>
              </w:rPr>
            </w:pPr>
            <w:r>
              <w:rPr>
                <w:rFonts w:ascii="Arial" w:cs="Arial" w:eastAsia="Arial" w:hAnsi="Arial"/>
                <w:sz w:val="18"/>
                <w:szCs w:val="18"/>
                <w:color w:val="auto"/>
              </w:rPr>
              <w:t>Prepaid expenses and other</w:t>
            </w:r>
          </w:p>
        </w:tc>
        <w:tc>
          <w:tcPr>
            <w:tcW w:w="1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155</w:t>
            </w:r>
          </w:p>
        </w:tc>
        <w:tc>
          <w:tcPr>
            <w:tcW w:w="5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201</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Unrealized holding gains</w:t>
            </w:r>
          </w:p>
        </w:tc>
        <w:tc>
          <w:tcPr>
            <w:tcW w:w="128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1,965</w:t>
            </w:r>
          </w:p>
        </w:tc>
        <w:tc>
          <w:tcPr>
            <w:tcW w:w="5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1,616</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980" w:type="dxa"/>
            <w:vAlign w:val="bottom"/>
          </w:tcPr>
          <w:p>
            <w:pPr>
              <w:ind w:left="860"/>
              <w:spacing w:after="0"/>
              <w:rPr>
                <w:sz w:val="20"/>
                <w:szCs w:val="20"/>
                <w:color w:val="auto"/>
              </w:rPr>
            </w:pPr>
            <w:r>
              <w:rPr>
                <w:rFonts w:ascii="Arial" w:cs="Arial" w:eastAsia="Arial" w:hAnsi="Arial"/>
                <w:sz w:val="18"/>
                <w:szCs w:val="18"/>
                <w:color w:val="auto"/>
              </w:rPr>
              <w:t>Total gross deferred income tax liabilities</w:t>
            </w:r>
          </w:p>
        </w:tc>
        <w:tc>
          <w:tcPr>
            <w:tcW w:w="128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10,814</w:t>
            </w:r>
          </w:p>
        </w:tc>
        <w:tc>
          <w:tcPr>
            <w:tcW w:w="5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11,183</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shd w:val="clear" w:color="auto" w:fill="CCEEFF"/>
          </w:tcPr>
          <w:p>
            <w:pPr>
              <w:ind w:left="860"/>
              <w:spacing w:after="0"/>
              <w:rPr>
                <w:sz w:val="20"/>
                <w:szCs w:val="20"/>
                <w:color w:val="auto"/>
              </w:rPr>
            </w:pPr>
            <w:r>
              <w:rPr>
                <w:rFonts w:ascii="Arial" w:cs="Arial" w:eastAsia="Arial" w:hAnsi="Arial"/>
                <w:sz w:val="18"/>
                <w:szCs w:val="18"/>
                <w:color w:val="auto"/>
              </w:rPr>
              <w:t>Net deferred income tax assets</w:t>
            </w:r>
          </w:p>
        </w:tc>
        <w:tc>
          <w:tcPr>
            <w:tcW w:w="1620" w:type="dxa"/>
            <w:vAlign w:val="bottom"/>
            <w:gridSpan w:val="2"/>
            <w:shd w:val="clear" w:color="auto" w:fill="CCEEFF"/>
          </w:tcPr>
          <w:p>
            <w:pPr>
              <w:ind w:left="128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12,046</w:t>
            </w:r>
          </w:p>
        </w:tc>
        <w:tc>
          <w:tcPr>
            <w:tcW w:w="5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10,821</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The valuation allowance for deferred tax assets increased $406 in 2006 primarily due to a $607 increase related to losses in certain states generated in the current year for which we believe that it is more likely than not that these tax benefits would not be realized prior to expiration, partially offset by a $201 decrease related to the utilization of certain state tax loss carryforwards. We have state net operating loss carryforwards for tax purposes available to offset future taxable state income of $38,886, which expire in varying amounts between 2007 and 2025. Realization is dependent on generating sufficient taxable income prior to expiration of the loss carryforwards. When realization of any of these previously-reserved carryforwards is more likely than not to occur, the benefit would be recognized as a reduction to income tax expense in that period. We consider our historical and anticipated future pre-tax earnings and any current tax planning strategies when assessing the ultimate realization of the carryforwards.</w:t>
      </w:r>
    </w:p>
    <w:p>
      <w:pPr>
        <w:spacing w:after="0" w:line="118"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We have $1,040 and $971 in income tax reserves as of November 25, 2006, and November 26, 2005, respectively. Despite our belief that our tax return positions are fully supportable, reserves are established in accordance with Statement of Financial Accounting Standards No. 5, “Accounting for Contingencies”, where we believe that certain tax positions are likely to be challenged and we may not fully prevail in overcoming these challenges. We may adjust these reserves as relevant circumstances evolve, such as guidance from the relevant tax authority, our tax advisors, or resolution of issues in the courts. Our tax expense includes the impact of reserve</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- 34</w:t>
      </w:r>
    </w:p>
    <w:p>
      <w:pPr>
        <w:sectPr>
          <w:pgSz w:w="11900" w:h="16838" w:orient="portrait"/>
          <w:cols w:equalWidth="0" w:num="1">
            <w:col w:w="11400"/>
          </w:cols>
          <w:pgMar w:left="240" w:top="459" w:right="25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65" w:lineRule="exact"/>
        <w:rPr>
          <w:sz w:val="20"/>
          <w:szCs w:val="20"/>
          <w:color w:val="auto"/>
        </w:rPr>
      </w:pPr>
    </w:p>
    <w:p>
      <w:pPr>
        <w:ind w:right="40"/>
        <w:spacing w:after="0" w:line="289" w:lineRule="auto"/>
        <w:rPr>
          <w:sz w:val="20"/>
          <w:szCs w:val="20"/>
          <w:color w:val="auto"/>
        </w:rPr>
      </w:pPr>
      <w:r>
        <w:rPr>
          <w:rFonts w:ascii="Arial" w:cs="Arial" w:eastAsia="Arial" w:hAnsi="Arial"/>
          <w:sz w:val="16"/>
          <w:szCs w:val="16"/>
          <w:color w:val="auto"/>
        </w:rPr>
        <w:t>positions and changes to reserves that we consider appropriate, as well as related interest. In fiscal 2006, our tax expense was increased $439 related to certain state tax matters and interest on certain timing differences and was decreased $370 related to the resolution of certain partnership accounting issues resulting in a net increase to the tax reserves of $69. In fiscal 2005, our tax expense was increased $163 related to interest on certain timing differences and was decreased $528 primarily related to the resolution of certain partnership accounting issues, state tax matters and permanent deductions resulting in net decrease to the tax reserves of $365. In fiscal 2004, our tax expense was increased $281 related to the uncertainty of certain permanent deductions and interest on certain timing differences and was decreased $74 for the resolution of certain state tax matters. Our reserve also decreased by $1,289 as a result of a settlement payment. We also cannot predict when or if any other future tax payments related to these tax positions may occur. Therefore, all of the reserves for these positions are classified as current liabilities in our balance sheet.</w:t>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color w:val="auto"/>
        </w:rPr>
        <w:t>Income taxes paid, net of refunds received, during 2006, 2005 and 2004 were $3,579, $1,570 and $1,700, respectively.</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Real Estate Notes Payable and Other Long-Term Debt</w:t>
      </w:r>
    </w:p>
    <w:p>
      <w:pPr>
        <w:spacing w:after="0" w:line="96"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Certain of our retail real estate properties have been financed through commercial mortgages which are payable over periods of four to twenty years and have interest rates ranging from 6.73% to 9.18%. These mortgages are collateralized by the respective properties with net book values totaling approximately $26,000 at November 25, 2006. The current portion of these mortgages, $622 and $460 as of November 25, 2006, and November 26, 2005, respectively, has been included as a current liability in other accrued liabilities in the accompanying consolidated balance sheets. The long-term portion, $19,522 and $15,144 as of November 25, 2006, and November 26, 2005, respectively, is presented as real estate notes payable in the consolidated balance sheets. The fair value of our real estate notes payable is $21,026. Our weighted average interest rate is 7.94%. Interest paid during 2006 and 2005 was $1,293 and $1,384, respectively.</w:t>
      </w:r>
    </w:p>
    <w:p>
      <w:pPr>
        <w:spacing w:after="0" w:line="120"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6140" w:type="dxa"/>
            <w:vAlign w:val="bottom"/>
            <w:gridSpan w:val="2"/>
          </w:tcPr>
          <w:p>
            <w:pPr>
              <w:spacing w:after="0"/>
              <w:rPr>
                <w:sz w:val="20"/>
                <w:szCs w:val="20"/>
                <w:color w:val="auto"/>
              </w:rPr>
            </w:pPr>
            <w:r>
              <w:rPr>
                <w:rFonts w:ascii="Arial" w:cs="Arial" w:eastAsia="Arial" w:hAnsi="Arial"/>
                <w:sz w:val="18"/>
                <w:szCs w:val="18"/>
                <w:color w:val="auto"/>
              </w:rPr>
              <w:t>Maturities of real estate notes payable are as follows:</w:t>
            </w:r>
          </w:p>
        </w:tc>
        <w:tc>
          <w:tcPr>
            <w:tcW w:w="24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5"/>
        </w:trPr>
        <w:tc>
          <w:tcPr>
            <w:tcW w:w="2300" w:type="dxa"/>
            <w:vAlign w:val="bottom"/>
            <w:vMerge w:val="restart"/>
          </w:tcPr>
          <w:p>
            <w:pPr>
              <w:spacing w:after="0"/>
              <w:rPr>
                <w:sz w:val="17"/>
                <w:szCs w:val="17"/>
                <w:color w:val="auto"/>
              </w:rPr>
            </w:pPr>
          </w:p>
        </w:tc>
        <w:tc>
          <w:tcPr>
            <w:tcW w:w="3840" w:type="dxa"/>
            <w:vAlign w:val="bottom"/>
          </w:tcPr>
          <w:p>
            <w:pPr>
              <w:spacing w:after="0"/>
              <w:rPr>
                <w:sz w:val="17"/>
                <w:szCs w:val="17"/>
                <w:color w:val="auto"/>
              </w:rPr>
            </w:pPr>
          </w:p>
        </w:tc>
        <w:tc>
          <w:tcPr>
            <w:tcW w:w="24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300" w:type="dxa"/>
            <w:vAlign w:val="bottom"/>
            <w:vMerge w:val="continue"/>
          </w:tcPr>
          <w:p>
            <w:pPr>
              <w:spacing w:after="0"/>
              <w:rPr>
                <w:sz w:val="18"/>
                <w:szCs w:val="18"/>
                <w:color w:val="auto"/>
              </w:rPr>
            </w:pPr>
          </w:p>
        </w:tc>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2007</w:t>
            </w:r>
          </w:p>
        </w:tc>
        <w:tc>
          <w:tcPr>
            <w:tcW w:w="2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622</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3840" w:type="dxa"/>
            <w:vAlign w:val="bottom"/>
          </w:tcPr>
          <w:p>
            <w:pPr>
              <w:spacing w:after="0"/>
              <w:rPr>
                <w:sz w:val="20"/>
                <w:szCs w:val="20"/>
                <w:color w:val="auto"/>
              </w:rPr>
            </w:pPr>
            <w:r>
              <w:rPr>
                <w:rFonts w:ascii="Arial" w:cs="Arial" w:eastAsia="Arial" w:hAnsi="Arial"/>
                <w:sz w:val="18"/>
                <w:szCs w:val="18"/>
                <w:color w:val="auto"/>
              </w:rPr>
              <w:t>2008</w:t>
            </w:r>
          </w:p>
        </w:tc>
        <w:tc>
          <w:tcPr>
            <w:tcW w:w="2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672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2009</w:t>
            </w:r>
          </w:p>
        </w:tc>
        <w:tc>
          <w:tcPr>
            <w:tcW w:w="2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3840" w:type="dxa"/>
            <w:vAlign w:val="bottom"/>
          </w:tcPr>
          <w:p>
            <w:pPr>
              <w:spacing w:after="0"/>
              <w:rPr>
                <w:sz w:val="20"/>
                <w:szCs w:val="20"/>
                <w:color w:val="auto"/>
              </w:rPr>
            </w:pPr>
            <w:r>
              <w:rPr>
                <w:rFonts w:ascii="Arial" w:cs="Arial" w:eastAsia="Arial" w:hAnsi="Arial"/>
                <w:sz w:val="18"/>
                <w:szCs w:val="18"/>
                <w:color w:val="auto"/>
              </w:rPr>
              <w:t>2010</w:t>
            </w:r>
          </w:p>
        </w:tc>
        <w:tc>
          <w:tcPr>
            <w:tcW w:w="2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8,379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2011</w:t>
            </w:r>
          </w:p>
        </w:tc>
        <w:tc>
          <w:tcPr>
            <w:tcW w:w="2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5,447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300" w:type="dxa"/>
            <w:vAlign w:val="bottom"/>
          </w:tcPr>
          <w:p>
            <w:pPr>
              <w:spacing w:after="0"/>
              <w:rPr>
                <w:sz w:val="19"/>
                <w:szCs w:val="19"/>
                <w:color w:val="auto"/>
              </w:rPr>
            </w:pPr>
          </w:p>
        </w:tc>
        <w:tc>
          <w:tcPr>
            <w:tcW w:w="3840" w:type="dxa"/>
            <w:vAlign w:val="bottom"/>
          </w:tcPr>
          <w:p>
            <w:pPr>
              <w:spacing w:after="0"/>
              <w:rPr>
                <w:sz w:val="20"/>
                <w:szCs w:val="20"/>
                <w:color w:val="auto"/>
              </w:rPr>
            </w:pPr>
            <w:r>
              <w:rPr>
                <w:rFonts w:ascii="Arial" w:cs="Arial" w:eastAsia="Arial" w:hAnsi="Arial"/>
                <w:sz w:val="18"/>
                <w:szCs w:val="18"/>
                <w:color w:val="auto"/>
              </w:rPr>
              <w:t>Thereafter</w:t>
            </w:r>
          </w:p>
        </w:tc>
        <w:tc>
          <w:tcPr>
            <w:tcW w:w="24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4,295</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3840" w:type="dxa"/>
            <w:vAlign w:val="bottom"/>
            <w:shd w:val="clear" w:color="auto" w:fill="CCEEFF"/>
          </w:tcPr>
          <w:p>
            <w:pPr>
              <w:spacing w:after="0"/>
              <w:rPr>
                <w:sz w:val="18"/>
                <w:szCs w:val="18"/>
                <w:color w:val="auto"/>
              </w:rPr>
            </w:pPr>
          </w:p>
        </w:tc>
        <w:tc>
          <w:tcPr>
            <w:tcW w:w="25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20,144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300" w:type="dxa"/>
            <w:vAlign w:val="bottom"/>
          </w:tcPr>
          <w:p>
            <w:pPr>
              <w:spacing w:after="0" w:line="20" w:lineRule="exact"/>
              <w:rPr>
                <w:sz w:val="1"/>
                <w:szCs w:val="1"/>
                <w:color w:val="auto"/>
              </w:rPr>
            </w:pPr>
          </w:p>
        </w:tc>
        <w:tc>
          <w:tcPr>
            <w:tcW w:w="3840" w:type="dxa"/>
            <w:vAlign w:val="bottom"/>
          </w:tcPr>
          <w:p>
            <w:pPr>
              <w:spacing w:after="0" w:line="20" w:lineRule="exact"/>
              <w:rPr>
                <w:sz w:val="1"/>
                <w:szCs w:val="1"/>
                <w:color w:val="auto"/>
              </w:rPr>
            </w:pPr>
          </w:p>
        </w:tc>
        <w:tc>
          <w:tcPr>
            <w:tcW w:w="24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We amended our existing revolving credit facility in November 2005 by extending the agreement by one year and amending certain covenants. The credit facility provides for borrowings of up to $40,000 at a variable interest rate of LIBOR plus 1.5% (6.82% on November 25, 2006). The facility is secured by substantially all of our receivables and inventories. Borrowings under the facility, which matures November 30, 2007, totaled $4,000 and $3,000 at November 25, 2006, and November 26, 2005, respectively. After coverage for letters of credit, we had $21,817 available for borrowing under the facility at November 25, 2006. The average interest rate was 6.46% for the year ended November 25, 2006.</w:t>
      </w:r>
    </w:p>
    <w:p>
      <w:pPr>
        <w:spacing w:after="0" w:line="143"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This facility contains, among other provisions, certain defined financial requirements including a maximum ratio of debt to equity and a minimum level of tangible net worth. At November 25, 2006, we were not in compliance with our minimum tangible net worth covenant. We received a waiver of this requirement through fiscal 2007. We were in compliance with all other covenants as of November 25, 2006.</w:t>
      </w:r>
    </w:p>
    <w:p>
      <w:pPr>
        <w:spacing w:after="0" w:line="140" w:lineRule="exact"/>
        <w:rPr>
          <w:sz w:val="20"/>
          <w:szCs w:val="20"/>
          <w:color w:val="auto"/>
        </w:rPr>
      </w:pPr>
    </w:p>
    <w:p>
      <w:pPr>
        <w:spacing w:after="0"/>
        <w:rPr>
          <w:sz w:val="20"/>
          <w:szCs w:val="20"/>
          <w:color w:val="auto"/>
        </w:rPr>
      </w:pPr>
      <w:r>
        <w:rPr>
          <w:rFonts w:ascii="Arial" w:cs="Arial" w:eastAsia="Arial" w:hAnsi="Arial"/>
          <w:sz w:val="18"/>
          <w:szCs w:val="18"/>
          <w:color w:val="auto"/>
        </w:rPr>
        <w:t>Interest paid during 2006, 2005 and 2004 was $873, $619 and $436, respectively.</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Post Employment Benefit Obligations</w:t>
      </w:r>
    </w:p>
    <w:p>
      <w:pPr>
        <w:spacing w:after="0" w:line="96" w:lineRule="exact"/>
        <w:rPr>
          <w:sz w:val="20"/>
          <w:szCs w:val="20"/>
          <w:color w:val="auto"/>
        </w:rPr>
      </w:pPr>
    </w:p>
    <w:p>
      <w:pPr>
        <w:spacing w:after="0" w:line="294" w:lineRule="auto"/>
        <w:rPr>
          <w:sz w:val="20"/>
          <w:szCs w:val="20"/>
          <w:color w:val="auto"/>
        </w:rPr>
      </w:pPr>
      <w:r>
        <w:rPr>
          <w:rFonts w:ascii="Arial" w:cs="Arial" w:eastAsia="Arial" w:hAnsi="Arial"/>
          <w:sz w:val="16"/>
          <w:szCs w:val="16"/>
          <w:color w:val="auto"/>
        </w:rPr>
        <w:t>We have an unfunded Supplemental Retirement Income Plan (the “Supplemental Plan”) that covers two current and certain former employees. Upon retirement, the Supplemental Plan provides for lifetime monthly payments in an amount equal to 65% of the participant’s final average compensation as defined in the Supplemental Plan, which amount is reduced by certain social security benefits to be received and other benefits provided by us. The Supplemental Plan also provides a death benefit that is divided into (a) prior to retirement death, which pays the beneficiary 50% of final average annual compensation for a period of 120 months, and (b) post-retirement death, which pays the beneficiary 200% of final average compensation in a single payment. We own life insurance</w:t>
      </w:r>
    </w:p>
    <w:p>
      <w:pPr>
        <w:spacing w:after="0" w:line="1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- 35</w:t>
      </w:r>
    </w:p>
    <w:p>
      <w:pPr>
        <w:sectPr>
          <w:pgSz w:w="11900" w:h="16838" w:orient="portrait"/>
          <w:cols w:equalWidth="0" w:num="1">
            <w:col w:w="11420"/>
          </w:cols>
          <w:pgMar w:left="240" w:top="459" w:right="23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65" w:lineRule="exact"/>
        <w:rPr>
          <w:sz w:val="20"/>
          <w:szCs w:val="20"/>
          <w:color w:val="auto"/>
        </w:rPr>
      </w:pPr>
    </w:p>
    <w:p>
      <w:pPr>
        <w:ind w:right="80"/>
        <w:spacing w:after="0" w:line="298" w:lineRule="auto"/>
        <w:rPr>
          <w:sz w:val="20"/>
          <w:szCs w:val="20"/>
          <w:color w:val="auto"/>
        </w:rPr>
      </w:pPr>
      <w:r>
        <w:rPr>
          <w:rFonts w:ascii="Arial" w:cs="Arial" w:eastAsia="Arial" w:hAnsi="Arial"/>
          <w:sz w:val="16"/>
          <w:szCs w:val="16"/>
          <w:color w:val="auto"/>
        </w:rPr>
        <w:t>policies with a current net death benefit totaling approximately $6,400 on these employees and expect to substantially fund death benefits with the proceeds from the policies. Funding for the remaining cash flows are expected to be provided through operations. There are no benefits payable as a result of a termination of employment for any reason other than death or retirement, other than a change of control provision which provides for the immediate vesting and payment of the retirement benefit under the Supplemental Plan in the event of an employment termination resulting from a change of control.</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color w:val="auto"/>
        </w:rPr>
        <w:t>Summarized information for the plan measured as of the beginning of the respective year is as follows:</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5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40" w:type="dxa"/>
            <w:vAlign w:val="bottom"/>
            <w:gridSpan w:val="3"/>
          </w:tcPr>
          <w:p>
            <w:pPr>
              <w:spacing w:after="0"/>
              <w:rPr>
                <w:sz w:val="20"/>
                <w:szCs w:val="20"/>
                <w:color w:val="auto"/>
              </w:rPr>
            </w:pPr>
            <w:r>
              <w:rPr>
                <w:rFonts w:ascii="Arial" w:cs="Arial" w:eastAsia="Arial" w:hAnsi="Arial"/>
                <w:sz w:val="14"/>
                <w:szCs w:val="14"/>
                <w:b w:val="1"/>
                <w:bCs w:val="1"/>
                <w:color w:val="auto"/>
              </w:rPr>
              <w:t>As Restated</w:t>
            </w:r>
          </w:p>
        </w:tc>
      </w:tr>
      <w:tr>
        <w:trPr>
          <w:trHeight w:val="161"/>
        </w:trPr>
        <w:tc>
          <w:tcPr>
            <w:tcW w:w="20" w:type="dxa"/>
            <w:vAlign w:val="bottom"/>
          </w:tcPr>
          <w:p>
            <w:pPr>
              <w:spacing w:after="0"/>
              <w:rPr>
                <w:sz w:val="14"/>
                <w:szCs w:val="14"/>
                <w:color w:val="auto"/>
              </w:rPr>
            </w:pPr>
          </w:p>
        </w:tc>
        <w:tc>
          <w:tcPr>
            <w:tcW w:w="75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jc w:val="right"/>
              <w:ind w:right="74"/>
              <w:spacing w:after="0"/>
              <w:rPr>
                <w:sz w:val="20"/>
                <w:szCs w:val="20"/>
                <w:color w:val="auto"/>
              </w:rPr>
            </w:pPr>
            <w:r>
              <w:rPr>
                <w:rFonts w:ascii="Arial" w:cs="Arial" w:eastAsia="Arial" w:hAnsi="Arial"/>
                <w:sz w:val="14"/>
                <w:szCs w:val="14"/>
                <w:b w:val="1"/>
                <w:bCs w:val="1"/>
                <w:color w:val="auto"/>
                <w:w w:val="96"/>
              </w:rPr>
              <w:t>2006</w:t>
            </w:r>
          </w:p>
        </w:tc>
        <w:tc>
          <w:tcPr>
            <w:tcW w:w="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134"/>
              <w:spacing w:after="0"/>
              <w:rPr>
                <w:sz w:val="20"/>
                <w:szCs w:val="20"/>
                <w:color w:val="auto"/>
              </w:rPr>
            </w:pPr>
            <w:r>
              <w:rPr>
                <w:rFonts w:ascii="Arial" w:cs="Arial" w:eastAsia="Arial" w:hAnsi="Arial"/>
                <w:sz w:val="14"/>
                <w:szCs w:val="14"/>
                <w:b w:val="1"/>
                <w:bCs w:val="1"/>
                <w:color w:val="auto"/>
              </w:rPr>
              <w:t>2005</w:t>
            </w:r>
          </w:p>
        </w:tc>
        <w:tc>
          <w:tcPr>
            <w:tcW w:w="140" w:type="dxa"/>
            <w:vAlign w:val="bottom"/>
          </w:tcPr>
          <w:p>
            <w:pPr>
              <w:spacing w:after="0"/>
              <w:rPr>
                <w:sz w:val="14"/>
                <w:szCs w:val="14"/>
                <w:color w:val="auto"/>
              </w:rPr>
            </w:pPr>
          </w:p>
        </w:tc>
      </w:tr>
      <w:tr>
        <w:trPr>
          <w:trHeight w:val="210"/>
        </w:trPr>
        <w:tc>
          <w:tcPr>
            <w:tcW w:w="20" w:type="dxa"/>
            <w:vAlign w:val="bottom"/>
          </w:tcPr>
          <w:p>
            <w:pPr>
              <w:spacing w:after="0"/>
              <w:rPr>
                <w:sz w:val="18"/>
                <w:szCs w:val="18"/>
                <w:color w:val="auto"/>
              </w:rPr>
            </w:pPr>
          </w:p>
        </w:tc>
        <w:tc>
          <w:tcPr>
            <w:tcW w:w="75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Change in Benefit Obligation:</w:t>
            </w: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580" w:type="dxa"/>
            <w:vAlign w:val="bottom"/>
          </w:tcPr>
          <w:p>
            <w:pPr>
              <w:spacing w:after="0"/>
              <w:rPr>
                <w:sz w:val="20"/>
                <w:szCs w:val="20"/>
                <w:color w:val="auto"/>
              </w:rPr>
            </w:pPr>
            <w:r>
              <w:rPr>
                <w:rFonts w:ascii="Arial" w:cs="Arial" w:eastAsia="Arial" w:hAnsi="Arial"/>
                <w:sz w:val="18"/>
                <w:szCs w:val="18"/>
                <w:color w:val="auto"/>
              </w:rPr>
              <w:t>Projected benefit obligation at beginning of year</w:t>
            </w: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w w:val="83"/>
              </w:rPr>
              <w:t>12,036</w:t>
            </w:r>
          </w:p>
        </w:tc>
        <w:tc>
          <w:tcPr>
            <w:tcW w:w="300" w:type="dxa"/>
            <w:vAlign w:val="bottom"/>
          </w:tcPr>
          <w:p>
            <w:pPr>
              <w:spacing w:after="0"/>
              <w:rPr>
                <w:sz w:val="18"/>
                <w:szCs w:val="18"/>
                <w:color w:val="auto"/>
              </w:rPr>
            </w:pPr>
          </w:p>
        </w:tc>
        <w:tc>
          <w:tcPr>
            <w:tcW w:w="30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w w:val="98"/>
              </w:rPr>
              <w:t>12,043</w:t>
            </w:r>
          </w:p>
        </w:tc>
      </w:tr>
      <w:tr>
        <w:trPr>
          <w:trHeight w:val="216"/>
        </w:trPr>
        <w:tc>
          <w:tcPr>
            <w:tcW w:w="20" w:type="dxa"/>
            <w:vAlign w:val="bottom"/>
          </w:tcPr>
          <w:p>
            <w:pPr>
              <w:spacing w:after="0"/>
              <w:rPr>
                <w:sz w:val="18"/>
                <w:szCs w:val="18"/>
                <w:color w:val="auto"/>
              </w:rPr>
            </w:pPr>
          </w:p>
        </w:tc>
        <w:tc>
          <w:tcPr>
            <w:tcW w:w="75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Service cost</w:t>
            </w: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88</w:t>
            </w:r>
          </w:p>
        </w:tc>
      </w:tr>
      <w:tr>
        <w:trPr>
          <w:trHeight w:val="216"/>
        </w:trPr>
        <w:tc>
          <w:tcPr>
            <w:tcW w:w="20" w:type="dxa"/>
            <w:vAlign w:val="bottom"/>
          </w:tcPr>
          <w:p>
            <w:pPr>
              <w:spacing w:after="0"/>
              <w:rPr>
                <w:sz w:val="18"/>
                <w:szCs w:val="18"/>
                <w:color w:val="auto"/>
              </w:rPr>
            </w:pPr>
          </w:p>
        </w:tc>
        <w:tc>
          <w:tcPr>
            <w:tcW w:w="7580" w:type="dxa"/>
            <w:vAlign w:val="bottom"/>
          </w:tcPr>
          <w:p>
            <w:pPr>
              <w:ind w:left="420"/>
              <w:spacing w:after="0"/>
              <w:rPr>
                <w:sz w:val="20"/>
                <w:szCs w:val="20"/>
                <w:color w:val="auto"/>
              </w:rPr>
            </w:pPr>
            <w:r>
              <w:rPr>
                <w:rFonts w:ascii="Arial" w:cs="Arial" w:eastAsia="Arial" w:hAnsi="Arial"/>
                <w:sz w:val="18"/>
                <w:szCs w:val="18"/>
                <w:color w:val="auto"/>
              </w:rPr>
              <w:t>Interest cost</w:t>
            </w: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631</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661</w:t>
            </w:r>
          </w:p>
        </w:tc>
      </w:tr>
      <w:tr>
        <w:trPr>
          <w:trHeight w:val="216"/>
        </w:trPr>
        <w:tc>
          <w:tcPr>
            <w:tcW w:w="20" w:type="dxa"/>
            <w:vAlign w:val="bottom"/>
          </w:tcPr>
          <w:p>
            <w:pPr>
              <w:spacing w:after="0"/>
              <w:rPr>
                <w:sz w:val="18"/>
                <w:szCs w:val="18"/>
                <w:color w:val="auto"/>
              </w:rPr>
            </w:pPr>
          </w:p>
        </w:tc>
        <w:tc>
          <w:tcPr>
            <w:tcW w:w="75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Actuarial losses</w:t>
            </w: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1,101</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258</w:t>
            </w:r>
          </w:p>
        </w:tc>
      </w:tr>
      <w:tr>
        <w:trPr>
          <w:trHeight w:val="223"/>
        </w:trPr>
        <w:tc>
          <w:tcPr>
            <w:tcW w:w="20" w:type="dxa"/>
            <w:vAlign w:val="bottom"/>
          </w:tcPr>
          <w:p>
            <w:pPr>
              <w:spacing w:after="0"/>
              <w:rPr>
                <w:sz w:val="19"/>
                <w:szCs w:val="19"/>
                <w:color w:val="auto"/>
              </w:rPr>
            </w:pPr>
          </w:p>
        </w:tc>
        <w:tc>
          <w:tcPr>
            <w:tcW w:w="7580" w:type="dxa"/>
            <w:vAlign w:val="bottom"/>
          </w:tcPr>
          <w:p>
            <w:pPr>
              <w:ind w:left="420"/>
              <w:spacing w:after="0"/>
              <w:rPr>
                <w:sz w:val="20"/>
                <w:szCs w:val="20"/>
                <w:color w:val="auto"/>
              </w:rPr>
            </w:pPr>
            <w:r>
              <w:rPr>
                <w:rFonts w:ascii="Arial" w:cs="Arial" w:eastAsia="Arial" w:hAnsi="Arial"/>
                <w:sz w:val="18"/>
                <w:szCs w:val="18"/>
                <w:color w:val="auto"/>
              </w:rPr>
              <w:t>Benefits paid</w:t>
            </w: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gridSpan w:val="2"/>
          </w:tcPr>
          <w:p>
            <w:pPr>
              <w:jc w:val="right"/>
              <w:ind w:right="240"/>
              <w:spacing w:after="0"/>
              <w:rPr>
                <w:sz w:val="20"/>
                <w:szCs w:val="20"/>
                <w:color w:val="auto"/>
              </w:rPr>
            </w:pPr>
            <w:r>
              <w:rPr>
                <w:rFonts w:ascii="Arial" w:cs="Arial" w:eastAsia="Arial" w:hAnsi="Arial"/>
                <w:sz w:val="18"/>
                <w:szCs w:val="18"/>
                <w:color w:val="auto"/>
                <w:w w:val="91"/>
              </w:rPr>
              <w:t>(1,038)</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(1,014)</w:t>
            </w:r>
          </w:p>
        </w:tc>
      </w:tr>
      <w:tr>
        <w:trPr>
          <w:trHeight w:val="216"/>
        </w:trPr>
        <w:tc>
          <w:tcPr>
            <w:tcW w:w="20" w:type="dxa"/>
            <w:vAlign w:val="bottom"/>
          </w:tcPr>
          <w:p>
            <w:pPr>
              <w:spacing w:after="0"/>
              <w:rPr>
                <w:sz w:val="18"/>
                <w:szCs w:val="18"/>
                <w:color w:val="auto"/>
              </w:rPr>
            </w:pPr>
          </w:p>
        </w:tc>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Projected benefit obligation at end of year</w:t>
            </w: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3"/>
              </w:rPr>
              <w:t>12,819</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12,036</w:t>
            </w:r>
          </w:p>
        </w:tc>
        <w:tc>
          <w:tcPr>
            <w:tcW w:w="140" w:type="dxa"/>
            <w:vAlign w:val="bottom"/>
            <w:shd w:val="clear" w:color="auto" w:fill="CCEEFF"/>
          </w:tcPr>
          <w:p>
            <w:pPr>
              <w:spacing w:after="0"/>
              <w:rPr>
                <w:sz w:val="18"/>
                <w:szCs w:val="18"/>
                <w:color w:val="auto"/>
              </w:rPr>
            </w:pPr>
          </w:p>
        </w:tc>
      </w:tr>
      <w:tr>
        <w:trPr>
          <w:trHeight w:val="322"/>
        </w:trPr>
        <w:tc>
          <w:tcPr>
            <w:tcW w:w="7600" w:type="dxa"/>
            <w:vAlign w:val="bottom"/>
            <w:gridSpan w:val="2"/>
          </w:tcPr>
          <w:p>
            <w:pPr>
              <w:spacing w:after="0"/>
              <w:rPr>
                <w:sz w:val="20"/>
                <w:szCs w:val="20"/>
                <w:color w:val="auto"/>
              </w:rPr>
            </w:pPr>
            <w:r>
              <w:rPr>
                <w:rFonts w:ascii="Arial" w:cs="Arial" w:eastAsia="Arial" w:hAnsi="Arial"/>
                <w:sz w:val="18"/>
                <w:szCs w:val="18"/>
                <w:color w:val="auto"/>
              </w:rPr>
              <w:t>Unrecognized transition obligation</w:t>
            </w: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gridSpan w:val="2"/>
          </w:tcPr>
          <w:p>
            <w:pPr>
              <w:jc w:val="right"/>
              <w:ind w:right="240"/>
              <w:spacing w:after="0"/>
              <w:rPr>
                <w:sz w:val="20"/>
                <w:szCs w:val="20"/>
                <w:color w:val="auto"/>
              </w:rPr>
            </w:pPr>
            <w:r>
              <w:rPr>
                <w:rFonts w:ascii="Arial" w:cs="Arial" w:eastAsia="Arial" w:hAnsi="Arial"/>
                <w:sz w:val="18"/>
                <w:szCs w:val="18"/>
                <w:color w:val="auto"/>
              </w:rPr>
              <w:t>(511)</w:t>
            </w: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(553)</w:t>
            </w:r>
          </w:p>
        </w:tc>
      </w:tr>
      <w:tr>
        <w:trPr>
          <w:trHeight w:val="218"/>
        </w:trPr>
        <w:tc>
          <w:tcPr>
            <w:tcW w:w="20" w:type="dxa"/>
            <w:vAlign w:val="bottom"/>
          </w:tcPr>
          <w:p>
            <w:pPr>
              <w:spacing w:after="0"/>
              <w:rPr>
                <w:sz w:val="18"/>
                <w:szCs w:val="18"/>
                <w:color w:val="auto"/>
              </w:rPr>
            </w:pPr>
          </w:p>
        </w:tc>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Unrecognized actuarial loss</w:t>
            </w: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1"/>
              </w:rPr>
              <w:t>(1,432)</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(331)</w:t>
            </w:r>
          </w:p>
        </w:tc>
      </w:tr>
      <w:tr>
        <w:trPr>
          <w:trHeight w:val="216"/>
        </w:trPr>
        <w:tc>
          <w:tcPr>
            <w:tcW w:w="20" w:type="dxa"/>
            <w:vAlign w:val="bottom"/>
          </w:tcPr>
          <w:p>
            <w:pPr>
              <w:spacing w:after="0"/>
              <w:rPr>
                <w:sz w:val="18"/>
                <w:szCs w:val="18"/>
                <w:color w:val="auto"/>
              </w:rPr>
            </w:pPr>
          </w:p>
        </w:tc>
        <w:tc>
          <w:tcPr>
            <w:tcW w:w="7580" w:type="dxa"/>
            <w:vAlign w:val="bottom"/>
          </w:tcPr>
          <w:p>
            <w:pPr>
              <w:spacing w:after="0"/>
              <w:rPr>
                <w:sz w:val="20"/>
                <w:szCs w:val="20"/>
                <w:color w:val="auto"/>
              </w:rPr>
            </w:pPr>
            <w:r>
              <w:rPr>
                <w:rFonts w:ascii="Arial" w:cs="Arial" w:eastAsia="Arial" w:hAnsi="Arial"/>
                <w:sz w:val="18"/>
                <w:szCs w:val="18"/>
                <w:color w:val="auto"/>
              </w:rPr>
              <w:t>Additional minimum liability recorded as intangible asset</w:t>
            </w: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511</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142</w:t>
            </w:r>
          </w:p>
        </w:tc>
      </w:tr>
      <w:tr>
        <w:trPr>
          <w:trHeight w:val="216"/>
        </w:trPr>
        <w:tc>
          <w:tcPr>
            <w:tcW w:w="20" w:type="dxa"/>
            <w:vAlign w:val="bottom"/>
          </w:tcPr>
          <w:p>
            <w:pPr>
              <w:spacing w:after="0"/>
              <w:rPr>
                <w:sz w:val="18"/>
                <w:szCs w:val="18"/>
                <w:color w:val="auto"/>
              </w:rPr>
            </w:pPr>
          </w:p>
        </w:tc>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Additional minimum liability recorded in accumulated other comprehensive income</w:t>
            </w: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343</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r>
      <w:tr>
        <w:trPr>
          <w:trHeight w:val="222"/>
        </w:trPr>
        <w:tc>
          <w:tcPr>
            <w:tcW w:w="7600" w:type="dxa"/>
            <w:vAlign w:val="bottom"/>
            <w:gridSpan w:val="2"/>
          </w:tcPr>
          <w:p>
            <w:pPr>
              <w:spacing w:after="0"/>
              <w:rPr>
                <w:sz w:val="20"/>
                <w:szCs w:val="20"/>
                <w:color w:val="auto"/>
              </w:rPr>
            </w:pPr>
            <w:r>
              <w:rPr>
                <w:rFonts w:ascii="Arial" w:cs="Arial" w:eastAsia="Arial" w:hAnsi="Arial"/>
                <w:sz w:val="18"/>
                <w:szCs w:val="18"/>
                <w:color w:val="auto"/>
              </w:rPr>
              <w:t>Net amount recorded in post employment benefit obligations (accumulated benefit obligation)</w:t>
            </w: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w w:val="83"/>
              </w:rPr>
              <w:t>11,730</w:t>
            </w:r>
          </w:p>
        </w:tc>
        <w:tc>
          <w:tcPr>
            <w:tcW w:w="300" w:type="dxa"/>
            <w:vAlign w:val="bottom"/>
          </w:tcPr>
          <w:p>
            <w:pPr>
              <w:spacing w:after="0"/>
              <w:rPr>
                <w:sz w:val="19"/>
                <w:szCs w:val="19"/>
                <w:color w:val="auto"/>
              </w:rPr>
            </w:pPr>
          </w:p>
        </w:tc>
        <w:tc>
          <w:tcPr>
            <w:tcW w:w="30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w w:val="98"/>
              </w:rPr>
              <w:t>11,294</w:t>
            </w:r>
          </w:p>
        </w:tc>
      </w:tr>
      <w:tr>
        <w:trPr>
          <w:trHeight w:val="20"/>
        </w:trPr>
        <w:tc>
          <w:tcPr>
            <w:tcW w:w="20" w:type="dxa"/>
            <w:vAlign w:val="bottom"/>
          </w:tcPr>
          <w:p>
            <w:pPr>
              <w:spacing w:after="0" w:line="20" w:lineRule="exact"/>
              <w:rPr>
                <w:sz w:val="1"/>
                <w:szCs w:val="1"/>
                <w:color w:val="auto"/>
              </w:rPr>
            </w:pPr>
          </w:p>
        </w:tc>
        <w:tc>
          <w:tcPr>
            <w:tcW w:w="75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360"/>
        </w:trPr>
        <w:tc>
          <w:tcPr>
            <w:tcW w:w="20" w:type="dxa"/>
            <w:vAlign w:val="bottom"/>
          </w:tcPr>
          <w:p>
            <w:pPr>
              <w:spacing w:after="0"/>
              <w:rPr>
                <w:sz w:val="24"/>
                <w:szCs w:val="24"/>
                <w:color w:val="auto"/>
              </w:rPr>
            </w:pPr>
          </w:p>
        </w:tc>
        <w:tc>
          <w:tcPr>
            <w:tcW w:w="75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jc w:val="right"/>
              <w:ind w:right="34"/>
              <w:spacing w:after="0"/>
              <w:rPr>
                <w:sz w:val="20"/>
                <w:szCs w:val="20"/>
                <w:color w:val="auto"/>
              </w:rPr>
            </w:pPr>
            <w:r>
              <w:rPr>
                <w:rFonts w:ascii="Arial" w:cs="Arial" w:eastAsia="Arial" w:hAnsi="Arial"/>
                <w:sz w:val="14"/>
                <w:szCs w:val="14"/>
                <w:b w:val="1"/>
                <w:bCs w:val="1"/>
                <w:color w:val="auto"/>
                <w:w w:val="83"/>
              </w:rPr>
              <w:t>2006</w:t>
            </w:r>
          </w:p>
        </w:tc>
        <w:tc>
          <w:tcPr>
            <w:tcW w:w="46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jc w:val="right"/>
              <w:ind w:right="74"/>
              <w:spacing w:after="0"/>
              <w:rPr>
                <w:sz w:val="20"/>
                <w:szCs w:val="20"/>
                <w:color w:val="auto"/>
              </w:rPr>
            </w:pPr>
            <w:r>
              <w:rPr>
                <w:rFonts w:ascii="Arial" w:cs="Arial" w:eastAsia="Arial" w:hAnsi="Arial"/>
                <w:sz w:val="14"/>
                <w:szCs w:val="14"/>
                <w:b w:val="1"/>
                <w:bCs w:val="1"/>
                <w:color w:val="auto"/>
                <w:w w:val="96"/>
              </w:rPr>
              <w:t>2005</w:t>
            </w: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jc w:val="right"/>
              <w:ind w:right="134"/>
              <w:spacing w:after="0"/>
              <w:rPr>
                <w:sz w:val="20"/>
                <w:szCs w:val="20"/>
                <w:color w:val="auto"/>
              </w:rPr>
            </w:pPr>
            <w:r>
              <w:rPr>
                <w:rFonts w:ascii="Arial" w:cs="Arial" w:eastAsia="Arial" w:hAnsi="Arial"/>
                <w:sz w:val="14"/>
                <w:szCs w:val="14"/>
                <w:b w:val="1"/>
                <w:bCs w:val="1"/>
                <w:color w:val="auto"/>
              </w:rPr>
              <w:t>2004</w:t>
            </w:r>
          </w:p>
        </w:tc>
        <w:tc>
          <w:tcPr>
            <w:tcW w:w="140" w:type="dxa"/>
            <w:vAlign w:val="bottom"/>
          </w:tcPr>
          <w:p>
            <w:pPr>
              <w:spacing w:after="0"/>
              <w:rPr>
                <w:sz w:val="24"/>
                <w:szCs w:val="24"/>
                <w:color w:val="auto"/>
              </w:rPr>
            </w:pPr>
          </w:p>
        </w:tc>
      </w:tr>
      <w:tr>
        <w:trPr>
          <w:trHeight w:val="210"/>
        </w:trPr>
        <w:tc>
          <w:tcPr>
            <w:tcW w:w="20" w:type="dxa"/>
            <w:vAlign w:val="bottom"/>
          </w:tcPr>
          <w:p>
            <w:pPr>
              <w:spacing w:after="0"/>
              <w:rPr>
                <w:sz w:val="18"/>
                <w:szCs w:val="18"/>
                <w:color w:val="auto"/>
              </w:rPr>
            </w:pPr>
          </w:p>
        </w:tc>
        <w:tc>
          <w:tcPr>
            <w:tcW w:w="75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Components of Net Periodic Pension Cost:</w:t>
            </w: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580" w:type="dxa"/>
            <w:vAlign w:val="bottom"/>
          </w:tcPr>
          <w:p>
            <w:pPr>
              <w:spacing w:after="0"/>
              <w:rPr>
                <w:sz w:val="20"/>
                <w:szCs w:val="20"/>
                <w:color w:val="auto"/>
              </w:rPr>
            </w:pPr>
            <w:r>
              <w:rPr>
                <w:rFonts w:ascii="Arial" w:cs="Arial" w:eastAsia="Arial" w:hAnsi="Arial"/>
                <w:sz w:val="18"/>
                <w:szCs w:val="18"/>
                <w:color w:val="auto"/>
              </w:rPr>
              <w:t>Service cost</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460"/>
              <w:spacing w:after="0"/>
              <w:rPr>
                <w:sz w:val="20"/>
                <w:szCs w:val="20"/>
                <w:color w:val="auto"/>
              </w:rPr>
            </w:pPr>
            <w:r>
              <w:rPr>
                <w:rFonts w:ascii="Arial" w:cs="Arial" w:eastAsia="Arial" w:hAnsi="Arial"/>
                <w:sz w:val="18"/>
                <w:szCs w:val="18"/>
                <w:color w:val="auto"/>
              </w:rPr>
              <w:t>89</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88</w:t>
            </w:r>
          </w:p>
        </w:tc>
        <w:tc>
          <w:tcPr>
            <w:tcW w:w="300" w:type="dxa"/>
            <w:vAlign w:val="bottom"/>
          </w:tcPr>
          <w:p>
            <w:pPr>
              <w:spacing w:after="0"/>
              <w:rPr>
                <w:sz w:val="18"/>
                <w:szCs w:val="18"/>
                <w:color w:val="auto"/>
              </w:rPr>
            </w:pPr>
          </w:p>
        </w:tc>
        <w:tc>
          <w:tcPr>
            <w:tcW w:w="30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80</w:t>
            </w:r>
          </w:p>
        </w:tc>
      </w:tr>
      <w:tr>
        <w:trPr>
          <w:trHeight w:val="216"/>
        </w:trPr>
        <w:tc>
          <w:tcPr>
            <w:tcW w:w="20" w:type="dxa"/>
            <w:vAlign w:val="bottom"/>
          </w:tcPr>
          <w:p>
            <w:pPr>
              <w:spacing w:after="0"/>
              <w:rPr>
                <w:sz w:val="18"/>
                <w:szCs w:val="18"/>
                <w:color w:val="auto"/>
              </w:rPr>
            </w:pPr>
          </w:p>
        </w:tc>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Interest cost</w:t>
            </w: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631</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661</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699</w:t>
            </w:r>
          </w:p>
        </w:tc>
      </w:tr>
      <w:tr>
        <w:trPr>
          <w:trHeight w:val="216"/>
        </w:trPr>
        <w:tc>
          <w:tcPr>
            <w:tcW w:w="20" w:type="dxa"/>
            <w:vAlign w:val="bottom"/>
          </w:tcPr>
          <w:p>
            <w:pPr>
              <w:spacing w:after="0"/>
              <w:rPr>
                <w:sz w:val="18"/>
                <w:szCs w:val="18"/>
                <w:color w:val="auto"/>
              </w:rPr>
            </w:pPr>
          </w:p>
        </w:tc>
        <w:tc>
          <w:tcPr>
            <w:tcW w:w="7580" w:type="dxa"/>
            <w:vAlign w:val="bottom"/>
          </w:tcPr>
          <w:p>
            <w:pPr>
              <w:spacing w:after="0"/>
              <w:rPr>
                <w:sz w:val="20"/>
                <w:szCs w:val="20"/>
                <w:color w:val="auto"/>
              </w:rPr>
            </w:pPr>
            <w:r>
              <w:rPr>
                <w:rFonts w:ascii="Arial" w:cs="Arial" w:eastAsia="Arial" w:hAnsi="Arial"/>
                <w:sz w:val="18"/>
                <w:szCs w:val="18"/>
                <w:color w:val="auto"/>
              </w:rPr>
              <w:t>Amortization of transition obligation</w:t>
            </w: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460"/>
              <w:spacing w:after="0"/>
              <w:rPr>
                <w:sz w:val="20"/>
                <w:szCs w:val="20"/>
                <w:color w:val="auto"/>
              </w:rPr>
            </w:pPr>
            <w:r>
              <w:rPr>
                <w:rFonts w:ascii="Arial" w:cs="Arial" w:eastAsia="Arial" w:hAnsi="Arial"/>
                <w:sz w:val="18"/>
                <w:szCs w:val="18"/>
                <w:color w:val="auto"/>
              </w:rPr>
              <w:t>42</w:t>
            </w: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42</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42</w:t>
            </w:r>
          </w:p>
        </w:tc>
      </w:tr>
      <w:tr>
        <w:trPr>
          <w:trHeight w:val="216"/>
        </w:trPr>
        <w:tc>
          <w:tcPr>
            <w:tcW w:w="20" w:type="dxa"/>
            <w:vAlign w:val="bottom"/>
          </w:tcPr>
          <w:p>
            <w:pPr>
              <w:spacing w:after="0"/>
              <w:rPr>
                <w:sz w:val="18"/>
                <w:szCs w:val="18"/>
                <w:color w:val="auto"/>
              </w:rPr>
            </w:pPr>
          </w:p>
        </w:tc>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Amortization of unrecognized actuarial loss</w:t>
            </w:r>
          </w:p>
        </w:tc>
        <w:tc>
          <w:tcPr>
            <w:tcW w:w="9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r>
      <w:tr>
        <w:trPr>
          <w:trHeight w:val="222"/>
        </w:trPr>
        <w:tc>
          <w:tcPr>
            <w:tcW w:w="7600" w:type="dxa"/>
            <w:vAlign w:val="bottom"/>
            <w:gridSpan w:val="2"/>
          </w:tcPr>
          <w:p>
            <w:pPr>
              <w:spacing w:after="0"/>
              <w:rPr>
                <w:sz w:val="20"/>
                <w:szCs w:val="20"/>
                <w:color w:val="auto"/>
              </w:rPr>
            </w:pPr>
            <w:r>
              <w:rPr>
                <w:rFonts w:ascii="Arial" w:cs="Arial" w:eastAsia="Arial" w:hAnsi="Arial"/>
                <w:sz w:val="18"/>
                <w:szCs w:val="18"/>
                <w:color w:val="auto"/>
              </w:rPr>
              <w:t>Net periodic pension cost</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460"/>
              <w:spacing w:after="0"/>
              <w:rPr>
                <w:sz w:val="20"/>
                <w:szCs w:val="20"/>
                <w:color w:val="auto"/>
              </w:rPr>
            </w:pPr>
            <w:r>
              <w:rPr>
                <w:rFonts w:ascii="Arial" w:cs="Arial" w:eastAsia="Arial" w:hAnsi="Arial"/>
                <w:sz w:val="18"/>
                <w:szCs w:val="18"/>
                <w:color w:val="auto"/>
              </w:rPr>
              <w:t>762</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791</w:t>
            </w:r>
          </w:p>
        </w:tc>
        <w:tc>
          <w:tcPr>
            <w:tcW w:w="300" w:type="dxa"/>
            <w:vAlign w:val="bottom"/>
          </w:tcPr>
          <w:p>
            <w:pPr>
              <w:spacing w:after="0"/>
              <w:rPr>
                <w:sz w:val="19"/>
                <w:szCs w:val="19"/>
                <w:color w:val="auto"/>
              </w:rPr>
            </w:pPr>
          </w:p>
        </w:tc>
        <w:tc>
          <w:tcPr>
            <w:tcW w:w="30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821</w:t>
            </w:r>
          </w:p>
        </w:tc>
      </w:tr>
      <w:tr>
        <w:trPr>
          <w:trHeight w:val="20"/>
        </w:trPr>
        <w:tc>
          <w:tcPr>
            <w:tcW w:w="20" w:type="dxa"/>
            <w:vAlign w:val="bottom"/>
          </w:tcPr>
          <w:p>
            <w:pPr>
              <w:spacing w:after="0" w:line="20" w:lineRule="exact"/>
              <w:rPr>
                <w:sz w:val="1"/>
                <w:szCs w:val="1"/>
                <w:color w:val="auto"/>
              </w:rPr>
            </w:pPr>
          </w:p>
        </w:tc>
        <w:tc>
          <w:tcPr>
            <w:tcW w:w="75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75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Assumptions used to determine net periodic pension cost:</w:t>
            </w: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580" w:type="dxa"/>
            <w:vAlign w:val="bottom"/>
          </w:tcPr>
          <w:p>
            <w:pPr>
              <w:spacing w:after="0"/>
              <w:rPr>
                <w:sz w:val="20"/>
                <w:szCs w:val="20"/>
                <w:color w:val="auto"/>
              </w:rPr>
            </w:pPr>
            <w:r>
              <w:rPr>
                <w:rFonts w:ascii="Arial" w:cs="Arial" w:eastAsia="Arial" w:hAnsi="Arial"/>
                <w:sz w:val="18"/>
                <w:szCs w:val="18"/>
                <w:color w:val="auto"/>
              </w:rPr>
              <w:t>Discount rate</w:t>
            </w: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320"/>
              <w:spacing w:after="0"/>
              <w:rPr>
                <w:sz w:val="20"/>
                <w:szCs w:val="20"/>
                <w:color w:val="auto"/>
              </w:rPr>
            </w:pPr>
            <w:r>
              <w:rPr>
                <w:rFonts w:ascii="Arial" w:cs="Arial" w:eastAsia="Arial" w:hAnsi="Arial"/>
                <w:sz w:val="18"/>
                <w:szCs w:val="18"/>
                <w:color w:val="auto"/>
              </w:rPr>
              <w:t>5.75%</w:t>
            </w:r>
          </w:p>
        </w:tc>
        <w:tc>
          <w:tcPr>
            <w:tcW w:w="10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5.50%</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5.50%</w:t>
            </w:r>
          </w:p>
        </w:tc>
      </w:tr>
      <w:tr>
        <w:trPr>
          <w:trHeight w:val="216"/>
        </w:trPr>
        <w:tc>
          <w:tcPr>
            <w:tcW w:w="20" w:type="dxa"/>
            <w:vAlign w:val="bottom"/>
          </w:tcPr>
          <w:p>
            <w:pPr>
              <w:spacing w:after="0"/>
              <w:rPr>
                <w:sz w:val="18"/>
                <w:szCs w:val="18"/>
                <w:color w:val="auto"/>
              </w:rPr>
            </w:pPr>
          </w:p>
        </w:tc>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Increase in future compensation levels</w:t>
            </w: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6.00%</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6.00%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6.00%</w:t>
            </w:r>
          </w:p>
        </w:tc>
      </w:tr>
      <w:tr>
        <w:trPr>
          <w:trHeight w:val="322"/>
        </w:trPr>
        <w:tc>
          <w:tcPr>
            <w:tcW w:w="7600" w:type="dxa"/>
            <w:vAlign w:val="bottom"/>
            <w:gridSpan w:val="2"/>
          </w:tcPr>
          <w:p>
            <w:pPr>
              <w:spacing w:after="0"/>
              <w:rPr>
                <w:sz w:val="20"/>
                <w:szCs w:val="20"/>
                <w:color w:val="auto"/>
              </w:rPr>
            </w:pPr>
            <w:r>
              <w:rPr>
                <w:rFonts w:ascii="Arial" w:cs="Arial" w:eastAsia="Arial" w:hAnsi="Arial"/>
                <w:sz w:val="18"/>
                <w:szCs w:val="18"/>
                <w:b w:val="1"/>
                <w:bCs w:val="1"/>
                <w:color w:val="auto"/>
              </w:rPr>
              <w:t>Estimated Future Benefit Payments:</w:t>
            </w: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40" w:type="dxa"/>
            <w:vAlign w:val="bottom"/>
          </w:tcPr>
          <w:p>
            <w:pPr>
              <w:spacing w:after="0"/>
              <w:rPr>
                <w:sz w:val="24"/>
                <w:szCs w:val="24"/>
                <w:color w:val="auto"/>
              </w:rPr>
            </w:pPr>
          </w:p>
        </w:tc>
      </w:tr>
      <w:tr>
        <w:trPr>
          <w:trHeight w:val="218"/>
        </w:trPr>
        <w:tc>
          <w:tcPr>
            <w:tcW w:w="20" w:type="dxa"/>
            <w:vAlign w:val="bottom"/>
          </w:tcPr>
          <w:p>
            <w:pPr>
              <w:spacing w:after="0"/>
              <w:rPr>
                <w:sz w:val="18"/>
                <w:szCs w:val="18"/>
                <w:color w:val="auto"/>
              </w:rPr>
            </w:pPr>
          </w:p>
        </w:tc>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Fiscal 2007</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84"/>
              </w:rPr>
              <w:t>1,168</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580" w:type="dxa"/>
            <w:vAlign w:val="bottom"/>
          </w:tcPr>
          <w:p>
            <w:pPr>
              <w:spacing w:after="0"/>
              <w:rPr>
                <w:sz w:val="20"/>
                <w:szCs w:val="20"/>
                <w:color w:val="auto"/>
              </w:rPr>
            </w:pPr>
            <w:r>
              <w:rPr>
                <w:rFonts w:ascii="Arial" w:cs="Arial" w:eastAsia="Arial" w:hAnsi="Arial"/>
                <w:sz w:val="18"/>
                <w:szCs w:val="18"/>
                <w:color w:val="auto"/>
              </w:rPr>
              <w:t>Fiscal 2008</w:t>
            </w: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460"/>
              <w:spacing w:after="0"/>
              <w:rPr>
                <w:sz w:val="20"/>
                <w:szCs w:val="20"/>
                <w:color w:val="auto"/>
              </w:rPr>
            </w:pPr>
            <w:r>
              <w:rPr>
                <w:rFonts w:ascii="Arial" w:cs="Arial" w:eastAsia="Arial" w:hAnsi="Arial"/>
                <w:sz w:val="18"/>
                <w:szCs w:val="18"/>
                <w:color w:val="auto"/>
                <w:w w:val="84"/>
              </w:rPr>
              <w:t>1,154</w:t>
            </w: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Fiscal 2009</w:t>
            </w: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84"/>
              </w:rPr>
              <w:t>1,123</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580" w:type="dxa"/>
            <w:vAlign w:val="bottom"/>
          </w:tcPr>
          <w:p>
            <w:pPr>
              <w:spacing w:after="0"/>
              <w:rPr>
                <w:sz w:val="20"/>
                <w:szCs w:val="20"/>
                <w:color w:val="auto"/>
              </w:rPr>
            </w:pPr>
            <w:r>
              <w:rPr>
                <w:rFonts w:ascii="Arial" w:cs="Arial" w:eastAsia="Arial" w:hAnsi="Arial"/>
                <w:sz w:val="18"/>
                <w:szCs w:val="18"/>
                <w:color w:val="auto"/>
              </w:rPr>
              <w:t>Fiscal 2010</w:t>
            </w: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460"/>
              <w:spacing w:after="0"/>
              <w:rPr>
                <w:sz w:val="20"/>
                <w:szCs w:val="20"/>
                <w:color w:val="auto"/>
              </w:rPr>
            </w:pPr>
            <w:r>
              <w:rPr>
                <w:rFonts w:ascii="Arial" w:cs="Arial" w:eastAsia="Arial" w:hAnsi="Arial"/>
                <w:sz w:val="18"/>
                <w:szCs w:val="18"/>
                <w:color w:val="auto"/>
                <w:w w:val="84"/>
              </w:rPr>
              <w:t>1,088</w:t>
            </w: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Fiscal 2011</w:t>
            </w: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84"/>
              </w:rPr>
              <w:t>1,050</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r>
      <w:tr>
        <w:trPr>
          <w:trHeight w:val="222"/>
        </w:trPr>
        <w:tc>
          <w:tcPr>
            <w:tcW w:w="20" w:type="dxa"/>
            <w:vAlign w:val="bottom"/>
          </w:tcPr>
          <w:p>
            <w:pPr>
              <w:spacing w:after="0"/>
              <w:rPr>
                <w:sz w:val="19"/>
                <w:szCs w:val="19"/>
                <w:color w:val="auto"/>
              </w:rPr>
            </w:pPr>
          </w:p>
        </w:tc>
        <w:tc>
          <w:tcPr>
            <w:tcW w:w="7580" w:type="dxa"/>
            <w:vAlign w:val="bottom"/>
          </w:tcPr>
          <w:p>
            <w:pPr>
              <w:spacing w:after="0"/>
              <w:rPr>
                <w:sz w:val="20"/>
                <w:szCs w:val="20"/>
                <w:color w:val="auto"/>
              </w:rPr>
            </w:pPr>
            <w:r>
              <w:rPr>
                <w:rFonts w:ascii="Arial" w:cs="Arial" w:eastAsia="Arial" w:hAnsi="Arial"/>
                <w:sz w:val="18"/>
                <w:szCs w:val="18"/>
                <w:color w:val="auto"/>
              </w:rPr>
              <w:t>Fiscal 2012 through 2016</w:t>
            </w: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gridSpan w:val="2"/>
          </w:tcPr>
          <w:p>
            <w:pPr>
              <w:jc w:val="right"/>
              <w:ind w:right="460"/>
              <w:spacing w:after="0"/>
              <w:rPr>
                <w:sz w:val="20"/>
                <w:szCs w:val="20"/>
                <w:color w:val="auto"/>
              </w:rPr>
            </w:pPr>
            <w:r>
              <w:rPr>
                <w:rFonts w:ascii="Arial" w:cs="Arial" w:eastAsia="Arial" w:hAnsi="Arial"/>
                <w:sz w:val="18"/>
                <w:szCs w:val="18"/>
                <w:color w:val="auto"/>
                <w:w w:val="84"/>
              </w:rPr>
              <w:t>4,584</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40" w:type="dxa"/>
            <w:vAlign w:val="bottom"/>
          </w:tcPr>
          <w:p>
            <w:pPr>
              <w:spacing w:after="0"/>
              <w:rPr>
                <w:sz w:val="19"/>
                <w:szCs w:val="19"/>
                <w:color w:val="auto"/>
              </w:rPr>
            </w:pPr>
          </w:p>
        </w:tc>
      </w:tr>
    </w:tbl>
    <w:p>
      <w:pPr>
        <w:spacing w:after="0" w:line="147" w:lineRule="exact"/>
        <w:rPr>
          <w:sz w:val="20"/>
          <w:szCs w:val="20"/>
          <w:color w:val="auto"/>
        </w:rPr>
      </w:pPr>
    </w:p>
    <w:p>
      <w:pPr>
        <w:ind w:right="60"/>
        <w:spacing w:after="0" w:line="256" w:lineRule="auto"/>
        <w:rPr>
          <w:sz w:val="20"/>
          <w:szCs w:val="20"/>
          <w:color w:val="auto"/>
        </w:rPr>
      </w:pPr>
      <w:r>
        <w:rPr>
          <w:rFonts w:ascii="Arial" w:cs="Arial" w:eastAsia="Arial" w:hAnsi="Arial"/>
          <w:sz w:val="18"/>
          <w:szCs w:val="18"/>
          <w:color w:val="auto"/>
        </w:rPr>
        <w:t>We have an unfunded Deferred Compensation Plan that covers two current and certain former employees and provides for voluntary deferral of compensation. This plan has been frozen with no additional participants or benefits permitted. We recognized expense of $454, $458 and $466 in fiscal 2006, 2005 and 2004, respectively, associated with the plan. Our liability under this plan was $3,533 and $3,563 as of November 25, 2006, and November 26, 2005, respectively, and is reflected in post employment benefit obligations.</w:t>
      </w:r>
    </w:p>
    <w:p>
      <w:pPr>
        <w:spacing w:after="0" w:line="143" w:lineRule="exact"/>
        <w:rPr>
          <w:sz w:val="20"/>
          <w:szCs w:val="20"/>
          <w:color w:val="auto"/>
        </w:rPr>
      </w:pPr>
    </w:p>
    <w:p>
      <w:pPr>
        <w:ind w:right="20"/>
        <w:spacing w:after="0" w:line="294" w:lineRule="auto"/>
        <w:rPr>
          <w:sz w:val="20"/>
          <w:szCs w:val="20"/>
          <w:color w:val="auto"/>
        </w:rPr>
      </w:pPr>
      <w:r>
        <w:rPr>
          <w:rFonts w:ascii="Arial" w:cs="Arial" w:eastAsia="Arial" w:hAnsi="Arial"/>
          <w:sz w:val="16"/>
          <w:szCs w:val="16"/>
          <w:color w:val="auto"/>
        </w:rPr>
        <w:t>We have a qualified defined contribution plan (Employee Savings/Retirement Plan) that covers substantially all employees who elect to participate and have fulfilled the necessary service requirements. Prior to October 1, 2006, employee contributions to the Plan were matched by us at the rate of 115% of the first 2% through 5% of the employee’s contribution, based on years of service. Beginning October 1, 2006, employee contributions are matched at the rate of 50% of up to 8% of gross pay, regardless of years of service. The Plan incorporates provisions of Section 401(k) of the Internal Revenue Code. Employer matching contributions to the Plan for 2006, 2005 and 2004 were approximately $875, $1,059 and $1,161, respectively.</w:t>
      </w:r>
    </w:p>
    <w:p>
      <w:pPr>
        <w:spacing w:after="0" w:line="1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- 36</w:t>
      </w:r>
    </w:p>
    <w:p>
      <w:pPr>
        <w:sectPr>
          <w:pgSz w:w="11900" w:h="16838" w:orient="portrait"/>
          <w:cols w:equalWidth="0" w:num="1">
            <w:col w:w="11420"/>
          </w:cols>
          <w:pgMar w:left="240" w:top="459" w:right="23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Capital Stock and Stock Compensation</w:t>
      </w:r>
    </w:p>
    <w:p>
      <w:pPr>
        <w:spacing w:after="0" w:line="96" w:lineRule="exact"/>
        <w:rPr>
          <w:sz w:val="20"/>
          <w:szCs w:val="20"/>
          <w:color w:val="auto"/>
        </w:rPr>
      </w:pPr>
    </w:p>
    <w:p>
      <w:pPr>
        <w:ind w:right="160"/>
        <w:spacing w:after="0" w:line="289" w:lineRule="auto"/>
        <w:rPr>
          <w:sz w:val="20"/>
          <w:szCs w:val="20"/>
          <w:color w:val="auto"/>
        </w:rPr>
      </w:pPr>
      <w:r>
        <w:rPr>
          <w:rFonts w:ascii="Arial" w:cs="Arial" w:eastAsia="Arial" w:hAnsi="Arial"/>
          <w:sz w:val="16"/>
          <w:szCs w:val="16"/>
          <w:color w:val="auto"/>
        </w:rPr>
        <w:t>In the first quarter of fiscal 2006, the Company adopted Statement of Financial Accounting Standards (“SFAS”) No. 123R, “Share-Based Payment, (“SFAS No. 123R”) which revises SFAS No. 123, “Accounting for Stock-Based Compensation” and supersedes Accounting Principles Board Opinion (“APB”) No. 25, “Accounting for Stock Issued to Employees” for our stock-based employee and director compensation plans. SFAS 123R requires recognition of the cost of employee services received in exchange for an award of equity instruments in the financial statements over the period the employee is required to perform the services in exchange for the award (presumptively the vesting period). Prior to the adoption of SFAS No. 123R, as permitted by SFAS No. 123, the Company accounted for similar transactions in accordance with APB No. 25 which employed the intrinsic value method of measuring compensation cost. Accordingly, no compensation expense was recognized in the statements of income for options granted with exercise prices equal to the fair value of the Company’s common stock on the date of grant.</w:t>
      </w:r>
    </w:p>
    <w:p>
      <w:pPr>
        <w:spacing w:after="0" w:line="118" w:lineRule="exact"/>
        <w:rPr>
          <w:sz w:val="20"/>
          <w:szCs w:val="20"/>
          <w:color w:val="auto"/>
        </w:rPr>
      </w:pPr>
    </w:p>
    <w:p>
      <w:pPr>
        <w:ind w:right="20"/>
        <w:spacing w:after="0" w:line="294" w:lineRule="auto"/>
        <w:rPr>
          <w:sz w:val="20"/>
          <w:szCs w:val="20"/>
          <w:color w:val="auto"/>
        </w:rPr>
      </w:pPr>
      <w:r>
        <w:rPr>
          <w:rFonts w:ascii="Arial" w:cs="Arial" w:eastAsia="Arial" w:hAnsi="Arial"/>
          <w:sz w:val="16"/>
          <w:szCs w:val="16"/>
          <w:color w:val="auto"/>
        </w:rPr>
        <w:t>Effective for the first quarter of fiscal 2006, the Company adopted the fair value recognition provisions of SFAS No. 123R, using the modified prospective approach to transition. Accordingly, prior year amounts have not been restated. Under the modified prospective approach, the provisions of SFAS No. 123R are to be applied to new awards granted after November 27, 2005, and the Company is required to recognize compensation expense for stock options granted prior to the adoption of SFAS No. 123R under the fair value method and recognize those amounts over the remaining vesting period of the stock options. The Company’s results of operations for the year ending November 25, 2006, include $151 of compensation expense related to restricted stock and stock options.</w:t>
      </w:r>
    </w:p>
    <w:p>
      <w:pPr>
        <w:spacing w:after="0" w:line="116"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We had a Long Term Incentive Stock Option Plan that was adopted in 1993 (the “1993 Plan”) and expired in 2003. Under the 1993 Plan, we had reserved for issuance 450,000 shares of common stock. Options outstanding under the 1993 Plan expire at various dates through 2007. Under the Employee Stock Plan adopted in 1997 (the “1997 Plan”), we reserved for issuance 950,000 shares of common stock. In addition, the terms of the 1997 Plan allow for the re-issuance of any stock options which have been forfeited before being exercised. An additional 500,000 shares of common stock were authorized for issuance in 2000. Options granted under the 1997 Plan may be for such terms and exercised at such times as determined by the Organization, Compensation, and Nominating Committee of the Board of Directors. Vesting periods typically range from one to three years. We have approximately 144,000 shares available for grant under the 1997 Plan at November 25, 2006.</w:t>
      </w:r>
    </w:p>
    <w:p>
      <w:pPr>
        <w:spacing w:after="0" w:line="147" w:lineRule="exact"/>
        <w:rPr>
          <w:sz w:val="20"/>
          <w:szCs w:val="20"/>
          <w:color w:val="auto"/>
        </w:rPr>
      </w:pPr>
    </w:p>
    <w:p>
      <w:pPr>
        <w:ind w:right="220"/>
        <w:spacing w:after="0" w:line="306" w:lineRule="auto"/>
        <w:rPr>
          <w:sz w:val="20"/>
          <w:szCs w:val="20"/>
          <w:color w:val="auto"/>
        </w:rPr>
      </w:pPr>
      <w:r>
        <w:rPr>
          <w:rFonts w:ascii="Arial" w:cs="Arial" w:eastAsia="Arial" w:hAnsi="Arial"/>
          <w:sz w:val="16"/>
          <w:szCs w:val="16"/>
          <w:color w:val="auto"/>
        </w:rPr>
        <w:t>We had a Stock Plan for Non-Employee Directors, adopted in 1993 and amended in 2000, which expired in 2003. Under this stock option plan, we reserved for issuance 125,000 shares of common stock, including an additional 50,000 shares of common stock that were authorized for issuance in 2001. No shares were available for grant under the plan at November 25, 2006. These options are exercisable for 10 years commencing six months after the date of grant.</w:t>
      </w:r>
    </w:p>
    <w:p>
      <w:pPr>
        <w:spacing w:after="0" w:line="107" w:lineRule="exact"/>
        <w:rPr>
          <w:sz w:val="20"/>
          <w:szCs w:val="20"/>
          <w:color w:val="auto"/>
        </w:rPr>
      </w:pPr>
    </w:p>
    <w:p>
      <w:pPr>
        <w:jc w:val="both"/>
        <w:ind w:right="80"/>
        <w:spacing w:after="0" w:line="256" w:lineRule="auto"/>
        <w:rPr>
          <w:sz w:val="20"/>
          <w:szCs w:val="20"/>
          <w:color w:val="auto"/>
        </w:rPr>
      </w:pPr>
      <w:r>
        <w:rPr>
          <w:rFonts w:ascii="Arial" w:cs="Arial" w:eastAsia="Arial" w:hAnsi="Arial"/>
          <w:sz w:val="18"/>
          <w:szCs w:val="18"/>
          <w:color w:val="auto"/>
        </w:rPr>
        <w:t>During 2005, we adopted a Non-Employee Directors Stock Incentive Plan (the “Incentive Plan”). The Incentive Plan authorized incentive awards in the form of restricted stock or stock grants. All Directors of the Company who are not full-time employees of the Company are eligible to receive incentive awards under the Incentive Plan. There were 100,000 shares of common stock reserved for grant under the Incentive Plan. Shares available for grant under the Incentive Plan were 89,059 at November 25, 2006.</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- 37</w:t>
      </w:r>
    </w:p>
    <w:p>
      <w:pPr>
        <w:sectPr>
          <w:pgSz w:w="11900" w:h="16838" w:orient="portrait"/>
          <w:cols w:equalWidth="0" w:num="1">
            <w:col w:w="11420"/>
          </w:cols>
          <w:pgMar w:left="240" w:top="459" w:right="23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Option activity under the foregoing plans is as follows:</w:t>
      </w:r>
    </w:p>
    <w:p>
      <w:pPr>
        <w:spacing w:after="0" w:line="19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600" w:type="dxa"/>
            <w:vAlign w:val="bottom"/>
          </w:tcPr>
          <w:p>
            <w:pPr>
              <w:spacing w:after="0"/>
              <w:rPr>
                <w:sz w:val="14"/>
                <w:szCs w:val="14"/>
                <w:color w:val="auto"/>
              </w:rPr>
            </w:pPr>
          </w:p>
        </w:tc>
        <w:tc>
          <w:tcPr>
            <w:tcW w:w="31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80" w:type="dxa"/>
            <w:vAlign w:val="bottom"/>
            <w:gridSpan w:val="2"/>
          </w:tcPr>
          <w:p>
            <w:pPr>
              <w:jc w:val="center"/>
              <w:spacing w:after="0"/>
              <w:rPr>
                <w:sz w:val="20"/>
                <w:szCs w:val="20"/>
                <w:color w:val="auto"/>
              </w:rPr>
            </w:pPr>
            <w:r>
              <w:rPr>
                <w:rFonts w:ascii="Arial" w:cs="Arial" w:eastAsia="Arial" w:hAnsi="Arial"/>
                <w:sz w:val="14"/>
                <w:szCs w:val="14"/>
                <w:b w:val="1"/>
                <w:bCs w:val="1"/>
                <w:color w:val="auto"/>
                <w:w w:val="85"/>
              </w:rPr>
              <w:t>Weighted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tcPr>
          <w:p>
            <w:pPr>
              <w:spacing w:after="0"/>
              <w:rPr>
                <w:sz w:val="12"/>
                <w:szCs w:val="12"/>
                <w:color w:val="auto"/>
              </w:rPr>
            </w:pPr>
          </w:p>
        </w:tc>
        <w:tc>
          <w:tcPr>
            <w:tcW w:w="3140" w:type="dxa"/>
            <w:vAlign w:val="bottom"/>
          </w:tcPr>
          <w:p>
            <w:pPr>
              <w:spacing w:after="0"/>
              <w:rPr>
                <w:sz w:val="12"/>
                <w:szCs w:val="12"/>
                <w:color w:val="auto"/>
              </w:rPr>
            </w:pPr>
          </w:p>
        </w:tc>
        <w:tc>
          <w:tcPr>
            <w:tcW w:w="9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Number</w:t>
            </w:r>
          </w:p>
        </w:tc>
        <w:tc>
          <w:tcPr>
            <w:tcW w:w="200" w:type="dxa"/>
            <w:vAlign w:val="bottom"/>
          </w:tcPr>
          <w:p>
            <w:pPr>
              <w:spacing w:after="0"/>
              <w:rPr>
                <w:sz w:val="12"/>
                <w:szCs w:val="12"/>
                <w:color w:val="auto"/>
              </w:rPr>
            </w:pP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b w:val="1"/>
                <w:bCs w:val="1"/>
                <w:color w:val="auto"/>
                <w:w w:val="83"/>
              </w:rPr>
              <w:t>average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0" w:type="dxa"/>
            <w:vAlign w:val="bottom"/>
          </w:tcPr>
          <w:p>
            <w:pPr>
              <w:spacing w:after="0"/>
              <w:rPr>
                <w:sz w:val="12"/>
                <w:szCs w:val="12"/>
                <w:color w:val="auto"/>
              </w:rPr>
            </w:pPr>
          </w:p>
        </w:tc>
        <w:tc>
          <w:tcPr>
            <w:tcW w:w="314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75"/>
              </w:rPr>
              <w:t>of</w:t>
            </w:r>
          </w:p>
        </w:tc>
        <w:tc>
          <w:tcPr>
            <w:tcW w:w="200" w:type="dxa"/>
            <w:vAlign w:val="bottom"/>
          </w:tcPr>
          <w:p>
            <w:pPr>
              <w:spacing w:after="0"/>
              <w:rPr>
                <w:sz w:val="12"/>
                <w:szCs w:val="12"/>
                <w:color w:val="auto"/>
              </w:rPr>
            </w:pPr>
          </w:p>
        </w:tc>
        <w:tc>
          <w:tcPr>
            <w:tcW w:w="5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price</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5600" w:type="dxa"/>
            <w:vAlign w:val="bottom"/>
          </w:tcPr>
          <w:p>
            <w:pPr>
              <w:spacing w:after="0"/>
              <w:rPr>
                <w:sz w:val="15"/>
                <w:szCs w:val="15"/>
                <w:color w:val="auto"/>
              </w:rPr>
            </w:pPr>
          </w:p>
        </w:tc>
        <w:tc>
          <w:tcPr>
            <w:tcW w:w="3140" w:type="dxa"/>
            <w:vAlign w:val="bottom"/>
          </w:tcPr>
          <w:p>
            <w:pPr>
              <w:spacing w:after="0"/>
              <w:rPr>
                <w:sz w:val="15"/>
                <w:szCs w:val="15"/>
                <w:color w:val="auto"/>
              </w:rPr>
            </w:pPr>
          </w:p>
        </w:tc>
        <w:tc>
          <w:tcPr>
            <w:tcW w:w="7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4"/>
              </w:rPr>
              <w:t>shares</w:t>
            </w:r>
          </w:p>
        </w:tc>
        <w:tc>
          <w:tcPr>
            <w:tcW w:w="2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per share</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600" w:type="dxa"/>
            <w:vAlign w:val="bottom"/>
            <w:shd w:val="clear" w:color="auto" w:fill="CCEEFF"/>
          </w:tcPr>
          <w:p>
            <w:pPr>
              <w:spacing w:after="0"/>
              <w:rPr>
                <w:sz w:val="20"/>
                <w:szCs w:val="20"/>
                <w:color w:val="auto"/>
              </w:rPr>
            </w:pPr>
            <w:r>
              <w:rPr>
                <w:rFonts w:ascii="Arial" w:cs="Arial" w:eastAsia="Arial" w:hAnsi="Arial"/>
                <w:sz w:val="18"/>
                <w:szCs w:val="18"/>
                <w:color w:val="auto"/>
              </w:rPr>
              <w:t>Outstanding at November 29, 2003</w:t>
            </w:r>
          </w:p>
        </w:tc>
        <w:tc>
          <w:tcPr>
            <w:tcW w:w="3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1,390,252</w:t>
            </w: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$ 19.84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tcPr>
          <w:p>
            <w:pPr>
              <w:ind w:left="420"/>
              <w:spacing w:after="0"/>
              <w:rPr>
                <w:sz w:val="20"/>
                <w:szCs w:val="20"/>
                <w:color w:val="auto"/>
              </w:rPr>
            </w:pPr>
            <w:r>
              <w:rPr>
                <w:rFonts w:ascii="Arial" w:cs="Arial" w:eastAsia="Arial" w:hAnsi="Arial"/>
                <w:sz w:val="18"/>
                <w:szCs w:val="18"/>
                <w:color w:val="auto"/>
              </w:rPr>
              <w:t>Granted</w:t>
            </w:r>
          </w:p>
        </w:tc>
        <w:tc>
          <w:tcPr>
            <w:tcW w:w="3840" w:type="dxa"/>
            <w:vAlign w:val="bottom"/>
            <w:gridSpan w:val="2"/>
          </w:tcPr>
          <w:p>
            <w:pPr>
              <w:jc w:val="right"/>
              <w:spacing w:after="0"/>
              <w:rPr>
                <w:sz w:val="20"/>
                <w:szCs w:val="20"/>
                <w:color w:val="auto"/>
              </w:rPr>
            </w:pPr>
            <w:r>
              <w:rPr>
                <w:rFonts w:ascii="Arial" w:cs="Arial" w:eastAsia="Arial" w:hAnsi="Arial"/>
                <w:sz w:val="18"/>
                <w:szCs w:val="18"/>
                <w:color w:val="auto"/>
              </w:rPr>
              <w:t>327,500</w:t>
            </w:r>
          </w:p>
        </w:tc>
        <w:tc>
          <w:tcPr>
            <w:tcW w:w="28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20.96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Exercised</w:t>
            </w:r>
          </w:p>
        </w:tc>
        <w:tc>
          <w:tcPr>
            <w:tcW w:w="41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(159,355)</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14.27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tcPr>
          <w:p>
            <w:pPr>
              <w:ind w:left="420"/>
              <w:spacing w:after="0"/>
              <w:rPr>
                <w:sz w:val="20"/>
                <w:szCs w:val="20"/>
                <w:color w:val="auto"/>
              </w:rPr>
            </w:pPr>
            <w:r>
              <w:rPr>
                <w:rFonts w:ascii="Arial" w:cs="Arial" w:eastAsia="Arial" w:hAnsi="Arial"/>
                <w:sz w:val="18"/>
                <w:szCs w:val="18"/>
                <w:color w:val="auto"/>
              </w:rPr>
              <w:t>Forfeited</w:t>
            </w:r>
          </w:p>
        </w:tc>
        <w:tc>
          <w:tcPr>
            <w:tcW w:w="314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(90,366)</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21.97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600" w:type="dxa"/>
            <w:vAlign w:val="bottom"/>
          </w:tcPr>
          <w:p>
            <w:pPr>
              <w:spacing w:after="0"/>
              <w:rPr>
                <w:sz w:val="2"/>
                <w:szCs w:val="2"/>
                <w:color w:val="auto"/>
              </w:rPr>
            </w:pPr>
          </w:p>
        </w:tc>
        <w:tc>
          <w:tcPr>
            <w:tcW w:w="314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0" w:type="dxa"/>
            <w:vAlign w:val="bottom"/>
            <w:shd w:val="clear" w:color="auto" w:fill="CCEEFF"/>
          </w:tcPr>
          <w:p>
            <w:pPr>
              <w:spacing w:after="0"/>
              <w:rPr>
                <w:sz w:val="20"/>
                <w:szCs w:val="20"/>
                <w:color w:val="auto"/>
              </w:rPr>
            </w:pPr>
            <w:r>
              <w:rPr>
                <w:rFonts w:ascii="Arial" w:cs="Arial" w:eastAsia="Arial" w:hAnsi="Arial"/>
                <w:sz w:val="18"/>
                <w:szCs w:val="18"/>
                <w:color w:val="auto"/>
              </w:rPr>
              <w:t>Outstanding at November 27, 2004</w:t>
            </w:r>
          </w:p>
        </w:tc>
        <w:tc>
          <w:tcPr>
            <w:tcW w:w="3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1,468,031</w:t>
            </w: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20.43</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tcPr>
          <w:p>
            <w:pPr>
              <w:ind w:left="420"/>
              <w:spacing w:after="0"/>
              <w:rPr>
                <w:sz w:val="20"/>
                <w:szCs w:val="20"/>
                <w:color w:val="auto"/>
              </w:rPr>
            </w:pPr>
            <w:r>
              <w:rPr>
                <w:rFonts w:ascii="Arial" w:cs="Arial" w:eastAsia="Arial" w:hAnsi="Arial"/>
                <w:sz w:val="18"/>
                <w:szCs w:val="18"/>
                <w:color w:val="auto"/>
              </w:rPr>
              <w:t>Granted</w:t>
            </w:r>
          </w:p>
        </w:tc>
        <w:tc>
          <w:tcPr>
            <w:tcW w:w="3140" w:type="dxa"/>
            <w:vAlign w:val="bottom"/>
          </w:tcPr>
          <w:p>
            <w:pPr>
              <w:spacing w:after="0"/>
              <w:rPr>
                <w:sz w:val="18"/>
                <w:szCs w:val="18"/>
                <w:color w:val="auto"/>
              </w:rPr>
            </w:pPr>
          </w:p>
        </w:tc>
        <w:tc>
          <w:tcPr>
            <w:tcW w:w="9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560" w:type="dxa"/>
            <w:vAlign w:val="bottom"/>
          </w:tcPr>
          <w:p>
            <w:pPr>
              <w:jc w:val="right"/>
              <w:ind w:right="8"/>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Exercised</w:t>
            </w:r>
          </w:p>
        </w:tc>
        <w:tc>
          <w:tcPr>
            <w:tcW w:w="41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(62,362)</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14.28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tcPr>
          <w:p>
            <w:pPr>
              <w:ind w:left="420"/>
              <w:spacing w:after="0"/>
              <w:rPr>
                <w:sz w:val="20"/>
                <w:szCs w:val="20"/>
                <w:color w:val="auto"/>
              </w:rPr>
            </w:pPr>
            <w:r>
              <w:rPr>
                <w:rFonts w:ascii="Arial" w:cs="Arial" w:eastAsia="Arial" w:hAnsi="Arial"/>
                <w:sz w:val="18"/>
                <w:szCs w:val="18"/>
                <w:color w:val="auto"/>
              </w:rPr>
              <w:t>Forfeited</w:t>
            </w:r>
          </w:p>
        </w:tc>
        <w:tc>
          <w:tcPr>
            <w:tcW w:w="314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(79,259)</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23.53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600" w:type="dxa"/>
            <w:vAlign w:val="bottom"/>
          </w:tcPr>
          <w:p>
            <w:pPr>
              <w:spacing w:after="0"/>
              <w:rPr>
                <w:sz w:val="2"/>
                <w:szCs w:val="2"/>
                <w:color w:val="auto"/>
              </w:rPr>
            </w:pPr>
          </w:p>
        </w:tc>
        <w:tc>
          <w:tcPr>
            <w:tcW w:w="314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0" w:type="dxa"/>
            <w:vAlign w:val="bottom"/>
            <w:shd w:val="clear" w:color="auto" w:fill="CCEEFF"/>
          </w:tcPr>
          <w:p>
            <w:pPr>
              <w:spacing w:after="0"/>
              <w:rPr>
                <w:sz w:val="20"/>
                <w:szCs w:val="20"/>
                <w:color w:val="auto"/>
              </w:rPr>
            </w:pPr>
            <w:r>
              <w:rPr>
                <w:rFonts w:ascii="Arial" w:cs="Arial" w:eastAsia="Arial" w:hAnsi="Arial"/>
                <w:sz w:val="18"/>
                <w:szCs w:val="18"/>
                <w:color w:val="auto"/>
              </w:rPr>
              <w:t>Outstanding at November 26, 2005</w:t>
            </w:r>
          </w:p>
        </w:tc>
        <w:tc>
          <w:tcPr>
            <w:tcW w:w="3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1,326,410</w:t>
            </w: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20.54</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tcPr>
          <w:p>
            <w:pPr>
              <w:ind w:left="420"/>
              <w:spacing w:after="0"/>
              <w:rPr>
                <w:sz w:val="20"/>
                <w:szCs w:val="20"/>
                <w:color w:val="auto"/>
              </w:rPr>
            </w:pPr>
            <w:r>
              <w:rPr>
                <w:rFonts w:ascii="Arial" w:cs="Arial" w:eastAsia="Arial" w:hAnsi="Arial"/>
                <w:sz w:val="18"/>
                <w:szCs w:val="18"/>
                <w:color w:val="auto"/>
              </w:rPr>
              <w:t>Granted</w:t>
            </w:r>
          </w:p>
        </w:tc>
        <w:tc>
          <w:tcPr>
            <w:tcW w:w="3840" w:type="dxa"/>
            <w:vAlign w:val="bottom"/>
            <w:gridSpan w:val="2"/>
          </w:tcPr>
          <w:p>
            <w:pPr>
              <w:jc w:val="right"/>
              <w:spacing w:after="0"/>
              <w:rPr>
                <w:sz w:val="20"/>
                <w:szCs w:val="20"/>
                <w:color w:val="auto"/>
              </w:rPr>
            </w:pPr>
            <w:r>
              <w:rPr>
                <w:rFonts w:ascii="Arial" w:cs="Arial" w:eastAsia="Arial" w:hAnsi="Arial"/>
                <w:sz w:val="18"/>
                <w:szCs w:val="18"/>
                <w:color w:val="auto"/>
              </w:rPr>
              <w:t>150,000</w:t>
            </w:r>
          </w:p>
        </w:tc>
        <w:tc>
          <w:tcPr>
            <w:tcW w:w="28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16.96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Exercised</w:t>
            </w:r>
          </w:p>
        </w:tc>
        <w:tc>
          <w:tcPr>
            <w:tcW w:w="41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(22,500)</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15.83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tcPr>
          <w:p>
            <w:pPr>
              <w:ind w:left="420"/>
              <w:spacing w:after="0"/>
              <w:rPr>
                <w:sz w:val="20"/>
                <w:szCs w:val="20"/>
                <w:color w:val="auto"/>
              </w:rPr>
            </w:pPr>
            <w:r>
              <w:rPr>
                <w:rFonts w:ascii="Arial" w:cs="Arial" w:eastAsia="Arial" w:hAnsi="Arial"/>
                <w:sz w:val="18"/>
                <w:szCs w:val="18"/>
                <w:color w:val="auto"/>
              </w:rPr>
              <w:t>Forfeited</w:t>
            </w:r>
          </w:p>
        </w:tc>
        <w:tc>
          <w:tcPr>
            <w:tcW w:w="314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(38,000)</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23.67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600" w:type="dxa"/>
            <w:vAlign w:val="bottom"/>
          </w:tcPr>
          <w:p>
            <w:pPr>
              <w:spacing w:after="0"/>
              <w:rPr>
                <w:sz w:val="2"/>
                <w:szCs w:val="2"/>
                <w:color w:val="auto"/>
              </w:rPr>
            </w:pPr>
          </w:p>
        </w:tc>
        <w:tc>
          <w:tcPr>
            <w:tcW w:w="314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0" w:type="dxa"/>
            <w:vAlign w:val="bottom"/>
            <w:shd w:val="clear" w:color="auto" w:fill="CCEEFF"/>
          </w:tcPr>
          <w:p>
            <w:pPr>
              <w:spacing w:after="0"/>
              <w:rPr>
                <w:sz w:val="20"/>
                <w:szCs w:val="20"/>
                <w:color w:val="auto"/>
              </w:rPr>
            </w:pPr>
            <w:r>
              <w:rPr>
                <w:rFonts w:ascii="Arial" w:cs="Arial" w:eastAsia="Arial" w:hAnsi="Arial"/>
                <w:sz w:val="18"/>
                <w:szCs w:val="18"/>
                <w:color w:val="auto"/>
              </w:rPr>
              <w:t>Outstanding at November 25, 2006</w:t>
            </w:r>
          </w:p>
        </w:tc>
        <w:tc>
          <w:tcPr>
            <w:tcW w:w="3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1,415,910</w:t>
            </w: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20.15</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620" w:type="dxa"/>
            <w:vAlign w:val="bottom"/>
            <w:gridSpan w:val="2"/>
            <w:vMerge w:val="restart"/>
          </w:tcPr>
          <w:p>
            <w:pPr>
              <w:spacing w:after="0"/>
              <w:rPr>
                <w:sz w:val="20"/>
                <w:szCs w:val="20"/>
                <w:color w:val="auto"/>
              </w:rPr>
            </w:pPr>
            <w:r>
              <w:rPr>
                <w:rFonts w:ascii="Arial" w:cs="Arial" w:eastAsia="Arial" w:hAnsi="Arial"/>
                <w:sz w:val="18"/>
                <w:szCs w:val="18"/>
                <w:color w:val="auto"/>
              </w:rPr>
              <w:t>Exercisable at November 25, 2006</w:t>
            </w:r>
          </w:p>
        </w:tc>
        <w:tc>
          <w:tcPr>
            <w:tcW w:w="314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80" w:type="dxa"/>
            <w:vAlign w:val="bottom"/>
            <w:gridSpan w:val="3"/>
            <w:vMerge w:val="restart"/>
          </w:tcPr>
          <w:p>
            <w:pPr>
              <w:jc w:val="right"/>
              <w:ind w:right="20"/>
              <w:spacing w:after="0"/>
              <w:rPr>
                <w:sz w:val="20"/>
                <w:szCs w:val="20"/>
                <w:color w:val="auto"/>
              </w:rPr>
            </w:pPr>
            <w:r>
              <w:rPr>
                <w:rFonts w:ascii="Arial" w:cs="Arial" w:eastAsia="Arial" w:hAnsi="Arial"/>
                <w:sz w:val="18"/>
                <w:szCs w:val="18"/>
                <w:color w:val="auto"/>
              </w:rPr>
              <w:t>$ 20.54</w:t>
            </w:r>
          </w:p>
        </w:tc>
        <w:tc>
          <w:tcPr>
            <w:tcW w:w="0" w:type="dxa"/>
            <w:vAlign w:val="bottom"/>
          </w:tcPr>
          <w:p>
            <w:pPr>
              <w:spacing w:after="0" w:line="20" w:lineRule="exact"/>
              <w:rPr>
                <w:sz w:val="1"/>
                <w:szCs w:val="1"/>
                <w:color w:val="auto"/>
              </w:rPr>
            </w:pPr>
          </w:p>
        </w:tc>
      </w:tr>
      <w:tr>
        <w:trPr>
          <w:trHeight w:val="208"/>
        </w:trPr>
        <w:tc>
          <w:tcPr>
            <w:tcW w:w="5620" w:type="dxa"/>
            <w:vAlign w:val="bottom"/>
            <w:gridSpan w:val="2"/>
            <w:vMerge w:val="continue"/>
          </w:tcPr>
          <w:p>
            <w:pPr>
              <w:spacing w:after="0"/>
              <w:rPr>
                <w:sz w:val="18"/>
                <w:szCs w:val="18"/>
                <w:color w:val="auto"/>
              </w:rPr>
            </w:pPr>
          </w:p>
        </w:tc>
        <w:tc>
          <w:tcPr>
            <w:tcW w:w="3840" w:type="dxa"/>
            <w:vAlign w:val="bottom"/>
            <w:gridSpan w:val="2"/>
          </w:tcPr>
          <w:p>
            <w:pPr>
              <w:jc w:val="right"/>
              <w:spacing w:after="0"/>
              <w:rPr>
                <w:sz w:val="20"/>
                <w:szCs w:val="20"/>
                <w:color w:val="auto"/>
              </w:rPr>
            </w:pPr>
            <w:r>
              <w:rPr>
                <w:rFonts w:ascii="Arial" w:cs="Arial" w:eastAsia="Arial" w:hAnsi="Arial"/>
                <w:sz w:val="18"/>
                <w:szCs w:val="18"/>
                <w:color w:val="auto"/>
              </w:rPr>
              <w:t>1,262,577</w:t>
            </w:r>
          </w:p>
        </w:tc>
        <w:tc>
          <w:tcPr>
            <w:tcW w:w="280" w:type="dxa"/>
            <w:vAlign w:val="bottom"/>
          </w:tcPr>
          <w:p>
            <w:pPr>
              <w:spacing w:after="0"/>
              <w:rPr>
                <w:sz w:val="18"/>
                <w:szCs w:val="18"/>
                <w:color w:val="auto"/>
              </w:rPr>
            </w:pPr>
          </w:p>
        </w:tc>
        <w:tc>
          <w:tcPr>
            <w:tcW w:w="780" w:type="dxa"/>
            <w:vAlign w:val="bottom"/>
            <w:gridSpan w:val="3"/>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5600" w:type="dxa"/>
            <w:vAlign w:val="bottom"/>
            <w:shd w:val="clear" w:color="auto" w:fill="CCEEFF"/>
          </w:tcPr>
          <w:p>
            <w:pPr>
              <w:spacing w:after="0"/>
              <w:rPr>
                <w:sz w:val="20"/>
                <w:szCs w:val="20"/>
                <w:color w:val="auto"/>
              </w:rPr>
            </w:pPr>
            <w:r>
              <w:rPr>
                <w:rFonts w:ascii="Arial" w:cs="Arial" w:eastAsia="Arial" w:hAnsi="Arial"/>
                <w:sz w:val="18"/>
                <w:szCs w:val="18"/>
                <w:color w:val="auto"/>
              </w:rPr>
              <w:t>Exercisable at November 26, 2005</w:t>
            </w:r>
          </w:p>
        </w:tc>
        <w:tc>
          <w:tcPr>
            <w:tcW w:w="3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1,318,744</w:t>
            </w:r>
          </w:p>
        </w:tc>
        <w:tc>
          <w:tcPr>
            <w:tcW w:w="2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$ 20.57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600" w:type="dxa"/>
            <w:vAlign w:val="bottom"/>
          </w:tcPr>
          <w:p>
            <w:pPr>
              <w:spacing w:after="0"/>
              <w:rPr>
                <w:sz w:val="20"/>
                <w:szCs w:val="20"/>
                <w:color w:val="auto"/>
              </w:rPr>
            </w:pPr>
            <w:r>
              <w:rPr>
                <w:rFonts w:ascii="Arial" w:cs="Arial" w:eastAsia="Arial" w:hAnsi="Arial"/>
                <w:sz w:val="18"/>
                <w:szCs w:val="18"/>
                <w:color w:val="auto"/>
              </w:rPr>
              <w:t>Exercisable at November 27, 2004</w:t>
            </w:r>
          </w:p>
        </w:tc>
        <w:tc>
          <w:tcPr>
            <w:tcW w:w="3840" w:type="dxa"/>
            <w:vAlign w:val="bottom"/>
            <w:gridSpan w:val="2"/>
          </w:tcPr>
          <w:p>
            <w:pPr>
              <w:jc w:val="right"/>
              <w:spacing w:after="0"/>
              <w:rPr>
                <w:sz w:val="20"/>
                <w:szCs w:val="20"/>
                <w:color w:val="auto"/>
              </w:rPr>
            </w:pPr>
            <w:r>
              <w:rPr>
                <w:rFonts w:ascii="Arial" w:cs="Arial" w:eastAsia="Arial" w:hAnsi="Arial"/>
                <w:sz w:val="18"/>
                <w:szCs w:val="18"/>
                <w:color w:val="auto"/>
              </w:rPr>
              <w:t>1,344,700</w:t>
            </w:r>
          </w:p>
        </w:tc>
        <w:tc>
          <w:tcPr>
            <w:tcW w:w="280" w:type="dxa"/>
            <w:vAlign w:val="bottom"/>
          </w:tcPr>
          <w:p>
            <w:pPr>
              <w:spacing w:after="0"/>
              <w:rPr>
                <w:sz w:val="19"/>
                <w:szCs w:val="19"/>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$ 20.93</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147" w:lineRule="exact"/>
        <w:rPr>
          <w:sz w:val="20"/>
          <w:szCs w:val="20"/>
          <w:color w:val="auto"/>
        </w:rPr>
      </w:pPr>
    </w:p>
    <w:p>
      <w:pPr>
        <w:spacing w:after="0" w:line="298" w:lineRule="auto"/>
        <w:rPr>
          <w:sz w:val="20"/>
          <w:szCs w:val="20"/>
          <w:color w:val="auto"/>
        </w:rPr>
      </w:pPr>
      <w:r>
        <w:rPr>
          <w:rFonts w:ascii="Arial" w:cs="Arial" w:eastAsia="Arial" w:hAnsi="Arial"/>
          <w:sz w:val="16"/>
          <w:szCs w:val="16"/>
          <w:color w:val="auto"/>
        </w:rPr>
        <w:t>The fair value of each option award is estimated on the date of grant using the Black-Scholes option pricing model. The risk free rate is based on the U.S. Treasury rate for the expected life at the time of grant, volatility is based on the average long-term implied volatilities of peer companies, the expected life is based on the estimated average of the life of options, and forfeitures are estimated on the date of grant based on certain historical data. The weighted average for key assumptions used in determining the fair value of options granted during 2006 and 2004 are as follows:</w:t>
      </w:r>
    </w:p>
    <w:p>
      <w:pPr>
        <w:spacing w:after="0" w:line="136"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7700" w:type="dxa"/>
            <w:vAlign w:val="bottom"/>
          </w:tcPr>
          <w:p>
            <w:pPr>
              <w:spacing w:after="0"/>
              <w:rPr>
                <w:sz w:val="14"/>
                <w:szCs w:val="14"/>
                <w:color w:val="auto"/>
              </w:rPr>
            </w:pPr>
          </w:p>
        </w:tc>
        <w:tc>
          <w:tcPr>
            <w:tcW w:w="1840" w:type="dxa"/>
            <w:vAlign w:val="bottom"/>
            <w:gridSpan w:val="2"/>
          </w:tcPr>
          <w:p>
            <w:pPr>
              <w:jc w:val="right"/>
              <w:ind w:right="1020"/>
              <w:spacing w:after="0"/>
              <w:rPr>
                <w:sz w:val="20"/>
                <w:szCs w:val="20"/>
                <w:color w:val="auto"/>
              </w:rPr>
            </w:pPr>
            <w:r>
              <w:rPr>
                <w:rFonts w:ascii="Arial" w:cs="Arial" w:eastAsia="Arial" w:hAnsi="Arial"/>
                <w:sz w:val="14"/>
                <w:szCs w:val="14"/>
                <w:b w:val="1"/>
                <w:bCs w:val="1"/>
                <w:color w:val="auto"/>
                <w:w w:val="87"/>
              </w:rPr>
              <w:t>November 25,</w:t>
            </w:r>
          </w:p>
        </w:tc>
        <w:tc>
          <w:tcPr>
            <w:tcW w:w="96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w w:val="84"/>
              </w:rPr>
              <w:t>November 27,</w:t>
            </w:r>
          </w:p>
        </w:tc>
      </w:tr>
      <w:tr>
        <w:trPr>
          <w:trHeight w:val="161"/>
        </w:trPr>
        <w:tc>
          <w:tcPr>
            <w:tcW w:w="7700" w:type="dxa"/>
            <w:vAlign w:val="bottom"/>
          </w:tcPr>
          <w:p>
            <w:pPr>
              <w:spacing w:after="0"/>
              <w:rPr>
                <w:sz w:val="14"/>
                <w:szCs w:val="14"/>
                <w:color w:val="auto"/>
              </w:rPr>
            </w:pPr>
          </w:p>
        </w:tc>
        <w:tc>
          <w:tcPr>
            <w:tcW w:w="820" w:type="dxa"/>
            <w:vAlign w:val="bottom"/>
            <w:tcBorders>
              <w:bottom w:val="single" w:sz="8" w:color="auto"/>
            </w:tcBorders>
          </w:tcPr>
          <w:p>
            <w:pPr>
              <w:jc w:val="right"/>
              <w:ind w:right="199"/>
              <w:spacing w:after="0"/>
              <w:rPr>
                <w:sz w:val="20"/>
                <w:szCs w:val="20"/>
                <w:color w:val="auto"/>
              </w:rPr>
            </w:pPr>
            <w:r>
              <w:rPr>
                <w:rFonts w:ascii="Arial" w:cs="Arial" w:eastAsia="Arial" w:hAnsi="Arial"/>
                <w:sz w:val="14"/>
                <w:szCs w:val="14"/>
                <w:b w:val="1"/>
                <w:bCs w:val="1"/>
                <w:color w:val="auto"/>
              </w:rPr>
              <w:t>2006</w:t>
            </w:r>
          </w:p>
        </w:tc>
        <w:tc>
          <w:tcPr>
            <w:tcW w:w="1020" w:type="dxa"/>
            <w:vAlign w:val="bottom"/>
          </w:tcPr>
          <w:p>
            <w:pPr>
              <w:spacing w:after="0"/>
              <w:rPr>
                <w:sz w:val="14"/>
                <w:szCs w:val="14"/>
                <w:color w:val="auto"/>
              </w:rPr>
            </w:pPr>
          </w:p>
        </w:tc>
        <w:tc>
          <w:tcPr>
            <w:tcW w:w="820" w:type="dxa"/>
            <w:vAlign w:val="bottom"/>
            <w:tcBorders>
              <w:bottom w:val="single" w:sz="8" w:color="auto"/>
            </w:tcBorders>
          </w:tcPr>
          <w:p>
            <w:pPr>
              <w:jc w:val="right"/>
              <w:ind w:right="199"/>
              <w:spacing w:after="0"/>
              <w:rPr>
                <w:sz w:val="20"/>
                <w:szCs w:val="20"/>
                <w:color w:val="auto"/>
              </w:rPr>
            </w:pPr>
            <w:r>
              <w:rPr>
                <w:rFonts w:ascii="Arial" w:cs="Arial" w:eastAsia="Arial" w:hAnsi="Arial"/>
                <w:sz w:val="14"/>
                <w:szCs w:val="14"/>
                <w:b w:val="1"/>
                <w:bCs w:val="1"/>
                <w:color w:val="auto"/>
              </w:rPr>
              <w:t>2004</w:t>
            </w:r>
          </w:p>
        </w:tc>
        <w:tc>
          <w:tcPr>
            <w:tcW w:w="140" w:type="dxa"/>
            <w:vAlign w:val="bottom"/>
          </w:tcPr>
          <w:p>
            <w:pPr>
              <w:spacing w:after="0"/>
              <w:rPr>
                <w:sz w:val="14"/>
                <w:szCs w:val="14"/>
                <w:color w:val="auto"/>
              </w:rPr>
            </w:pPr>
          </w:p>
        </w:tc>
      </w:tr>
      <w:tr>
        <w:trPr>
          <w:trHeight w:val="210"/>
        </w:trPr>
        <w:tc>
          <w:tcPr>
            <w:tcW w:w="7700" w:type="dxa"/>
            <w:vAlign w:val="bottom"/>
            <w:shd w:val="clear" w:color="auto" w:fill="CCEEFF"/>
          </w:tcPr>
          <w:p>
            <w:pPr>
              <w:spacing w:after="0"/>
              <w:rPr>
                <w:sz w:val="20"/>
                <w:szCs w:val="20"/>
                <w:color w:val="auto"/>
              </w:rPr>
            </w:pPr>
            <w:r>
              <w:rPr>
                <w:rFonts w:ascii="Arial" w:cs="Arial" w:eastAsia="Arial" w:hAnsi="Arial"/>
                <w:sz w:val="18"/>
                <w:szCs w:val="18"/>
                <w:color w:val="auto"/>
              </w:rPr>
              <w:t>Expected life of options in years</w:t>
            </w:r>
          </w:p>
        </w:tc>
        <w:tc>
          <w:tcPr>
            <w:tcW w:w="1840" w:type="dxa"/>
            <w:vAlign w:val="bottom"/>
            <w:gridSpan w:val="2"/>
            <w:shd w:val="clear" w:color="auto" w:fill="CCEEFF"/>
          </w:tcPr>
          <w:p>
            <w:pPr>
              <w:jc w:val="right"/>
              <w:ind w:right="1020"/>
              <w:spacing w:after="0"/>
              <w:rPr>
                <w:sz w:val="20"/>
                <w:szCs w:val="20"/>
                <w:color w:val="auto"/>
              </w:rPr>
            </w:pPr>
            <w:r>
              <w:rPr>
                <w:rFonts w:ascii="Arial" w:cs="Arial" w:eastAsia="Arial" w:hAnsi="Arial"/>
                <w:sz w:val="18"/>
                <w:szCs w:val="18"/>
                <w:color w:val="auto"/>
              </w:rPr>
              <w:t>5</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140" w:type="dxa"/>
            <w:vAlign w:val="bottom"/>
            <w:shd w:val="clear" w:color="auto" w:fill="CCEEFF"/>
          </w:tcPr>
          <w:p>
            <w:pPr>
              <w:spacing w:after="0"/>
              <w:rPr>
                <w:sz w:val="18"/>
                <w:szCs w:val="18"/>
                <w:color w:val="auto"/>
              </w:rPr>
            </w:pPr>
          </w:p>
        </w:tc>
      </w:tr>
      <w:tr>
        <w:trPr>
          <w:trHeight w:val="216"/>
        </w:trPr>
        <w:tc>
          <w:tcPr>
            <w:tcW w:w="7700" w:type="dxa"/>
            <w:vAlign w:val="bottom"/>
          </w:tcPr>
          <w:p>
            <w:pPr>
              <w:spacing w:after="0"/>
              <w:rPr>
                <w:sz w:val="20"/>
                <w:szCs w:val="20"/>
                <w:color w:val="auto"/>
              </w:rPr>
            </w:pPr>
            <w:r>
              <w:rPr>
                <w:rFonts w:ascii="Arial" w:cs="Arial" w:eastAsia="Arial" w:hAnsi="Arial"/>
                <w:sz w:val="18"/>
                <w:szCs w:val="18"/>
                <w:color w:val="auto"/>
              </w:rPr>
              <w:t>Risk-free interest rate</w:t>
            </w:r>
          </w:p>
        </w:tc>
        <w:tc>
          <w:tcPr>
            <w:tcW w:w="1840" w:type="dxa"/>
            <w:vAlign w:val="bottom"/>
            <w:gridSpan w:val="2"/>
          </w:tcPr>
          <w:p>
            <w:pPr>
              <w:jc w:val="right"/>
              <w:ind w:right="880"/>
              <w:spacing w:after="0"/>
              <w:rPr>
                <w:sz w:val="20"/>
                <w:szCs w:val="20"/>
                <w:color w:val="auto"/>
              </w:rPr>
            </w:pPr>
            <w:r>
              <w:rPr>
                <w:rFonts w:ascii="Arial" w:cs="Arial" w:eastAsia="Arial" w:hAnsi="Arial"/>
                <w:sz w:val="18"/>
                <w:szCs w:val="18"/>
                <w:color w:val="auto"/>
              </w:rPr>
              <w:t>5.1%</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7700" w:type="dxa"/>
            <w:vAlign w:val="bottom"/>
            <w:shd w:val="clear" w:color="auto" w:fill="CCEEFF"/>
          </w:tcPr>
          <w:p>
            <w:pPr>
              <w:spacing w:after="0"/>
              <w:rPr>
                <w:sz w:val="20"/>
                <w:szCs w:val="20"/>
                <w:color w:val="auto"/>
              </w:rPr>
            </w:pPr>
            <w:r>
              <w:rPr>
                <w:rFonts w:ascii="Arial" w:cs="Arial" w:eastAsia="Arial" w:hAnsi="Arial"/>
                <w:sz w:val="18"/>
                <w:szCs w:val="18"/>
                <w:color w:val="auto"/>
              </w:rPr>
              <w:t>Expected volatility</w:t>
            </w:r>
          </w:p>
        </w:tc>
        <w:tc>
          <w:tcPr>
            <w:tcW w:w="1840" w:type="dxa"/>
            <w:vAlign w:val="bottom"/>
            <w:gridSpan w:val="2"/>
            <w:shd w:val="clear" w:color="auto" w:fill="CCEEFF"/>
          </w:tcPr>
          <w:p>
            <w:pPr>
              <w:jc w:val="right"/>
              <w:ind w:right="880"/>
              <w:spacing w:after="0"/>
              <w:rPr>
                <w:sz w:val="20"/>
                <w:szCs w:val="20"/>
                <w:color w:val="auto"/>
              </w:rPr>
            </w:pPr>
            <w:r>
              <w:rPr>
                <w:rFonts w:ascii="Arial" w:cs="Arial" w:eastAsia="Arial" w:hAnsi="Arial"/>
                <w:sz w:val="18"/>
                <w:szCs w:val="18"/>
                <w:color w:val="auto"/>
              </w:rPr>
              <w:t>30.0%</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40.0%</w:t>
            </w:r>
          </w:p>
        </w:tc>
      </w:tr>
      <w:tr>
        <w:trPr>
          <w:trHeight w:val="222"/>
        </w:trPr>
        <w:tc>
          <w:tcPr>
            <w:tcW w:w="7700" w:type="dxa"/>
            <w:vAlign w:val="bottom"/>
          </w:tcPr>
          <w:p>
            <w:pPr>
              <w:spacing w:after="0"/>
              <w:rPr>
                <w:sz w:val="20"/>
                <w:szCs w:val="20"/>
                <w:color w:val="auto"/>
              </w:rPr>
            </w:pPr>
            <w:r>
              <w:rPr>
                <w:rFonts w:ascii="Arial" w:cs="Arial" w:eastAsia="Arial" w:hAnsi="Arial"/>
                <w:sz w:val="18"/>
                <w:szCs w:val="18"/>
                <w:color w:val="auto"/>
              </w:rPr>
              <w:t>Dividend yield</w:t>
            </w:r>
          </w:p>
        </w:tc>
        <w:tc>
          <w:tcPr>
            <w:tcW w:w="1840" w:type="dxa"/>
            <w:vAlign w:val="bottom"/>
            <w:gridSpan w:val="2"/>
          </w:tcPr>
          <w:p>
            <w:pPr>
              <w:jc w:val="right"/>
              <w:ind w:right="880"/>
              <w:spacing w:after="0"/>
              <w:rPr>
                <w:sz w:val="20"/>
                <w:szCs w:val="20"/>
                <w:color w:val="auto"/>
              </w:rPr>
            </w:pPr>
            <w:r>
              <w:rPr>
                <w:rFonts w:ascii="Arial" w:cs="Arial" w:eastAsia="Arial" w:hAnsi="Arial"/>
                <w:sz w:val="18"/>
                <w:szCs w:val="18"/>
                <w:color w:val="auto"/>
              </w:rPr>
              <w:t>4.5%</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4.0%</w:t>
            </w:r>
          </w:p>
        </w:tc>
      </w:tr>
    </w:tbl>
    <w:p>
      <w:pPr>
        <w:spacing w:after="0" w:line="147" w:lineRule="exact"/>
        <w:rPr>
          <w:sz w:val="20"/>
          <w:szCs w:val="20"/>
          <w:color w:val="auto"/>
        </w:rPr>
      </w:pPr>
    </w:p>
    <w:p>
      <w:pPr>
        <w:ind w:right="360"/>
        <w:spacing w:after="0" w:line="306" w:lineRule="auto"/>
        <w:rPr>
          <w:sz w:val="20"/>
          <w:szCs w:val="20"/>
          <w:color w:val="auto"/>
        </w:rPr>
      </w:pPr>
      <w:r>
        <w:rPr>
          <w:rFonts w:ascii="Arial" w:cs="Arial" w:eastAsia="Arial" w:hAnsi="Arial"/>
          <w:sz w:val="16"/>
          <w:szCs w:val="16"/>
          <w:color w:val="auto"/>
        </w:rPr>
        <w:t>As of November 25, 2006, there were 153,333 unvested stock options and $504 of total unrecognized compensation cost related to nonvested stock options granted under the Plans (150,000 from a grant during the third quarter of 2006 and 3,333 remaining unvested from a grant in the first quarter of 2004). Substantially all of these options vest over four years with 25% vesting on each anniversary date.</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color w:val="auto"/>
        </w:rPr>
        <w:t>For various price ranges, weighted-average characteristics of outstanding stock options at November 25, 2006, were as follows:</w:t>
      </w:r>
    </w:p>
    <w:p>
      <w:pPr>
        <w:spacing w:after="0" w:line="207" w:lineRule="exact"/>
        <w:rPr>
          <w:sz w:val="20"/>
          <w:szCs w:val="20"/>
          <w:color w:val="auto"/>
        </w:rPr>
      </w:pPr>
    </w:p>
    <w:tbl>
      <w:tblPr>
        <w:tblLayout w:type="fixed"/>
        <w:tblInd w:w="10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2460" w:type="dxa"/>
            <w:vAlign w:val="bottom"/>
            <w:tcBorders>
              <w:bottom w:val="single" w:sz="8" w:color="auto"/>
            </w:tcBorders>
            <w:gridSpan w:val="3"/>
          </w:tcPr>
          <w:p>
            <w:pPr>
              <w:ind w:left="680"/>
              <w:spacing w:after="0"/>
              <w:rPr>
                <w:sz w:val="20"/>
                <w:szCs w:val="20"/>
                <w:color w:val="auto"/>
              </w:rPr>
            </w:pPr>
            <w:r>
              <w:rPr>
                <w:rFonts w:ascii="Arial" w:cs="Arial" w:eastAsia="Arial" w:hAnsi="Arial"/>
                <w:sz w:val="14"/>
                <w:szCs w:val="14"/>
                <w:b w:val="1"/>
                <w:bCs w:val="1"/>
                <w:color w:val="auto"/>
              </w:rPr>
              <w:t>Options Outstanding</w:t>
            </w:r>
          </w:p>
        </w:tc>
        <w:tc>
          <w:tcPr>
            <w:tcW w:w="2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040" w:type="dxa"/>
            <w:vAlign w:val="bottom"/>
          </w:tcPr>
          <w:p>
            <w:pPr>
              <w:spacing w:after="0"/>
              <w:rPr>
                <w:sz w:val="14"/>
                <w:szCs w:val="14"/>
                <w:color w:val="auto"/>
              </w:rPr>
            </w:pPr>
          </w:p>
        </w:tc>
        <w:tc>
          <w:tcPr>
            <w:tcW w:w="1720" w:type="dxa"/>
            <w:vAlign w:val="bottom"/>
            <w:tcBorders>
              <w:bottom w:val="single" w:sz="8" w:color="auto"/>
            </w:tcBorders>
            <w:gridSpan w:val="2"/>
          </w:tcPr>
          <w:p>
            <w:pPr>
              <w:ind w:left="560"/>
              <w:spacing w:after="0"/>
              <w:rPr>
                <w:sz w:val="20"/>
                <w:szCs w:val="20"/>
                <w:color w:val="auto"/>
              </w:rPr>
            </w:pPr>
            <w:r>
              <w:rPr>
                <w:rFonts w:ascii="Arial" w:cs="Arial" w:eastAsia="Arial" w:hAnsi="Arial"/>
                <w:sz w:val="14"/>
                <w:szCs w:val="14"/>
                <w:b w:val="1"/>
                <w:bCs w:val="1"/>
                <w:color w:val="auto"/>
                <w:w w:val="84"/>
              </w:rPr>
              <w:t>Options Exercisable</w:t>
            </w:r>
          </w:p>
        </w:tc>
        <w:tc>
          <w:tcPr>
            <w:tcW w:w="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420" w:type="dxa"/>
            <w:vAlign w:val="bottom"/>
            <w:gridSpan w:val="2"/>
          </w:tcPr>
          <w:p>
            <w:pPr>
              <w:jc w:val="center"/>
              <w:ind w:right="672"/>
              <w:spacing w:after="0" w:line="129" w:lineRule="exact"/>
              <w:rPr>
                <w:sz w:val="20"/>
                <w:szCs w:val="20"/>
                <w:color w:val="auto"/>
              </w:rPr>
            </w:pPr>
            <w:r>
              <w:rPr>
                <w:rFonts w:ascii="Arial" w:cs="Arial" w:eastAsia="Arial" w:hAnsi="Arial"/>
                <w:sz w:val="14"/>
                <w:szCs w:val="14"/>
                <w:b w:val="1"/>
                <w:bCs w:val="1"/>
                <w:color w:val="auto"/>
                <w:w w:val="85"/>
              </w:rPr>
              <w:t>Weighted</w:t>
            </w:r>
          </w:p>
        </w:tc>
        <w:tc>
          <w:tcPr>
            <w:tcW w:w="2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420" w:type="dxa"/>
            <w:vAlign w:val="bottom"/>
            <w:gridSpan w:val="2"/>
          </w:tcPr>
          <w:p>
            <w:pPr>
              <w:jc w:val="center"/>
              <w:ind w:right="672"/>
              <w:spacing w:after="0" w:line="149" w:lineRule="exact"/>
              <w:rPr>
                <w:sz w:val="20"/>
                <w:szCs w:val="20"/>
                <w:color w:val="auto"/>
              </w:rPr>
            </w:pPr>
            <w:r>
              <w:rPr>
                <w:rFonts w:ascii="Arial" w:cs="Arial" w:eastAsia="Arial" w:hAnsi="Arial"/>
                <w:sz w:val="14"/>
                <w:szCs w:val="14"/>
                <w:b w:val="1"/>
                <w:bCs w:val="1"/>
                <w:color w:val="auto"/>
                <w:w w:val="86"/>
              </w:rPr>
              <w:t>average</w:t>
            </w:r>
          </w:p>
        </w:tc>
        <w:tc>
          <w:tcPr>
            <w:tcW w:w="840" w:type="dxa"/>
            <w:vAlign w:val="bottom"/>
            <w:gridSpan w:val="2"/>
          </w:tcPr>
          <w:p>
            <w:pPr>
              <w:jc w:val="center"/>
              <w:ind w:left="177"/>
              <w:spacing w:after="0" w:line="149" w:lineRule="exact"/>
              <w:rPr>
                <w:sz w:val="20"/>
                <w:szCs w:val="20"/>
                <w:color w:val="auto"/>
              </w:rPr>
            </w:pPr>
            <w:r>
              <w:rPr>
                <w:rFonts w:ascii="Arial" w:cs="Arial" w:eastAsia="Arial" w:hAnsi="Arial"/>
                <w:sz w:val="14"/>
                <w:szCs w:val="14"/>
                <w:b w:val="1"/>
                <w:bCs w:val="1"/>
                <w:color w:val="auto"/>
                <w:w w:val="85"/>
              </w:rPr>
              <w:t>Weighted</w:t>
            </w:r>
          </w:p>
        </w:tc>
        <w:tc>
          <w:tcPr>
            <w:tcW w:w="10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5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Weighted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420" w:type="dxa"/>
            <w:vAlign w:val="bottom"/>
            <w:gridSpan w:val="2"/>
          </w:tcPr>
          <w:p>
            <w:pPr>
              <w:jc w:val="center"/>
              <w:ind w:right="672"/>
              <w:spacing w:after="0" w:line="149" w:lineRule="exact"/>
              <w:rPr>
                <w:sz w:val="20"/>
                <w:szCs w:val="20"/>
                <w:color w:val="auto"/>
              </w:rPr>
            </w:pPr>
            <w:r>
              <w:rPr>
                <w:rFonts w:ascii="Arial" w:cs="Arial" w:eastAsia="Arial" w:hAnsi="Arial"/>
                <w:sz w:val="14"/>
                <w:szCs w:val="14"/>
                <w:b w:val="1"/>
                <w:bCs w:val="1"/>
                <w:color w:val="auto"/>
                <w:w w:val="86"/>
              </w:rPr>
              <w:t>remaining</w:t>
            </w:r>
          </w:p>
        </w:tc>
        <w:tc>
          <w:tcPr>
            <w:tcW w:w="280" w:type="dxa"/>
            <w:vAlign w:val="bottom"/>
          </w:tcPr>
          <w:p>
            <w:pPr>
              <w:spacing w:after="0"/>
              <w:rPr>
                <w:sz w:val="12"/>
                <w:szCs w:val="12"/>
                <w:color w:val="auto"/>
              </w:rPr>
            </w:pPr>
          </w:p>
        </w:tc>
        <w:tc>
          <w:tcPr>
            <w:tcW w:w="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average</w:t>
            </w:r>
          </w:p>
        </w:tc>
        <w:tc>
          <w:tcPr>
            <w:tcW w:w="10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average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9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Range of</w:t>
            </w:r>
          </w:p>
        </w:tc>
        <w:tc>
          <w:tcPr>
            <w:tcW w:w="1020" w:type="dxa"/>
            <w:vAlign w:val="bottom"/>
          </w:tcPr>
          <w:p>
            <w:pPr>
              <w:spacing w:after="0"/>
              <w:rPr>
                <w:sz w:val="12"/>
                <w:szCs w:val="12"/>
                <w:color w:val="auto"/>
              </w:rPr>
            </w:pPr>
          </w:p>
        </w:tc>
        <w:tc>
          <w:tcPr>
            <w:tcW w:w="700" w:type="dxa"/>
            <w:vAlign w:val="bottom"/>
          </w:tcPr>
          <w:p>
            <w:pPr>
              <w:jc w:val="right"/>
              <w:ind w:right="46"/>
              <w:spacing w:after="0" w:line="149" w:lineRule="exact"/>
              <w:rPr>
                <w:sz w:val="20"/>
                <w:szCs w:val="20"/>
                <w:color w:val="auto"/>
              </w:rPr>
            </w:pPr>
            <w:r>
              <w:rPr>
                <w:rFonts w:ascii="Arial" w:cs="Arial" w:eastAsia="Arial" w:hAnsi="Arial"/>
                <w:sz w:val="14"/>
                <w:szCs w:val="14"/>
                <w:b w:val="1"/>
                <w:bCs w:val="1"/>
                <w:color w:val="auto"/>
              </w:rPr>
              <w:t>Number</w:t>
            </w:r>
          </w:p>
        </w:tc>
        <w:tc>
          <w:tcPr>
            <w:tcW w:w="2460" w:type="dxa"/>
            <w:vAlign w:val="bottom"/>
            <w:gridSpan w:val="3"/>
          </w:tcPr>
          <w:p>
            <w:pPr>
              <w:jc w:val="center"/>
              <w:ind w:left="200"/>
              <w:spacing w:after="0" w:line="149" w:lineRule="exact"/>
              <w:rPr>
                <w:sz w:val="20"/>
                <w:szCs w:val="20"/>
                <w:color w:val="auto"/>
              </w:rPr>
            </w:pPr>
            <w:r>
              <w:rPr>
                <w:rFonts w:ascii="Arial" w:cs="Arial" w:eastAsia="Arial" w:hAnsi="Arial"/>
                <w:sz w:val="14"/>
                <w:szCs w:val="14"/>
                <w:b w:val="1"/>
                <w:bCs w:val="1"/>
                <w:color w:val="auto"/>
                <w:w w:val="87"/>
              </w:rPr>
              <w:t>contractual</w:t>
            </w:r>
          </w:p>
        </w:tc>
        <w:tc>
          <w:tcPr>
            <w:tcW w:w="280" w:type="dxa"/>
            <w:vAlign w:val="bottom"/>
          </w:tcPr>
          <w:p>
            <w:pPr>
              <w:spacing w:after="0"/>
              <w:rPr>
                <w:sz w:val="12"/>
                <w:szCs w:val="12"/>
                <w:color w:val="auto"/>
              </w:rPr>
            </w:pPr>
          </w:p>
        </w:tc>
        <w:tc>
          <w:tcPr>
            <w:tcW w:w="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1"/>
              </w:rPr>
              <w:t>exercise</w:t>
            </w:r>
          </w:p>
        </w:tc>
        <w:tc>
          <w:tcPr>
            <w:tcW w:w="1040" w:type="dxa"/>
            <w:vAlign w:val="bottom"/>
          </w:tcPr>
          <w:p>
            <w:pPr>
              <w:spacing w:after="0"/>
              <w:rPr>
                <w:sz w:val="12"/>
                <w:szCs w:val="12"/>
                <w:color w:val="auto"/>
              </w:rPr>
            </w:pPr>
          </w:p>
        </w:tc>
        <w:tc>
          <w:tcPr>
            <w:tcW w:w="172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Number</w:t>
            </w:r>
          </w:p>
        </w:tc>
        <w:tc>
          <w:tcPr>
            <w:tcW w:w="20" w:type="dxa"/>
            <w:vAlign w:val="bottom"/>
          </w:tcPr>
          <w:p>
            <w:pPr>
              <w:spacing w:after="0"/>
              <w:rPr>
                <w:sz w:val="12"/>
                <w:szCs w:val="12"/>
                <w:color w:val="auto"/>
              </w:rPr>
            </w:pPr>
          </w:p>
        </w:tc>
        <w:tc>
          <w:tcPr>
            <w:tcW w:w="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1"/>
              </w:rPr>
              <w:t>exercise</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2"/>
              </w:rPr>
              <w:t>exercise prices</w:t>
            </w:r>
          </w:p>
        </w:tc>
        <w:tc>
          <w:tcPr>
            <w:tcW w:w="1020" w:type="dxa"/>
            <w:vAlign w:val="bottom"/>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2"/>
              </w:rPr>
              <w:t>outstanding</w:t>
            </w:r>
          </w:p>
        </w:tc>
        <w:tc>
          <w:tcPr>
            <w:tcW w:w="1040" w:type="dxa"/>
            <w:vAlign w:val="bottom"/>
          </w:tcPr>
          <w:p>
            <w:pPr>
              <w:spacing w:after="0"/>
              <w:rPr>
                <w:sz w:val="14"/>
                <w:szCs w:val="14"/>
                <w:color w:val="auto"/>
              </w:rPr>
            </w:pPr>
          </w:p>
        </w:tc>
        <w:tc>
          <w:tcPr>
            <w:tcW w:w="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life (years)</w:t>
            </w:r>
          </w:p>
        </w:tc>
        <w:tc>
          <w:tcPr>
            <w:tcW w:w="7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price</w:t>
            </w:r>
          </w:p>
        </w:tc>
        <w:tc>
          <w:tcPr>
            <w:tcW w:w="1040" w:type="dxa"/>
            <w:vAlign w:val="bottom"/>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3"/>
              </w:rPr>
              <w:t>exercisable</w:t>
            </w:r>
          </w:p>
        </w:tc>
        <w:tc>
          <w:tcPr>
            <w:tcW w:w="10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price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$9.67 -$16.12</w:t>
            </w:r>
          </w:p>
        </w:tc>
        <w:tc>
          <w:tcPr>
            <w:tcW w:w="1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553,138</w:t>
            </w:r>
          </w:p>
        </w:tc>
        <w:tc>
          <w:tcPr>
            <w:tcW w:w="1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7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$ 14.85</w:t>
            </w:r>
          </w:p>
        </w:tc>
        <w:tc>
          <w:tcPr>
            <w:tcW w:w="1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549,805</w:t>
            </w:r>
          </w:p>
        </w:tc>
        <w:tc>
          <w:tcPr>
            <w:tcW w:w="10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$ 14.84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8"/>
                <w:szCs w:val="18"/>
                <w:color w:val="auto"/>
                <w:w w:val="88"/>
              </w:rPr>
              <w:t>16.13 - 22.57</w:t>
            </w:r>
          </w:p>
        </w:tc>
        <w:tc>
          <w:tcPr>
            <w:tcW w:w="1720" w:type="dxa"/>
            <w:vAlign w:val="bottom"/>
            <w:gridSpan w:val="2"/>
          </w:tcPr>
          <w:p>
            <w:pPr>
              <w:jc w:val="right"/>
              <w:spacing w:after="0"/>
              <w:rPr>
                <w:sz w:val="20"/>
                <w:szCs w:val="20"/>
                <w:color w:val="auto"/>
              </w:rPr>
            </w:pPr>
            <w:r>
              <w:rPr>
                <w:rFonts w:ascii="Arial" w:cs="Arial" w:eastAsia="Arial" w:hAnsi="Arial"/>
                <w:sz w:val="18"/>
                <w:szCs w:val="18"/>
                <w:color w:val="auto"/>
              </w:rPr>
              <w:t>530,500</w:t>
            </w:r>
          </w:p>
        </w:tc>
        <w:tc>
          <w:tcPr>
            <w:tcW w:w="1700" w:type="dxa"/>
            <w:vAlign w:val="bottom"/>
            <w:gridSpan w:val="2"/>
          </w:tcPr>
          <w:p>
            <w:pPr>
              <w:jc w:val="right"/>
              <w:spacing w:after="0"/>
              <w:rPr>
                <w:sz w:val="20"/>
                <w:szCs w:val="20"/>
                <w:color w:val="auto"/>
              </w:rPr>
            </w:pPr>
            <w:r>
              <w:rPr>
                <w:rFonts w:ascii="Arial" w:cs="Arial" w:eastAsia="Arial" w:hAnsi="Arial"/>
                <w:sz w:val="18"/>
                <w:szCs w:val="18"/>
                <w:color w:val="auto"/>
              </w:rPr>
              <w:t>6.8</w:t>
            </w:r>
          </w:p>
        </w:tc>
        <w:tc>
          <w:tcPr>
            <w:tcW w:w="760" w:type="dxa"/>
            <w:vAlign w:val="bottom"/>
          </w:tcPr>
          <w:p>
            <w:pPr>
              <w:spacing w:after="0"/>
              <w:rPr>
                <w:sz w:val="18"/>
                <w:szCs w:val="18"/>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20.02</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380,500</w:t>
            </w:r>
          </w:p>
        </w:tc>
        <w:tc>
          <w:tcPr>
            <w:tcW w:w="1020" w:type="dxa"/>
            <w:vAlign w:val="bottom"/>
          </w:tcPr>
          <w:p>
            <w:pPr>
              <w:spacing w:after="0"/>
              <w:rPr>
                <w:sz w:val="18"/>
                <w:szCs w:val="18"/>
                <w:color w:val="auto"/>
              </w:rPr>
            </w:pPr>
          </w:p>
        </w:tc>
        <w:tc>
          <w:tcPr>
            <w:tcW w:w="580" w:type="dxa"/>
            <w:vAlign w:val="bottom"/>
            <w:gridSpan w:val="2"/>
          </w:tcPr>
          <w:p>
            <w:pPr>
              <w:jc w:val="right"/>
              <w:spacing w:after="0"/>
              <w:rPr>
                <w:sz w:val="20"/>
                <w:szCs w:val="20"/>
                <w:color w:val="auto"/>
              </w:rPr>
            </w:pPr>
            <w:r>
              <w:rPr>
                <w:rFonts w:ascii="Arial" w:cs="Arial" w:eastAsia="Arial" w:hAnsi="Arial"/>
                <w:sz w:val="18"/>
                <w:szCs w:val="18"/>
                <w:color w:val="auto"/>
              </w:rPr>
              <w:t>21.22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22.58 - 32.25</w:t>
            </w:r>
          </w:p>
        </w:tc>
        <w:tc>
          <w:tcPr>
            <w:tcW w:w="1020" w:type="dxa"/>
            <w:vAlign w:val="bottom"/>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332,272</w:t>
            </w:r>
          </w:p>
        </w:tc>
        <w:tc>
          <w:tcPr>
            <w:tcW w:w="1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7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29.18</w:t>
            </w:r>
          </w:p>
        </w:tc>
        <w:tc>
          <w:tcPr>
            <w:tcW w:w="1040" w:type="dxa"/>
            <w:vAlign w:val="bottom"/>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332,272</w:t>
            </w:r>
          </w:p>
        </w:tc>
        <w:tc>
          <w:tcPr>
            <w:tcW w:w="10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29.18</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720" w:type="dxa"/>
            <w:vAlign w:val="bottom"/>
            <w:gridSpan w:val="2"/>
          </w:tcPr>
          <w:p>
            <w:pPr>
              <w:jc w:val="right"/>
              <w:spacing w:after="0"/>
              <w:rPr>
                <w:sz w:val="20"/>
                <w:szCs w:val="20"/>
                <w:color w:val="auto"/>
              </w:rPr>
            </w:pPr>
            <w:r>
              <w:rPr>
                <w:rFonts w:ascii="Arial" w:cs="Arial" w:eastAsia="Arial" w:hAnsi="Arial"/>
                <w:sz w:val="18"/>
                <w:szCs w:val="18"/>
                <w:color w:val="auto"/>
              </w:rPr>
              <w:t>1,415,910</w:t>
            </w:r>
          </w:p>
        </w:tc>
        <w:tc>
          <w:tcPr>
            <w:tcW w:w="10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1,262,577</w:t>
            </w:r>
          </w:p>
        </w:tc>
        <w:tc>
          <w:tcPr>
            <w:tcW w:w="10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60" w:type="dxa"/>
            <w:vAlign w:val="bottom"/>
            <w:vMerge w:val="restart"/>
          </w:tcPr>
          <w:p>
            <w:pPr>
              <w:ind w:left="40"/>
              <w:spacing w:after="0"/>
              <w:rPr>
                <w:sz w:val="20"/>
                <w:szCs w:val="20"/>
                <w:color w:val="auto"/>
              </w:rPr>
            </w:pPr>
            <w:r>
              <w:rPr>
                <w:rFonts w:ascii="Arial" w:cs="Arial" w:eastAsia="Arial" w:hAnsi="Arial"/>
                <w:sz w:val="18"/>
                <w:szCs w:val="18"/>
                <w:color w:val="auto"/>
              </w:rPr>
              <w:t>F - 38</w:t>
            </w:r>
          </w:p>
        </w:tc>
        <w:tc>
          <w:tcPr>
            <w:tcW w:w="2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6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80"/>
          </w:cols>
          <w:pgMar w:left="240" w:top="459" w:right="37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65" w:lineRule="exact"/>
        <w:rPr>
          <w:sz w:val="20"/>
          <w:szCs w:val="20"/>
          <w:color w:val="auto"/>
        </w:rPr>
      </w:pPr>
    </w:p>
    <w:p>
      <w:pPr>
        <w:ind w:right="560"/>
        <w:spacing w:after="0" w:line="332" w:lineRule="auto"/>
        <w:rPr>
          <w:sz w:val="20"/>
          <w:szCs w:val="20"/>
          <w:color w:val="auto"/>
        </w:rPr>
      </w:pPr>
      <w:r>
        <w:rPr>
          <w:rFonts w:ascii="Arial" w:cs="Arial" w:eastAsia="Arial" w:hAnsi="Arial"/>
          <w:sz w:val="16"/>
          <w:szCs w:val="16"/>
          <w:color w:val="auto"/>
        </w:rPr>
        <w:t>The weighted average fair value of options granted during 2006 was $3.71. No options were granted during 2005. The aggregate intrinsic value of options outstanding and exercisable at November 25, 2006, was $1,407. The aggregate intrinsic value of options exercised during 2006 was $47.</w:t>
      </w:r>
    </w:p>
    <w:p>
      <w:pPr>
        <w:spacing w:after="0" w:line="85" w:lineRule="exact"/>
        <w:rPr>
          <w:sz w:val="20"/>
          <w:szCs w:val="20"/>
          <w:color w:val="auto"/>
        </w:rPr>
      </w:pPr>
    </w:p>
    <w:p>
      <w:pPr>
        <w:ind w:right="160"/>
        <w:spacing w:after="0" w:line="268" w:lineRule="auto"/>
        <w:rPr>
          <w:sz w:val="20"/>
          <w:szCs w:val="20"/>
          <w:color w:val="auto"/>
        </w:rPr>
      </w:pPr>
      <w:r>
        <w:rPr>
          <w:rFonts w:ascii="Arial" w:cs="Arial" w:eastAsia="Arial" w:hAnsi="Arial"/>
          <w:sz w:val="18"/>
          <w:szCs w:val="18"/>
          <w:color w:val="auto"/>
        </w:rPr>
        <w:t>The following pro forma information is presented as if we had adopted the fair value method for recognition purposes under SFAS No. 123R for all outstanding and unvested awards in the prior year comparable periods.</w:t>
      </w:r>
    </w:p>
    <w:p>
      <w:pPr>
        <w:spacing w:after="0" w:line="156"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7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500" w:type="dxa"/>
            <w:vAlign w:val="bottom"/>
            <w:gridSpan w:val="2"/>
          </w:tcPr>
          <w:p>
            <w:pPr>
              <w:jc w:val="right"/>
              <w:ind w:right="760"/>
              <w:spacing w:after="0"/>
              <w:rPr>
                <w:sz w:val="20"/>
                <w:szCs w:val="20"/>
                <w:color w:val="auto"/>
              </w:rPr>
            </w:pPr>
            <w:r>
              <w:rPr>
                <w:rFonts w:ascii="Arial" w:cs="Arial" w:eastAsia="Arial" w:hAnsi="Arial"/>
                <w:sz w:val="14"/>
                <w:szCs w:val="14"/>
                <w:b w:val="1"/>
                <w:bCs w:val="1"/>
                <w:color w:val="auto"/>
                <w:w w:val="88"/>
              </w:rPr>
              <w:t>As Restated</w:t>
            </w:r>
          </w:p>
        </w:tc>
        <w:tc>
          <w:tcPr>
            <w:tcW w:w="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149"/>
        </w:trPr>
        <w:tc>
          <w:tcPr>
            <w:tcW w:w="7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500" w:type="dxa"/>
            <w:vAlign w:val="bottom"/>
            <w:gridSpan w:val="2"/>
          </w:tcPr>
          <w:p>
            <w:pPr>
              <w:jc w:val="right"/>
              <w:ind w:right="760"/>
              <w:spacing w:after="0" w:line="149" w:lineRule="exact"/>
              <w:rPr>
                <w:sz w:val="20"/>
                <w:szCs w:val="20"/>
                <w:color w:val="auto"/>
              </w:rPr>
            </w:pPr>
            <w:r>
              <w:rPr>
                <w:rFonts w:ascii="Arial" w:cs="Arial" w:eastAsia="Arial" w:hAnsi="Arial"/>
                <w:sz w:val="14"/>
                <w:szCs w:val="14"/>
                <w:b w:val="1"/>
                <w:bCs w:val="1"/>
                <w:color w:val="auto"/>
                <w:w w:val="93"/>
              </w:rPr>
              <w:t>Year Ended</w:t>
            </w:r>
          </w:p>
        </w:tc>
        <w:tc>
          <w:tcPr>
            <w:tcW w:w="4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gridSpan w:val="2"/>
          </w:tcPr>
          <w:p>
            <w:pPr>
              <w:jc w:val="right"/>
              <w:ind w:right="280"/>
              <w:spacing w:after="0" w:line="149" w:lineRule="exact"/>
              <w:rPr>
                <w:sz w:val="20"/>
                <w:szCs w:val="20"/>
                <w:color w:val="auto"/>
              </w:rPr>
            </w:pPr>
            <w:r>
              <w:rPr>
                <w:rFonts w:ascii="Arial" w:cs="Arial" w:eastAsia="Arial" w:hAnsi="Arial"/>
                <w:sz w:val="14"/>
                <w:szCs w:val="14"/>
                <w:b w:val="1"/>
                <w:bCs w:val="1"/>
                <w:color w:val="auto"/>
                <w:w w:val="93"/>
              </w:rPr>
              <w:t>Year Ended</w:t>
            </w:r>
          </w:p>
        </w:tc>
      </w:tr>
      <w:tr>
        <w:trPr>
          <w:trHeight w:val="175"/>
        </w:trPr>
        <w:tc>
          <w:tcPr>
            <w:tcW w:w="7200" w:type="dxa"/>
            <w:vAlign w:val="bottom"/>
          </w:tcPr>
          <w:p>
            <w:pPr>
              <w:spacing w:after="0"/>
              <w:rPr>
                <w:sz w:val="15"/>
                <w:szCs w:val="15"/>
                <w:color w:val="auto"/>
              </w:rPr>
            </w:pPr>
          </w:p>
        </w:tc>
        <w:tc>
          <w:tcPr>
            <w:tcW w:w="1640" w:type="dxa"/>
            <w:vAlign w:val="bottom"/>
            <w:gridSpan w:val="3"/>
          </w:tcPr>
          <w:p>
            <w:pPr>
              <w:spacing w:after="0"/>
              <w:rPr>
                <w:sz w:val="20"/>
                <w:szCs w:val="20"/>
                <w:color w:val="auto"/>
              </w:rPr>
            </w:pPr>
            <w:r>
              <w:rPr>
                <w:rFonts w:ascii="Arial" w:cs="Arial" w:eastAsia="Arial" w:hAnsi="Arial"/>
                <w:sz w:val="14"/>
                <w:szCs w:val="14"/>
                <w:b w:val="1"/>
                <w:bCs w:val="1"/>
                <w:color w:val="auto"/>
              </w:rPr>
              <w:t>November 26, 2005</w:t>
            </w:r>
          </w:p>
        </w:tc>
        <w:tc>
          <w:tcPr>
            <w:tcW w:w="480" w:type="dxa"/>
            <w:vAlign w:val="bottom"/>
          </w:tcPr>
          <w:p>
            <w:pPr>
              <w:spacing w:after="0"/>
              <w:rPr>
                <w:sz w:val="15"/>
                <w:szCs w:val="15"/>
                <w:color w:val="auto"/>
              </w:rPr>
            </w:pPr>
          </w:p>
        </w:tc>
        <w:tc>
          <w:tcPr>
            <w:tcW w:w="1180" w:type="dxa"/>
            <w:vAlign w:val="bottom"/>
            <w:gridSpan w:val="3"/>
          </w:tcPr>
          <w:p>
            <w:pPr>
              <w:spacing w:after="0"/>
              <w:rPr>
                <w:sz w:val="20"/>
                <w:szCs w:val="20"/>
                <w:color w:val="auto"/>
              </w:rPr>
            </w:pPr>
            <w:r>
              <w:rPr>
                <w:rFonts w:ascii="Arial" w:cs="Arial" w:eastAsia="Arial" w:hAnsi="Arial"/>
                <w:sz w:val="14"/>
                <w:szCs w:val="14"/>
                <w:b w:val="1"/>
                <w:bCs w:val="1"/>
                <w:color w:val="auto"/>
                <w:w w:val="91"/>
              </w:rPr>
              <w:t>November 27, 2004</w:t>
            </w:r>
          </w:p>
        </w:tc>
      </w:tr>
      <w:tr>
        <w:trPr>
          <w:trHeight w:val="210"/>
        </w:trPr>
        <w:tc>
          <w:tcPr>
            <w:tcW w:w="720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14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7200" w:type="dxa"/>
            <w:vAlign w:val="bottom"/>
          </w:tcPr>
          <w:p>
            <w:pPr>
              <w:ind w:left="440"/>
              <w:spacing w:after="0"/>
              <w:rPr>
                <w:sz w:val="20"/>
                <w:szCs w:val="20"/>
                <w:color w:val="auto"/>
              </w:rPr>
            </w:pPr>
            <w:r>
              <w:rPr>
                <w:rFonts w:ascii="Arial" w:cs="Arial" w:eastAsia="Arial" w:hAnsi="Arial"/>
                <w:sz w:val="18"/>
                <w:szCs w:val="18"/>
                <w:color w:val="auto"/>
              </w:rPr>
              <w:t>As reported</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9,814</w:t>
            </w:r>
          </w:p>
        </w:tc>
        <w:tc>
          <w:tcPr>
            <w:tcW w:w="540" w:type="dxa"/>
            <w:vAlign w:val="bottom"/>
          </w:tcPr>
          <w:p>
            <w:pPr>
              <w:spacing w:after="0"/>
              <w:rPr>
                <w:sz w:val="18"/>
                <w:szCs w:val="18"/>
                <w:color w:val="auto"/>
              </w:rPr>
            </w:pPr>
          </w:p>
        </w:tc>
        <w:tc>
          <w:tcPr>
            <w:tcW w:w="64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8,209</w:t>
            </w:r>
          </w:p>
        </w:tc>
        <w:tc>
          <w:tcPr>
            <w:tcW w:w="60" w:type="dxa"/>
            <w:vAlign w:val="bottom"/>
          </w:tcPr>
          <w:p>
            <w:pPr>
              <w:spacing w:after="0"/>
              <w:rPr>
                <w:sz w:val="18"/>
                <w:szCs w:val="18"/>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Less: pro forma expense, net of tax, related to stock options</w:t>
            </w:r>
          </w:p>
        </w:tc>
        <w:tc>
          <w:tcPr>
            <w:tcW w:w="14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(49)</w:t>
            </w:r>
          </w:p>
        </w:tc>
        <w:tc>
          <w:tcPr>
            <w:tcW w:w="4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(1,275)</w:t>
            </w:r>
          </w:p>
        </w:tc>
      </w:tr>
      <w:tr>
        <w:trPr>
          <w:trHeight w:val="222"/>
        </w:trPr>
        <w:tc>
          <w:tcPr>
            <w:tcW w:w="7200" w:type="dxa"/>
            <w:vAlign w:val="bottom"/>
          </w:tcPr>
          <w:p>
            <w:pPr>
              <w:ind w:left="440"/>
              <w:spacing w:after="0"/>
              <w:rPr>
                <w:sz w:val="20"/>
                <w:szCs w:val="20"/>
                <w:color w:val="auto"/>
              </w:rPr>
            </w:pPr>
            <w:r>
              <w:rPr>
                <w:rFonts w:ascii="Arial" w:cs="Arial" w:eastAsia="Arial" w:hAnsi="Arial"/>
                <w:sz w:val="18"/>
                <w:szCs w:val="18"/>
                <w:color w:val="auto"/>
              </w:rPr>
              <w:t>Pro forma net income</w:t>
            </w: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9,765</w:t>
            </w:r>
          </w:p>
        </w:tc>
        <w:tc>
          <w:tcPr>
            <w:tcW w:w="5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6,934</w:t>
            </w:r>
          </w:p>
        </w:tc>
        <w:tc>
          <w:tcPr>
            <w:tcW w:w="60" w:type="dxa"/>
            <w:vAlign w:val="bottom"/>
          </w:tcPr>
          <w:p>
            <w:pPr>
              <w:spacing w:after="0"/>
              <w:rPr>
                <w:sz w:val="19"/>
                <w:szCs w:val="19"/>
                <w:color w:val="auto"/>
              </w:rPr>
            </w:pPr>
          </w:p>
        </w:tc>
      </w:tr>
      <w:tr>
        <w:trPr>
          <w:trHeight w:val="20"/>
        </w:trPr>
        <w:tc>
          <w:tcPr>
            <w:tcW w:w="7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11"/>
        </w:trPr>
        <w:tc>
          <w:tcPr>
            <w:tcW w:w="7200" w:type="dxa"/>
            <w:vAlign w:val="bottom"/>
            <w:shd w:val="clear" w:color="auto" w:fill="CCEEFF"/>
          </w:tcPr>
          <w:p>
            <w:pPr>
              <w:spacing w:after="0"/>
              <w:rPr>
                <w:sz w:val="20"/>
                <w:szCs w:val="20"/>
                <w:color w:val="auto"/>
              </w:rPr>
            </w:pPr>
            <w:r>
              <w:rPr>
                <w:rFonts w:ascii="Arial" w:cs="Arial" w:eastAsia="Arial" w:hAnsi="Arial"/>
                <w:sz w:val="18"/>
                <w:szCs w:val="18"/>
                <w:color w:val="auto"/>
              </w:rPr>
              <w:t>Earnings per share:</w:t>
            </w: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7200" w:type="dxa"/>
            <w:vAlign w:val="bottom"/>
          </w:tcPr>
          <w:p>
            <w:pPr>
              <w:ind w:left="440"/>
              <w:spacing w:after="0"/>
              <w:rPr>
                <w:sz w:val="20"/>
                <w:szCs w:val="20"/>
                <w:color w:val="auto"/>
              </w:rPr>
            </w:pPr>
            <w:r>
              <w:rPr>
                <w:rFonts w:ascii="Arial" w:cs="Arial" w:eastAsia="Arial" w:hAnsi="Arial"/>
                <w:sz w:val="18"/>
                <w:szCs w:val="18"/>
                <w:color w:val="auto"/>
              </w:rPr>
              <w:t>As reported</w:t>
            </w:r>
          </w:p>
        </w:tc>
        <w:tc>
          <w:tcPr>
            <w:tcW w:w="1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7200" w:type="dxa"/>
            <w:vAlign w:val="bottom"/>
            <w:shd w:val="clear" w:color="auto" w:fill="CCEEFF"/>
          </w:tcPr>
          <w:p>
            <w:pPr>
              <w:ind w:left="880"/>
              <w:spacing w:after="0"/>
              <w:rPr>
                <w:sz w:val="20"/>
                <w:szCs w:val="20"/>
                <w:color w:val="auto"/>
              </w:rPr>
            </w:pPr>
            <w:r>
              <w:rPr>
                <w:rFonts w:ascii="Arial" w:cs="Arial" w:eastAsia="Arial" w:hAnsi="Arial"/>
                <w:sz w:val="18"/>
                <w:szCs w:val="18"/>
                <w:color w:val="auto"/>
              </w:rPr>
              <w:t>Basic</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0.83</w:t>
            </w:r>
          </w:p>
        </w:tc>
        <w:tc>
          <w:tcPr>
            <w:tcW w:w="5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0.70</w:t>
            </w:r>
          </w:p>
        </w:tc>
        <w:tc>
          <w:tcPr>
            <w:tcW w:w="60" w:type="dxa"/>
            <w:vAlign w:val="bottom"/>
            <w:shd w:val="clear" w:color="auto" w:fill="CCEEFF"/>
          </w:tcPr>
          <w:p>
            <w:pPr>
              <w:spacing w:after="0"/>
              <w:rPr>
                <w:sz w:val="18"/>
                <w:szCs w:val="18"/>
                <w:color w:val="auto"/>
              </w:rPr>
            </w:pPr>
          </w:p>
        </w:tc>
      </w:tr>
      <w:tr>
        <w:trPr>
          <w:trHeight w:val="216"/>
        </w:trPr>
        <w:tc>
          <w:tcPr>
            <w:tcW w:w="7200" w:type="dxa"/>
            <w:vAlign w:val="bottom"/>
          </w:tcPr>
          <w:p>
            <w:pPr>
              <w:ind w:left="880"/>
              <w:spacing w:after="0"/>
              <w:rPr>
                <w:sz w:val="20"/>
                <w:szCs w:val="20"/>
                <w:color w:val="auto"/>
              </w:rPr>
            </w:pPr>
            <w:r>
              <w:rPr>
                <w:rFonts w:ascii="Arial" w:cs="Arial" w:eastAsia="Arial" w:hAnsi="Arial"/>
                <w:sz w:val="18"/>
                <w:szCs w:val="18"/>
                <w:color w:val="auto"/>
              </w:rPr>
              <w:t>Diluted</w:t>
            </w:r>
          </w:p>
        </w:tc>
        <w:tc>
          <w:tcPr>
            <w:tcW w:w="1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0.82</w:t>
            </w:r>
          </w:p>
        </w:tc>
        <w:tc>
          <w:tcPr>
            <w:tcW w:w="5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0.59</w:t>
            </w:r>
          </w:p>
        </w:tc>
        <w:tc>
          <w:tcPr>
            <w:tcW w:w="60" w:type="dxa"/>
            <w:vAlign w:val="bottom"/>
          </w:tcPr>
          <w:p>
            <w:pPr>
              <w:spacing w:after="0"/>
              <w:rPr>
                <w:sz w:val="18"/>
                <w:szCs w:val="18"/>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Pro forma</w:t>
            </w: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7200" w:type="dxa"/>
            <w:vAlign w:val="bottom"/>
          </w:tcPr>
          <w:p>
            <w:pPr>
              <w:ind w:left="880"/>
              <w:spacing w:after="0"/>
              <w:rPr>
                <w:sz w:val="20"/>
                <w:szCs w:val="20"/>
                <w:color w:val="auto"/>
              </w:rPr>
            </w:pPr>
            <w:r>
              <w:rPr>
                <w:rFonts w:ascii="Arial" w:cs="Arial" w:eastAsia="Arial" w:hAnsi="Arial"/>
                <w:sz w:val="18"/>
                <w:szCs w:val="18"/>
                <w:color w:val="auto"/>
              </w:rPr>
              <w:t>Basic</w:t>
            </w:r>
          </w:p>
        </w:tc>
        <w:tc>
          <w:tcPr>
            <w:tcW w:w="1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0.83</w:t>
            </w:r>
          </w:p>
        </w:tc>
        <w:tc>
          <w:tcPr>
            <w:tcW w:w="5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0.69</w:t>
            </w:r>
          </w:p>
        </w:tc>
        <w:tc>
          <w:tcPr>
            <w:tcW w:w="60" w:type="dxa"/>
            <w:vAlign w:val="bottom"/>
          </w:tcPr>
          <w:p>
            <w:pPr>
              <w:spacing w:after="0"/>
              <w:rPr>
                <w:sz w:val="18"/>
                <w:szCs w:val="18"/>
                <w:color w:val="auto"/>
              </w:rPr>
            </w:pPr>
          </w:p>
        </w:tc>
      </w:tr>
      <w:tr>
        <w:trPr>
          <w:trHeight w:val="216"/>
        </w:trPr>
        <w:tc>
          <w:tcPr>
            <w:tcW w:w="7200" w:type="dxa"/>
            <w:vAlign w:val="bottom"/>
            <w:shd w:val="clear" w:color="auto" w:fill="CCEEFF"/>
          </w:tcPr>
          <w:p>
            <w:pPr>
              <w:ind w:left="880"/>
              <w:spacing w:after="0"/>
              <w:rPr>
                <w:sz w:val="20"/>
                <w:szCs w:val="20"/>
                <w:color w:val="auto"/>
              </w:rPr>
            </w:pPr>
            <w:r>
              <w:rPr>
                <w:rFonts w:ascii="Arial" w:cs="Arial" w:eastAsia="Arial" w:hAnsi="Arial"/>
                <w:sz w:val="18"/>
                <w:szCs w:val="18"/>
                <w:color w:val="auto"/>
              </w:rPr>
              <w:t>Diluted</w:t>
            </w: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0.82</w:t>
            </w:r>
          </w:p>
        </w:tc>
        <w:tc>
          <w:tcPr>
            <w:tcW w:w="5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0.58</w:t>
            </w:r>
          </w:p>
        </w:tc>
        <w:tc>
          <w:tcPr>
            <w:tcW w:w="60" w:type="dxa"/>
            <w:vAlign w:val="bottom"/>
            <w:shd w:val="clear" w:color="auto" w:fill="CCEEFF"/>
          </w:tcPr>
          <w:p>
            <w:pPr>
              <w:spacing w:after="0"/>
              <w:rPr>
                <w:sz w:val="18"/>
                <w:szCs w:val="18"/>
                <w:color w:val="auto"/>
              </w:rPr>
            </w:pPr>
          </w:p>
        </w:tc>
      </w:tr>
    </w:tbl>
    <w:p>
      <w:pPr>
        <w:spacing w:after="0" w:line="154"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We implemented an Employee Stock Purchase Plan (“ESPP”) in the fourth quarter of fiscal year 2000. This plan allows eligible employees to purchase a limited number of shares of our stock at 85% of market value. Under the plan we sold 14,213 and 13,713 shares to employees in 2006 and 2005, respectively, which resulted in an immaterial amount of compensation expense.</w:t>
      </w:r>
    </w:p>
    <w:p>
      <w:pPr>
        <w:spacing w:after="0" w:line="140"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During the second quarter of 2006, we issued 7,800 shares of restricted stock under the 1997 Plan. These shares vest over a two year period with half vesting after one year of service and the other half vesting after two years of service. As of November 25, 2006, there was $66 of total unrecognized compensation expense related to the restricted shares which will be recognized through the first quarter of 2008.</w:t>
      </w:r>
    </w:p>
    <w:p>
      <w:pPr>
        <w:spacing w:after="0" w:line="140" w:lineRule="exact"/>
        <w:rPr>
          <w:sz w:val="20"/>
          <w:szCs w:val="20"/>
          <w:color w:val="auto"/>
        </w:rPr>
      </w:pPr>
    </w:p>
    <w:p>
      <w:pPr>
        <w:ind w:right="340"/>
        <w:spacing w:after="0" w:line="259" w:lineRule="auto"/>
        <w:rPr>
          <w:sz w:val="20"/>
          <w:szCs w:val="20"/>
          <w:color w:val="auto"/>
        </w:rPr>
      </w:pPr>
      <w:r>
        <w:rPr>
          <w:rFonts w:ascii="Arial" w:cs="Arial" w:eastAsia="Arial" w:hAnsi="Arial"/>
          <w:sz w:val="18"/>
          <w:szCs w:val="18"/>
          <w:color w:val="auto"/>
        </w:rPr>
        <w:t>Our Board of Directors adopted a Shareholders Rights Plan in 1998. If a person or group acquires beneficial ownership of 20% or more of the common stock outstanding, each right distributed under the plan will entitle its holder (other than such person or group) to purchase, at the right’s exercise price, a certain number of shares of our Common Stock, other securities or property.</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Restructuring Charges</w:t>
      </w:r>
    </w:p>
    <w:p>
      <w:pPr>
        <w:spacing w:after="0" w:line="96" w:lineRule="exact"/>
        <w:rPr>
          <w:sz w:val="20"/>
          <w:szCs w:val="20"/>
          <w:color w:val="auto"/>
        </w:rPr>
      </w:pPr>
    </w:p>
    <w:p>
      <w:pPr>
        <w:ind w:right="140"/>
        <w:spacing w:after="0" w:line="298" w:lineRule="auto"/>
        <w:rPr>
          <w:sz w:val="20"/>
          <w:szCs w:val="20"/>
          <w:color w:val="auto"/>
        </w:rPr>
      </w:pPr>
      <w:r>
        <w:rPr>
          <w:rFonts w:ascii="Arial" w:cs="Arial" w:eastAsia="Arial" w:hAnsi="Arial"/>
          <w:sz w:val="16"/>
          <w:szCs w:val="16"/>
          <w:color w:val="auto"/>
        </w:rPr>
        <w:t>During fiscal year 2005, we closed our wood manufacturing facility in Mt. Airy, N.C., due to excess domestic capacity as we continued to experience a shift in demand from domestically produced products to imported products. Production of certain products from the Mt. Airy facility was moved to our wood facility in Bassett, Va. During fiscal year 2004, we closed our upholstery manufacturing facility in Hiddenite, N.C., due to excess capacity created by efficiency improvements realized by the Newton, N.C., facility. We also closed our wood manufacturing facility in Macon, Ga. We sold the Hiddenite property in 2005.</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color w:val="auto"/>
        </w:rPr>
        <w:t>The following summarizes the non-cash asset write-downs and cash severance costs associated with the restructurings:</w:t>
      </w:r>
    </w:p>
    <w:p>
      <w:pPr>
        <w:spacing w:after="0" w:line="207"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500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110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5"/>
              </w:rPr>
              <w:t>November 26, 2005</w:t>
            </w:r>
          </w:p>
        </w:tc>
        <w:tc>
          <w:tcPr>
            <w:tcW w:w="1000" w:type="dxa"/>
            <w:vAlign w:val="bottom"/>
          </w:tcPr>
          <w:p>
            <w:pPr>
              <w:spacing w:after="0"/>
              <w:rPr>
                <w:sz w:val="14"/>
                <w:szCs w:val="14"/>
                <w:color w:val="auto"/>
              </w:rPr>
            </w:pPr>
          </w:p>
        </w:tc>
        <w:tc>
          <w:tcPr>
            <w:tcW w:w="11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85"/>
              </w:rPr>
              <w:t>November 27, 2004</w:t>
            </w:r>
          </w:p>
        </w:tc>
        <w:tc>
          <w:tcPr>
            <w:tcW w:w="20" w:type="dxa"/>
            <w:vAlign w:val="bottom"/>
          </w:tcPr>
          <w:p>
            <w:pPr>
              <w:spacing w:after="0"/>
              <w:rPr>
                <w:sz w:val="14"/>
                <w:szCs w:val="14"/>
                <w:color w:val="auto"/>
              </w:rPr>
            </w:pPr>
          </w:p>
        </w:tc>
      </w:tr>
      <w:tr>
        <w:trPr>
          <w:trHeight w:val="210"/>
        </w:trPr>
        <w:tc>
          <w:tcPr>
            <w:tcW w:w="5000" w:type="dxa"/>
            <w:vAlign w:val="bottom"/>
            <w:shd w:val="clear" w:color="auto" w:fill="CCEEFF"/>
          </w:tcPr>
          <w:p>
            <w:pPr>
              <w:spacing w:after="0"/>
              <w:rPr>
                <w:sz w:val="20"/>
                <w:szCs w:val="20"/>
                <w:color w:val="auto"/>
              </w:rPr>
            </w:pPr>
            <w:r>
              <w:rPr>
                <w:rFonts w:ascii="Arial" w:cs="Arial" w:eastAsia="Arial" w:hAnsi="Arial"/>
                <w:sz w:val="18"/>
                <w:szCs w:val="18"/>
                <w:color w:val="auto"/>
                <w:w w:val="89"/>
              </w:rPr>
              <w:t>Non-cash writedown of property and equipment to net realizable value</w:t>
            </w:r>
          </w:p>
        </w:tc>
        <w:tc>
          <w:tcPr>
            <w:tcW w:w="2700" w:type="dxa"/>
            <w:vAlign w:val="bottom"/>
            <w:gridSpan w:val="2"/>
            <w:shd w:val="clear" w:color="auto" w:fill="CCEEFF"/>
          </w:tcPr>
          <w:p>
            <w:pPr>
              <w:ind w:left="230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920</w:t>
            </w:r>
          </w:p>
        </w:tc>
        <w:tc>
          <w:tcPr>
            <w:tcW w:w="1400" w:type="dxa"/>
            <w:vAlign w:val="bottom"/>
            <w:gridSpan w:val="2"/>
            <w:shd w:val="clear" w:color="auto" w:fill="CCEEFF"/>
          </w:tcPr>
          <w:p>
            <w:pPr>
              <w:jc w:val="right"/>
              <w:ind w:right="252"/>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2,353</w:t>
            </w:r>
          </w:p>
        </w:tc>
        <w:tc>
          <w:tcPr>
            <w:tcW w:w="20" w:type="dxa"/>
            <w:vAlign w:val="bottom"/>
          </w:tcPr>
          <w:p>
            <w:pPr>
              <w:spacing w:after="0"/>
              <w:rPr>
                <w:sz w:val="18"/>
                <w:szCs w:val="18"/>
                <w:color w:val="auto"/>
              </w:rPr>
            </w:pPr>
          </w:p>
        </w:tc>
      </w:tr>
      <w:tr>
        <w:trPr>
          <w:trHeight w:val="223"/>
        </w:trPr>
        <w:tc>
          <w:tcPr>
            <w:tcW w:w="5000" w:type="dxa"/>
            <w:vAlign w:val="bottom"/>
          </w:tcPr>
          <w:p>
            <w:pPr>
              <w:spacing w:after="0"/>
              <w:rPr>
                <w:sz w:val="20"/>
                <w:szCs w:val="20"/>
                <w:color w:val="auto"/>
              </w:rPr>
            </w:pPr>
            <w:r>
              <w:rPr>
                <w:rFonts w:ascii="Arial" w:cs="Arial" w:eastAsia="Arial" w:hAnsi="Arial"/>
                <w:sz w:val="18"/>
                <w:szCs w:val="18"/>
                <w:color w:val="auto"/>
              </w:rPr>
              <w:t>Severance and related employee benefit costs</w:t>
            </w:r>
          </w:p>
        </w:tc>
        <w:tc>
          <w:tcPr>
            <w:tcW w:w="230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1,040</w:t>
            </w:r>
          </w:p>
        </w:tc>
        <w:tc>
          <w:tcPr>
            <w:tcW w:w="100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1,707</w:t>
            </w:r>
          </w:p>
        </w:tc>
        <w:tc>
          <w:tcPr>
            <w:tcW w:w="20" w:type="dxa"/>
            <w:vAlign w:val="bottom"/>
          </w:tcPr>
          <w:p>
            <w:pPr>
              <w:spacing w:after="0"/>
              <w:rPr>
                <w:sz w:val="19"/>
                <w:szCs w:val="19"/>
                <w:color w:val="auto"/>
              </w:rPr>
            </w:pPr>
          </w:p>
        </w:tc>
      </w:tr>
      <w:tr>
        <w:trPr>
          <w:trHeight w:val="216"/>
        </w:trPr>
        <w:tc>
          <w:tcPr>
            <w:tcW w:w="500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1,960</w:t>
            </w:r>
          </w:p>
        </w:tc>
        <w:tc>
          <w:tcPr>
            <w:tcW w:w="1400" w:type="dxa"/>
            <w:vAlign w:val="bottom"/>
            <w:gridSpan w:val="2"/>
            <w:shd w:val="clear" w:color="auto" w:fill="CCEEFF"/>
          </w:tcPr>
          <w:p>
            <w:pPr>
              <w:jc w:val="right"/>
              <w:ind w:right="252"/>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4,060</w:t>
            </w:r>
          </w:p>
        </w:tc>
        <w:tc>
          <w:tcPr>
            <w:tcW w:w="20" w:type="dxa"/>
            <w:vAlign w:val="bottom"/>
          </w:tcPr>
          <w:p>
            <w:pPr>
              <w:spacing w:after="0"/>
              <w:rPr>
                <w:sz w:val="18"/>
                <w:szCs w:val="18"/>
                <w:color w:val="auto"/>
              </w:rPr>
            </w:pPr>
          </w:p>
        </w:tc>
      </w:tr>
      <w:tr>
        <w:trPr>
          <w:trHeight w:val="20"/>
        </w:trPr>
        <w:tc>
          <w:tcPr>
            <w:tcW w:w="500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57"/>
        </w:trPr>
        <w:tc>
          <w:tcPr>
            <w:tcW w:w="5000" w:type="dxa"/>
            <w:vAlign w:val="bottom"/>
          </w:tcPr>
          <w:p>
            <w:pPr>
              <w:spacing w:after="0"/>
              <w:rPr>
                <w:sz w:val="24"/>
                <w:szCs w:val="24"/>
                <w:color w:val="auto"/>
              </w:rPr>
            </w:pPr>
          </w:p>
        </w:tc>
        <w:tc>
          <w:tcPr>
            <w:tcW w:w="2700" w:type="dxa"/>
            <w:vAlign w:val="bottom"/>
            <w:gridSpan w:val="2"/>
          </w:tcPr>
          <w:p>
            <w:pPr>
              <w:ind w:left="40"/>
              <w:spacing w:after="0"/>
              <w:rPr>
                <w:sz w:val="20"/>
                <w:szCs w:val="20"/>
                <w:color w:val="auto"/>
              </w:rPr>
            </w:pPr>
            <w:r>
              <w:rPr>
                <w:rFonts w:ascii="Arial" w:cs="Arial" w:eastAsia="Arial" w:hAnsi="Arial"/>
                <w:sz w:val="18"/>
                <w:szCs w:val="18"/>
                <w:color w:val="auto"/>
              </w:rPr>
              <w:t>F - 39</w:t>
            </w:r>
          </w:p>
        </w:tc>
        <w:tc>
          <w:tcPr>
            <w:tcW w:w="7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ectPr>
          <w:pgSz w:w="11900" w:h="16838" w:orient="portrait"/>
          <w:cols w:equalWidth="0" w:num="1">
            <w:col w:w="11400"/>
          </w:cols>
          <w:pgMar w:left="240" w:top="459" w:right="25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65"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summarizes changes to the accrued restructuring accounts for the fiscal years ended November 25, 2006, November 26, 2005 and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November 27, 2004:</w:t>
      </w:r>
    </w:p>
    <w:p>
      <w:pPr>
        <w:spacing w:after="0" w:line="188"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8560" w:type="dxa"/>
            <w:vAlign w:val="bottom"/>
          </w:tcPr>
          <w:p>
            <w:pPr>
              <w:spacing w:after="0"/>
              <w:rPr>
                <w:sz w:val="14"/>
                <w:szCs w:val="14"/>
                <w:color w:val="auto"/>
              </w:rPr>
            </w:pPr>
          </w:p>
        </w:tc>
        <w:tc>
          <w:tcPr>
            <w:tcW w:w="1020" w:type="dxa"/>
            <w:vAlign w:val="bottom"/>
            <w:gridSpan w:val="3"/>
          </w:tcPr>
          <w:p>
            <w:pPr>
              <w:ind w:left="60"/>
              <w:spacing w:after="0"/>
              <w:rPr>
                <w:sz w:val="20"/>
                <w:szCs w:val="20"/>
                <w:color w:val="auto"/>
              </w:rPr>
            </w:pPr>
            <w:r>
              <w:rPr>
                <w:rFonts w:ascii="Arial" w:cs="Arial" w:eastAsia="Arial" w:hAnsi="Arial"/>
                <w:sz w:val="14"/>
                <w:szCs w:val="14"/>
                <w:b w:val="1"/>
                <w:bCs w:val="1"/>
                <w:color w:val="auto"/>
                <w:w w:val="95"/>
              </w:rPr>
              <w:t>Severance and</w:t>
            </w:r>
          </w:p>
        </w:tc>
      </w:tr>
      <w:tr>
        <w:trPr>
          <w:trHeight w:val="161"/>
        </w:trPr>
        <w:tc>
          <w:tcPr>
            <w:tcW w:w="8560" w:type="dxa"/>
            <w:vAlign w:val="bottom"/>
          </w:tcPr>
          <w:p>
            <w:pPr>
              <w:spacing w:after="0"/>
              <w:rPr>
                <w:sz w:val="14"/>
                <w:szCs w:val="14"/>
                <w:color w:val="auto"/>
              </w:rPr>
            </w:pPr>
          </w:p>
        </w:tc>
        <w:tc>
          <w:tcPr>
            <w:tcW w:w="1020" w:type="dxa"/>
            <w:vAlign w:val="bottom"/>
            <w:gridSpan w:val="3"/>
          </w:tcPr>
          <w:p>
            <w:pPr>
              <w:ind w:left="20"/>
              <w:spacing w:after="0"/>
              <w:rPr>
                <w:sz w:val="20"/>
                <w:szCs w:val="20"/>
                <w:color w:val="auto"/>
              </w:rPr>
            </w:pPr>
            <w:r>
              <w:rPr>
                <w:rFonts w:ascii="Arial" w:cs="Arial" w:eastAsia="Arial" w:hAnsi="Arial"/>
                <w:sz w:val="14"/>
                <w:szCs w:val="14"/>
                <w:b w:val="1"/>
                <w:bCs w:val="1"/>
                <w:color w:val="auto"/>
                <w:w w:val="89"/>
              </w:rPr>
              <w:t>Related Benefits</w:t>
            </w:r>
          </w:p>
        </w:tc>
      </w:tr>
      <w:tr>
        <w:trPr>
          <w:trHeight w:val="210"/>
        </w:trPr>
        <w:tc>
          <w:tcPr>
            <w:tcW w:w="85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at November 29, 2003</w:t>
            </w:r>
          </w:p>
        </w:tc>
        <w:tc>
          <w:tcPr>
            <w:tcW w:w="3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208</w:t>
            </w:r>
          </w:p>
        </w:tc>
        <w:tc>
          <w:tcPr>
            <w:tcW w:w="60" w:type="dxa"/>
            <w:vAlign w:val="bottom"/>
            <w:shd w:val="clear" w:color="auto" w:fill="CCEEFF"/>
          </w:tcPr>
          <w:p>
            <w:pPr>
              <w:spacing w:after="0"/>
              <w:rPr>
                <w:sz w:val="18"/>
                <w:szCs w:val="18"/>
                <w:color w:val="auto"/>
              </w:rPr>
            </w:pPr>
          </w:p>
        </w:tc>
      </w:tr>
      <w:tr>
        <w:trPr>
          <w:trHeight w:val="323"/>
        </w:trPr>
        <w:tc>
          <w:tcPr>
            <w:tcW w:w="8560" w:type="dxa"/>
            <w:vAlign w:val="bottom"/>
          </w:tcPr>
          <w:p>
            <w:pPr>
              <w:spacing w:after="0"/>
              <w:rPr>
                <w:sz w:val="20"/>
                <w:szCs w:val="20"/>
                <w:color w:val="auto"/>
              </w:rPr>
            </w:pPr>
            <w:r>
              <w:rPr>
                <w:rFonts w:ascii="Arial" w:cs="Arial" w:eastAsia="Arial" w:hAnsi="Arial"/>
                <w:sz w:val="18"/>
                <w:szCs w:val="18"/>
                <w:color w:val="auto"/>
              </w:rPr>
              <w:t>Restructuring accrual</w:t>
            </w:r>
          </w:p>
        </w:tc>
        <w:tc>
          <w:tcPr>
            <w:tcW w:w="30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1,707</w:t>
            </w:r>
          </w:p>
        </w:tc>
        <w:tc>
          <w:tcPr>
            <w:tcW w:w="60" w:type="dxa"/>
            <w:vAlign w:val="bottom"/>
          </w:tcPr>
          <w:p>
            <w:pPr>
              <w:spacing w:after="0"/>
              <w:rPr>
                <w:sz w:val="24"/>
                <w:szCs w:val="24"/>
                <w:color w:val="auto"/>
              </w:rPr>
            </w:pPr>
          </w:p>
        </w:tc>
      </w:tr>
      <w:tr>
        <w:trPr>
          <w:trHeight w:val="217"/>
        </w:trPr>
        <w:tc>
          <w:tcPr>
            <w:tcW w:w="8560" w:type="dxa"/>
            <w:vAlign w:val="bottom"/>
            <w:shd w:val="clear" w:color="auto" w:fill="CCEEFF"/>
          </w:tcPr>
          <w:p>
            <w:pPr>
              <w:spacing w:after="0"/>
              <w:rPr>
                <w:sz w:val="20"/>
                <w:szCs w:val="20"/>
                <w:color w:val="auto"/>
              </w:rPr>
            </w:pPr>
            <w:r>
              <w:rPr>
                <w:rFonts w:ascii="Arial" w:cs="Arial" w:eastAsia="Arial" w:hAnsi="Arial"/>
                <w:sz w:val="18"/>
                <w:szCs w:val="18"/>
                <w:color w:val="auto"/>
              </w:rPr>
              <w:t>Cash payments</w:t>
            </w:r>
          </w:p>
        </w:tc>
        <w:tc>
          <w:tcPr>
            <w:tcW w:w="3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(1,475)</w:t>
            </w:r>
          </w:p>
        </w:tc>
      </w:tr>
      <w:tr>
        <w:trPr>
          <w:trHeight w:val="221"/>
        </w:trPr>
        <w:tc>
          <w:tcPr>
            <w:tcW w:w="8560" w:type="dxa"/>
            <w:vAlign w:val="bottom"/>
          </w:tcPr>
          <w:p>
            <w:pPr>
              <w:spacing w:after="0"/>
              <w:rPr>
                <w:sz w:val="20"/>
                <w:szCs w:val="20"/>
                <w:color w:val="auto"/>
              </w:rPr>
            </w:pPr>
            <w:r>
              <w:rPr>
                <w:rFonts w:ascii="Arial" w:cs="Arial" w:eastAsia="Arial" w:hAnsi="Arial"/>
                <w:sz w:val="18"/>
                <w:szCs w:val="18"/>
                <w:b w:val="1"/>
                <w:bCs w:val="1"/>
                <w:color w:val="auto"/>
              </w:rPr>
              <w:t>Balance at November 27, 2004</w:t>
            </w:r>
          </w:p>
        </w:tc>
        <w:tc>
          <w:tcPr>
            <w:tcW w:w="30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440</w:t>
            </w:r>
          </w:p>
        </w:tc>
        <w:tc>
          <w:tcPr>
            <w:tcW w:w="60" w:type="dxa"/>
            <w:vAlign w:val="bottom"/>
          </w:tcPr>
          <w:p>
            <w:pPr>
              <w:spacing w:after="0"/>
              <w:rPr>
                <w:sz w:val="19"/>
                <w:szCs w:val="19"/>
                <w:color w:val="auto"/>
              </w:rPr>
            </w:pPr>
          </w:p>
        </w:tc>
      </w:tr>
      <w:tr>
        <w:trPr>
          <w:trHeight w:val="110"/>
        </w:trPr>
        <w:tc>
          <w:tcPr>
            <w:tcW w:w="8560" w:type="dxa"/>
            <w:vAlign w:val="bottom"/>
          </w:tcPr>
          <w:p>
            <w:pPr>
              <w:spacing w:after="0"/>
              <w:rPr>
                <w:sz w:val="9"/>
                <w:szCs w:val="9"/>
                <w:color w:val="auto"/>
              </w:rPr>
            </w:pPr>
          </w:p>
        </w:tc>
        <w:tc>
          <w:tcPr>
            <w:tcW w:w="300" w:type="dxa"/>
            <w:vAlign w:val="bottom"/>
          </w:tcPr>
          <w:p>
            <w:pPr>
              <w:spacing w:after="0"/>
              <w:rPr>
                <w:sz w:val="9"/>
                <w:szCs w:val="9"/>
                <w:color w:val="auto"/>
              </w:rPr>
            </w:pPr>
          </w:p>
        </w:tc>
        <w:tc>
          <w:tcPr>
            <w:tcW w:w="660" w:type="dxa"/>
            <w:vAlign w:val="bottom"/>
          </w:tcPr>
          <w:p>
            <w:pPr>
              <w:spacing w:after="0"/>
              <w:rPr>
                <w:sz w:val="9"/>
                <w:szCs w:val="9"/>
                <w:color w:val="auto"/>
              </w:rPr>
            </w:pPr>
          </w:p>
        </w:tc>
        <w:tc>
          <w:tcPr>
            <w:tcW w:w="60" w:type="dxa"/>
            <w:vAlign w:val="bottom"/>
          </w:tcPr>
          <w:p>
            <w:pPr>
              <w:spacing w:after="0"/>
              <w:rPr>
                <w:sz w:val="9"/>
                <w:szCs w:val="9"/>
                <w:color w:val="auto"/>
              </w:rPr>
            </w:pPr>
          </w:p>
        </w:tc>
      </w:tr>
      <w:tr>
        <w:trPr>
          <w:trHeight w:val="216"/>
        </w:trPr>
        <w:tc>
          <w:tcPr>
            <w:tcW w:w="8560" w:type="dxa"/>
            <w:vAlign w:val="bottom"/>
            <w:shd w:val="clear" w:color="auto" w:fill="CCEEFF"/>
          </w:tcPr>
          <w:p>
            <w:pPr>
              <w:spacing w:after="0"/>
              <w:rPr>
                <w:sz w:val="20"/>
                <w:szCs w:val="20"/>
                <w:color w:val="auto"/>
              </w:rPr>
            </w:pPr>
            <w:r>
              <w:rPr>
                <w:rFonts w:ascii="Arial" w:cs="Arial" w:eastAsia="Arial" w:hAnsi="Arial"/>
                <w:sz w:val="18"/>
                <w:szCs w:val="18"/>
                <w:color w:val="auto"/>
              </w:rPr>
              <w:t>Restructuring accrual</w:t>
            </w:r>
          </w:p>
        </w:tc>
        <w:tc>
          <w:tcPr>
            <w:tcW w:w="3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1,040</w:t>
            </w:r>
          </w:p>
        </w:tc>
        <w:tc>
          <w:tcPr>
            <w:tcW w:w="60" w:type="dxa"/>
            <w:vAlign w:val="bottom"/>
            <w:shd w:val="clear" w:color="auto" w:fill="CCEEFF"/>
          </w:tcPr>
          <w:p>
            <w:pPr>
              <w:spacing w:after="0"/>
              <w:rPr>
                <w:sz w:val="18"/>
                <w:szCs w:val="18"/>
                <w:color w:val="auto"/>
              </w:rPr>
            </w:pPr>
          </w:p>
        </w:tc>
      </w:tr>
      <w:tr>
        <w:trPr>
          <w:trHeight w:val="223"/>
        </w:trPr>
        <w:tc>
          <w:tcPr>
            <w:tcW w:w="8560" w:type="dxa"/>
            <w:vAlign w:val="bottom"/>
          </w:tcPr>
          <w:p>
            <w:pPr>
              <w:spacing w:after="0"/>
              <w:rPr>
                <w:sz w:val="20"/>
                <w:szCs w:val="20"/>
                <w:color w:val="auto"/>
              </w:rPr>
            </w:pPr>
            <w:r>
              <w:rPr>
                <w:rFonts w:ascii="Arial" w:cs="Arial" w:eastAsia="Arial" w:hAnsi="Arial"/>
                <w:sz w:val="18"/>
                <w:szCs w:val="18"/>
                <w:color w:val="auto"/>
              </w:rPr>
              <w:t>Cash payments</w:t>
            </w:r>
          </w:p>
        </w:tc>
        <w:tc>
          <w:tcPr>
            <w:tcW w:w="300" w:type="dxa"/>
            <w:vAlign w:val="bottom"/>
          </w:tcPr>
          <w:p>
            <w:pPr>
              <w:spacing w:after="0"/>
              <w:rPr>
                <w:sz w:val="19"/>
                <w:szCs w:val="19"/>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(698)</w:t>
            </w:r>
          </w:p>
        </w:tc>
      </w:tr>
      <w:tr>
        <w:trPr>
          <w:trHeight w:val="216"/>
        </w:trPr>
        <w:tc>
          <w:tcPr>
            <w:tcW w:w="85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at November 26, 2005</w:t>
            </w:r>
          </w:p>
        </w:tc>
        <w:tc>
          <w:tcPr>
            <w:tcW w:w="30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782</w:t>
            </w:r>
          </w:p>
        </w:tc>
        <w:tc>
          <w:tcPr>
            <w:tcW w:w="60" w:type="dxa"/>
            <w:vAlign w:val="bottom"/>
            <w:shd w:val="clear" w:color="auto" w:fill="CCEEFF"/>
          </w:tcPr>
          <w:p>
            <w:pPr>
              <w:spacing w:after="0"/>
              <w:rPr>
                <w:sz w:val="18"/>
                <w:szCs w:val="18"/>
                <w:color w:val="auto"/>
              </w:rPr>
            </w:pPr>
          </w:p>
        </w:tc>
      </w:tr>
      <w:tr>
        <w:trPr>
          <w:trHeight w:val="323"/>
        </w:trPr>
        <w:tc>
          <w:tcPr>
            <w:tcW w:w="8560" w:type="dxa"/>
            <w:vAlign w:val="bottom"/>
          </w:tcPr>
          <w:p>
            <w:pPr>
              <w:spacing w:after="0"/>
              <w:rPr>
                <w:sz w:val="20"/>
                <w:szCs w:val="20"/>
                <w:color w:val="auto"/>
              </w:rPr>
            </w:pPr>
            <w:r>
              <w:rPr>
                <w:rFonts w:ascii="Arial" w:cs="Arial" w:eastAsia="Arial" w:hAnsi="Arial"/>
                <w:sz w:val="18"/>
                <w:szCs w:val="18"/>
                <w:color w:val="auto"/>
              </w:rPr>
              <w:t>Restructuring accrual</w:t>
            </w:r>
          </w:p>
        </w:tc>
        <w:tc>
          <w:tcPr>
            <w:tcW w:w="300" w:type="dxa"/>
            <w:vAlign w:val="bottom"/>
          </w:tcPr>
          <w:p>
            <w:pPr>
              <w:spacing w:after="0"/>
              <w:rPr>
                <w:sz w:val="24"/>
                <w:szCs w:val="24"/>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7"/>
        </w:trPr>
        <w:tc>
          <w:tcPr>
            <w:tcW w:w="8560" w:type="dxa"/>
            <w:vAlign w:val="bottom"/>
            <w:shd w:val="clear" w:color="auto" w:fill="CCEEFF"/>
          </w:tcPr>
          <w:p>
            <w:pPr>
              <w:spacing w:after="0"/>
              <w:rPr>
                <w:sz w:val="20"/>
                <w:szCs w:val="20"/>
                <w:color w:val="auto"/>
              </w:rPr>
            </w:pPr>
            <w:r>
              <w:rPr>
                <w:rFonts w:ascii="Arial" w:cs="Arial" w:eastAsia="Arial" w:hAnsi="Arial"/>
                <w:sz w:val="18"/>
                <w:szCs w:val="18"/>
                <w:color w:val="auto"/>
              </w:rPr>
              <w:t>Cash payments</w:t>
            </w:r>
          </w:p>
        </w:tc>
        <w:tc>
          <w:tcPr>
            <w:tcW w:w="3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(753)</w:t>
            </w:r>
          </w:p>
        </w:tc>
      </w:tr>
      <w:tr>
        <w:trPr>
          <w:trHeight w:val="222"/>
        </w:trPr>
        <w:tc>
          <w:tcPr>
            <w:tcW w:w="8560" w:type="dxa"/>
            <w:vAlign w:val="bottom"/>
          </w:tcPr>
          <w:p>
            <w:pPr>
              <w:spacing w:after="0"/>
              <w:rPr>
                <w:sz w:val="20"/>
                <w:szCs w:val="20"/>
                <w:color w:val="auto"/>
              </w:rPr>
            </w:pPr>
            <w:r>
              <w:rPr>
                <w:rFonts w:ascii="Arial" w:cs="Arial" w:eastAsia="Arial" w:hAnsi="Arial"/>
                <w:sz w:val="18"/>
                <w:szCs w:val="18"/>
                <w:b w:val="1"/>
                <w:bCs w:val="1"/>
                <w:color w:val="auto"/>
              </w:rPr>
              <w:t>Balance at November 25, 2006</w:t>
            </w:r>
          </w:p>
        </w:tc>
        <w:tc>
          <w:tcPr>
            <w:tcW w:w="3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w:t>
            </w:r>
          </w:p>
        </w:tc>
        <w:tc>
          <w:tcPr>
            <w:tcW w:w="60" w:type="dxa"/>
            <w:vAlign w:val="bottom"/>
          </w:tcPr>
          <w:p>
            <w:pPr>
              <w:spacing w:after="0"/>
              <w:rPr>
                <w:sz w:val="19"/>
                <w:szCs w:val="19"/>
                <w:color w:val="auto"/>
              </w:rPr>
            </w:pPr>
          </w:p>
        </w:tc>
      </w:tr>
      <w:tr>
        <w:trPr>
          <w:trHeight w:val="20"/>
        </w:trPr>
        <w:tc>
          <w:tcPr>
            <w:tcW w:w="85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Acquisition of Retail Licensee Stores (Restated)</w:t>
      </w:r>
    </w:p>
    <w:p>
      <w:pPr>
        <w:spacing w:after="0" w:line="96" w:lineRule="exact"/>
        <w:rPr>
          <w:sz w:val="20"/>
          <w:szCs w:val="20"/>
          <w:color w:val="auto"/>
        </w:rPr>
      </w:pPr>
    </w:p>
    <w:p>
      <w:pPr>
        <w:spacing w:after="0" w:line="306" w:lineRule="auto"/>
        <w:rPr>
          <w:sz w:val="20"/>
          <w:szCs w:val="20"/>
          <w:color w:val="auto"/>
        </w:rPr>
      </w:pPr>
      <w:r>
        <w:rPr>
          <w:rFonts w:ascii="Arial" w:cs="Arial" w:eastAsia="Arial" w:hAnsi="Arial"/>
          <w:sz w:val="16"/>
          <w:szCs w:val="16"/>
          <w:color w:val="auto"/>
        </w:rPr>
        <w:t>During the second quarter of 2005, we acquired a 76% ownership interest in our Dallas, Texas BFD store operation (“BFD-Dallas”). BFD-Dallas consisted of eight BFD stores in the greater Dallas, Texas metropolitan area. We accounted for this transaction using the purchase method of accounting. As such, as of the end of our second quarter, we began consolidating BFD-Dallas results of operations into our consolidated statements of income.</w:t>
      </w:r>
    </w:p>
    <w:p>
      <w:pPr>
        <w:spacing w:after="0" w:line="107" w:lineRule="exact"/>
        <w:rPr>
          <w:sz w:val="20"/>
          <w:szCs w:val="20"/>
          <w:color w:val="auto"/>
        </w:rPr>
      </w:pPr>
    </w:p>
    <w:p>
      <w:pPr>
        <w:ind w:right="60"/>
        <w:spacing w:after="0" w:line="294" w:lineRule="auto"/>
        <w:rPr>
          <w:sz w:val="20"/>
          <w:szCs w:val="20"/>
          <w:color w:val="auto"/>
        </w:rPr>
      </w:pPr>
      <w:r>
        <w:rPr>
          <w:rFonts w:ascii="Arial" w:cs="Arial" w:eastAsia="Arial" w:hAnsi="Arial"/>
          <w:sz w:val="16"/>
          <w:szCs w:val="16"/>
          <w:color w:val="auto"/>
        </w:rPr>
        <w:t>During the third quarter of 2005, we acquired 100% of the assets of our BFD licensee in upstate New York (“BFD-UNY”) and an additional 36% interest in our BFD licensee in Atlanta, Georgia (“BFD-Atlanta”) bringing our total ownership interest to 66%. BFD-UNY consists of two BFD stores in Rochester, N.Y., and one store in Buffalo, N.Y. BFD-Atlanta consisted of four BFD stores in the greater Atlanta, Ga., metropolitan area. We accounted for these transactions using the purchase method of accounting. We began consolidating BFD-UNY’s results of operations into our consolidated statements of income in August 2005. We began consolidating BFD-Atlanta’s results of operations into our consolidated statements of income in September 2005.</w:t>
      </w:r>
    </w:p>
    <w:p>
      <w:pPr>
        <w:spacing w:after="0" w:line="116" w:lineRule="exact"/>
        <w:rPr>
          <w:sz w:val="20"/>
          <w:szCs w:val="20"/>
          <w:color w:val="auto"/>
        </w:rPr>
      </w:pPr>
    </w:p>
    <w:p>
      <w:pPr>
        <w:ind w:right="60"/>
        <w:spacing w:after="0" w:line="256" w:lineRule="auto"/>
        <w:rPr>
          <w:sz w:val="20"/>
          <w:szCs w:val="20"/>
          <w:color w:val="auto"/>
        </w:rPr>
      </w:pPr>
      <w:r>
        <w:rPr>
          <w:rFonts w:ascii="Arial" w:cs="Arial" w:eastAsia="Arial" w:hAnsi="Arial"/>
          <w:sz w:val="18"/>
          <w:szCs w:val="18"/>
          <w:color w:val="auto"/>
        </w:rPr>
        <w:t>The aggregate purchase consideration for these three transactions was $3,550, which included $1,050 of cash and $2,500 of notes receivable converted to equity. The acquisitions included assets of $16,768 comprised of cash of $946, inventory of $8,336, notes receivable of $4,100, fixed assets of $2,415 and other assets of $971. The Company assumed liabilities of $22,481 comprised of various accounts and notes payable to the Company of $13,555, other accounts payable of $6,512 and long-term debt of $2,414.</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- 40</w:t>
      </w:r>
    </w:p>
    <w:p>
      <w:pPr>
        <w:sectPr>
          <w:pgSz w:w="11900" w:h="16838" w:orient="portrait"/>
          <w:cols w:equalWidth="0" w:num="1">
            <w:col w:w="11420"/>
          </w:cols>
          <w:pgMar w:left="240" w:top="459" w:right="23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65" w:lineRule="exact"/>
        <w:rPr>
          <w:sz w:val="20"/>
          <w:szCs w:val="20"/>
          <w:color w:val="auto"/>
        </w:rPr>
      </w:pPr>
    </w:p>
    <w:p>
      <w:pPr>
        <w:ind w:right="200"/>
        <w:spacing w:after="0" w:line="268" w:lineRule="auto"/>
        <w:rPr>
          <w:sz w:val="20"/>
          <w:szCs w:val="20"/>
          <w:color w:val="auto"/>
        </w:rPr>
      </w:pPr>
      <w:r>
        <w:rPr>
          <w:rFonts w:ascii="Arial" w:cs="Arial" w:eastAsia="Arial" w:hAnsi="Arial"/>
          <w:sz w:val="18"/>
          <w:szCs w:val="18"/>
          <w:color w:val="auto"/>
        </w:rPr>
        <w:t>The following table summarizes the estimated fair market values of the assets acquired and liabilities assumed at the respective dates of acquisition which were consolidated into our financial position:</w:t>
      </w:r>
    </w:p>
    <w:p>
      <w:pPr>
        <w:spacing w:after="0" w:line="168"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8860" w:type="dxa"/>
            <w:vAlign w:val="bottom"/>
          </w:tcPr>
          <w:p>
            <w:pPr>
              <w:spacing w:after="0"/>
              <w:rPr>
                <w:sz w:val="14"/>
                <w:szCs w:val="14"/>
                <w:color w:val="auto"/>
              </w:rPr>
            </w:pPr>
          </w:p>
        </w:tc>
        <w:tc>
          <w:tcPr>
            <w:tcW w:w="720" w:type="dxa"/>
            <w:vAlign w:val="bottom"/>
            <w:gridSpan w:val="3"/>
          </w:tcPr>
          <w:p>
            <w:pPr>
              <w:spacing w:after="0"/>
              <w:rPr>
                <w:sz w:val="20"/>
                <w:szCs w:val="20"/>
                <w:color w:val="auto"/>
              </w:rPr>
            </w:pPr>
            <w:r>
              <w:rPr>
                <w:rFonts w:ascii="Arial" w:cs="Arial" w:eastAsia="Arial" w:hAnsi="Arial"/>
                <w:sz w:val="14"/>
                <w:szCs w:val="14"/>
                <w:b w:val="1"/>
                <w:bCs w:val="1"/>
                <w:color w:val="auto"/>
                <w:w w:val="91"/>
              </w:rPr>
              <w:t>As restated</w:t>
            </w:r>
          </w:p>
        </w:tc>
      </w:tr>
      <w:tr>
        <w:trPr>
          <w:trHeight w:val="210"/>
        </w:trPr>
        <w:tc>
          <w:tcPr>
            <w:tcW w:w="8860" w:type="dxa"/>
            <w:vAlign w:val="bottom"/>
            <w:shd w:val="clear" w:color="auto" w:fill="CCEEFF"/>
          </w:tcPr>
          <w:p>
            <w:pPr>
              <w:spacing w:after="0"/>
              <w:rPr>
                <w:sz w:val="20"/>
                <w:szCs w:val="20"/>
                <w:color w:val="auto"/>
              </w:rPr>
            </w:pPr>
            <w:r>
              <w:rPr>
                <w:rFonts w:ascii="Arial" w:cs="Arial" w:eastAsia="Arial" w:hAnsi="Arial"/>
                <w:sz w:val="18"/>
                <w:szCs w:val="18"/>
                <w:color w:val="auto"/>
              </w:rPr>
              <w:t>Fair value of assets acquired</w:t>
            </w:r>
          </w:p>
        </w:tc>
        <w:tc>
          <w:tcPr>
            <w:tcW w:w="1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16,768</w:t>
            </w:r>
          </w:p>
        </w:tc>
        <w:tc>
          <w:tcPr>
            <w:tcW w:w="60" w:type="dxa"/>
            <w:vAlign w:val="bottom"/>
            <w:shd w:val="clear" w:color="auto" w:fill="CCEEFF"/>
          </w:tcPr>
          <w:p>
            <w:pPr>
              <w:spacing w:after="0"/>
              <w:rPr>
                <w:sz w:val="18"/>
                <w:szCs w:val="18"/>
                <w:color w:val="auto"/>
              </w:rPr>
            </w:pPr>
          </w:p>
        </w:tc>
      </w:tr>
      <w:tr>
        <w:trPr>
          <w:trHeight w:val="223"/>
        </w:trPr>
        <w:tc>
          <w:tcPr>
            <w:tcW w:w="8860" w:type="dxa"/>
            <w:vAlign w:val="bottom"/>
          </w:tcPr>
          <w:p>
            <w:pPr>
              <w:spacing w:after="0"/>
              <w:rPr>
                <w:sz w:val="20"/>
                <w:szCs w:val="20"/>
                <w:color w:val="auto"/>
              </w:rPr>
            </w:pPr>
            <w:r>
              <w:rPr>
                <w:rFonts w:ascii="Arial" w:cs="Arial" w:eastAsia="Arial" w:hAnsi="Arial"/>
                <w:sz w:val="18"/>
                <w:szCs w:val="18"/>
                <w:color w:val="auto"/>
              </w:rPr>
              <w:t>Fair value of liabilities assumed</w:t>
            </w:r>
          </w:p>
        </w:tc>
        <w:tc>
          <w:tcPr>
            <w:tcW w:w="14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0"/>
              </w:rPr>
              <w:t>22,481</w:t>
            </w:r>
          </w:p>
        </w:tc>
        <w:tc>
          <w:tcPr>
            <w:tcW w:w="60" w:type="dxa"/>
            <w:vAlign w:val="bottom"/>
          </w:tcPr>
          <w:p>
            <w:pPr>
              <w:spacing w:after="0"/>
              <w:rPr>
                <w:sz w:val="19"/>
                <w:szCs w:val="19"/>
                <w:color w:val="auto"/>
              </w:rPr>
            </w:pPr>
          </w:p>
        </w:tc>
      </w:tr>
      <w:tr>
        <w:trPr>
          <w:trHeight w:val="216"/>
        </w:trPr>
        <w:tc>
          <w:tcPr>
            <w:tcW w:w="8860" w:type="dxa"/>
            <w:vAlign w:val="bottom"/>
            <w:shd w:val="clear" w:color="auto" w:fill="CCEEFF"/>
          </w:tcPr>
          <w:p>
            <w:pPr>
              <w:spacing w:after="0"/>
              <w:rPr>
                <w:sz w:val="20"/>
                <w:szCs w:val="20"/>
                <w:color w:val="auto"/>
              </w:rPr>
            </w:pPr>
            <w:r>
              <w:rPr>
                <w:rFonts w:ascii="Arial" w:cs="Arial" w:eastAsia="Arial" w:hAnsi="Arial"/>
                <w:sz w:val="18"/>
                <w:szCs w:val="18"/>
                <w:color w:val="auto"/>
              </w:rPr>
              <w:t>Net liabilities assumed</w:t>
            </w: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5,713</w:t>
            </w:r>
          </w:p>
        </w:tc>
        <w:tc>
          <w:tcPr>
            <w:tcW w:w="60" w:type="dxa"/>
            <w:vAlign w:val="bottom"/>
            <w:shd w:val="clear" w:color="auto" w:fill="CCEEFF"/>
          </w:tcPr>
          <w:p>
            <w:pPr>
              <w:spacing w:after="0"/>
              <w:rPr>
                <w:sz w:val="18"/>
                <w:szCs w:val="18"/>
                <w:color w:val="auto"/>
              </w:rPr>
            </w:pPr>
          </w:p>
        </w:tc>
      </w:tr>
      <w:tr>
        <w:trPr>
          <w:trHeight w:val="331"/>
        </w:trPr>
        <w:tc>
          <w:tcPr>
            <w:tcW w:w="8860" w:type="dxa"/>
            <w:vAlign w:val="bottom"/>
          </w:tcPr>
          <w:p>
            <w:pPr>
              <w:spacing w:after="0"/>
              <w:rPr>
                <w:sz w:val="20"/>
                <w:szCs w:val="20"/>
                <w:color w:val="auto"/>
              </w:rPr>
            </w:pPr>
            <w:r>
              <w:rPr>
                <w:rFonts w:ascii="Arial" w:cs="Arial" w:eastAsia="Arial" w:hAnsi="Arial"/>
                <w:sz w:val="18"/>
                <w:szCs w:val="18"/>
                <w:color w:val="auto"/>
              </w:rPr>
              <w:t>Purchase consideration</w:t>
            </w:r>
          </w:p>
        </w:tc>
        <w:tc>
          <w:tcPr>
            <w:tcW w:w="1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3,550</w:t>
            </w:r>
          </w:p>
        </w:tc>
        <w:tc>
          <w:tcPr>
            <w:tcW w:w="60" w:type="dxa"/>
            <w:vAlign w:val="bottom"/>
          </w:tcPr>
          <w:p>
            <w:pPr>
              <w:spacing w:after="0"/>
              <w:rPr>
                <w:sz w:val="24"/>
                <w:szCs w:val="24"/>
                <w:color w:val="auto"/>
              </w:rPr>
            </w:pPr>
          </w:p>
        </w:tc>
      </w:tr>
      <w:tr>
        <w:trPr>
          <w:trHeight w:val="216"/>
        </w:trPr>
        <w:tc>
          <w:tcPr>
            <w:tcW w:w="8860" w:type="dxa"/>
            <w:vAlign w:val="bottom"/>
            <w:shd w:val="clear" w:color="auto" w:fill="CCEEFF"/>
          </w:tcPr>
          <w:p>
            <w:pPr>
              <w:spacing w:after="0"/>
              <w:rPr>
                <w:sz w:val="20"/>
                <w:szCs w:val="20"/>
                <w:color w:val="auto"/>
              </w:rPr>
            </w:pPr>
            <w:r>
              <w:rPr>
                <w:rFonts w:ascii="Arial" w:cs="Arial" w:eastAsia="Arial" w:hAnsi="Arial"/>
                <w:sz w:val="18"/>
                <w:szCs w:val="18"/>
                <w:color w:val="auto"/>
              </w:rPr>
              <w:t>Goodwill and other intangibles before adjustments</w:t>
            </w: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9,263</w:t>
            </w:r>
          </w:p>
        </w:tc>
        <w:tc>
          <w:tcPr>
            <w:tcW w:w="60" w:type="dxa"/>
            <w:vAlign w:val="bottom"/>
            <w:shd w:val="clear" w:color="auto" w:fill="CCEEFF"/>
          </w:tcPr>
          <w:p>
            <w:pPr>
              <w:spacing w:after="0"/>
              <w:rPr>
                <w:sz w:val="18"/>
                <w:szCs w:val="18"/>
                <w:color w:val="auto"/>
              </w:rPr>
            </w:pPr>
          </w:p>
        </w:tc>
      </w:tr>
      <w:tr>
        <w:trPr>
          <w:trHeight w:val="323"/>
        </w:trPr>
        <w:tc>
          <w:tcPr>
            <w:tcW w:w="8860" w:type="dxa"/>
            <w:vAlign w:val="bottom"/>
          </w:tcPr>
          <w:p>
            <w:pPr>
              <w:spacing w:after="0"/>
              <w:rPr>
                <w:sz w:val="20"/>
                <w:szCs w:val="20"/>
                <w:color w:val="auto"/>
              </w:rPr>
            </w:pPr>
            <w:r>
              <w:rPr>
                <w:rFonts w:ascii="Arial" w:cs="Arial" w:eastAsia="Arial" w:hAnsi="Arial"/>
                <w:sz w:val="18"/>
                <w:szCs w:val="18"/>
                <w:color w:val="auto"/>
              </w:rPr>
              <w:t>Less identifiable intangible assets</w:t>
            </w:r>
          </w:p>
        </w:tc>
        <w:tc>
          <w:tcPr>
            <w:tcW w:w="140" w:type="dxa"/>
            <w:vAlign w:val="bottom"/>
          </w:tcPr>
          <w:p>
            <w:pPr>
              <w:spacing w:after="0"/>
              <w:rPr>
                <w:sz w:val="24"/>
                <w:szCs w:val="24"/>
                <w:color w:val="auto"/>
              </w:rPr>
            </w:pPr>
          </w:p>
        </w:tc>
        <w:tc>
          <w:tcPr>
            <w:tcW w:w="580" w:type="dxa"/>
            <w:vAlign w:val="bottom"/>
            <w:gridSpan w:val="2"/>
          </w:tcPr>
          <w:p>
            <w:pPr>
              <w:jc w:val="right"/>
              <w:spacing w:after="0"/>
              <w:rPr>
                <w:sz w:val="20"/>
                <w:szCs w:val="20"/>
                <w:color w:val="auto"/>
              </w:rPr>
            </w:pPr>
            <w:r>
              <w:rPr>
                <w:rFonts w:ascii="Arial" w:cs="Arial" w:eastAsia="Arial" w:hAnsi="Arial"/>
                <w:sz w:val="18"/>
                <w:szCs w:val="18"/>
                <w:color w:val="auto"/>
              </w:rPr>
              <w:t>(710)</w:t>
            </w:r>
          </w:p>
        </w:tc>
      </w:tr>
      <w:tr>
        <w:trPr>
          <w:trHeight w:val="217"/>
        </w:trPr>
        <w:tc>
          <w:tcPr>
            <w:tcW w:w="8860" w:type="dxa"/>
            <w:vAlign w:val="bottom"/>
            <w:shd w:val="clear" w:color="auto" w:fill="CCEEFF"/>
          </w:tcPr>
          <w:p>
            <w:pPr>
              <w:spacing w:after="0"/>
              <w:rPr>
                <w:sz w:val="20"/>
                <w:szCs w:val="20"/>
                <w:color w:val="auto"/>
              </w:rPr>
            </w:pPr>
            <w:r>
              <w:rPr>
                <w:rFonts w:ascii="Arial" w:cs="Arial" w:eastAsia="Arial" w:hAnsi="Arial"/>
                <w:sz w:val="18"/>
                <w:szCs w:val="18"/>
                <w:color w:val="auto"/>
              </w:rPr>
              <w:t>Reversal of specific reserves associated with these licensees</w:t>
            </w:r>
          </w:p>
        </w:tc>
        <w:tc>
          <w:tcPr>
            <w:tcW w:w="14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8"/>
              </w:rPr>
              <w:t>(4,586)</w:t>
            </w:r>
          </w:p>
        </w:tc>
      </w:tr>
      <w:tr>
        <w:trPr>
          <w:trHeight w:val="222"/>
        </w:trPr>
        <w:tc>
          <w:tcPr>
            <w:tcW w:w="8860" w:type="dxa"/>
            <w:vAlign w:val="bottom"/>
          </w:tcPr>
          <w:p>
            <w:pPr>
              <w:spacing w:after="0"/>
              <w:rPr>
                <w:sz w:val="20"/>
                <w:szCs w:val="20"/>
                <w:color w:val="auto"/>
              </w:rPr>
            </w:pPr>
            <w:r>
              <w:rPr>
                <w:rFonts w:ascii="Arial" w:cs="Arial" w:eastAsia="Arial" w:hAnsi="Arial"/>
                <w:sz w:val="18"/>
                <w:szCs w:val="18"/>
                <w:color w:val="auto"/>
              </w:rPr>
              <w:t>Goodwill</w:t>
            </w: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3,967</w:t>
            </w:r>
          </w:p>
        </w:tc>
        <w:tc>
          <w:tcPr>
            <w:tcW w:w="60" w:type="dxa"/>
            <w:vAlign w:val="bottom"/>
          </w:tcPr>
          <w:p>
            <w:pPr>
              <w:spacing w:after="0"/>
              <w:rPr>
                <w:sz w:val="19"/>
                <w:szCs w:val="19"/>
                <w:color w:val="auto"/>
              </w:rPr>
            </w:pPr>
          </w:p>
        </w:tc>
      </w:tr>
      <w:tr>
        <w:trPr>
          <w:trHeight w:val="20"/>
        </w:trPr>
        <w:tc>
          <w:tcPr>
            <w:tcW w:w="88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167" w:lineRule="exact"/>
        <w:rPr>
          <w:sz w:val="20"/>
          <w:szCs w:val="20"/>
          <w:color w:val="auto"/>
        </w:rPr>
      </w:pPr>
    </w:p>
    <w:p>
      <w:pPr>
        <w:ind w:right="340"/>
        <w:spacing w:after="0" w:line="298" w:lineRule="auto"/>
        <w:rPr>
          <w:sz w:val="20"/>
          <w:szCs w:val="20"/>
          <w:color w:val="auto"/>
        </w:rPr>
      </w:pPr>
      <w:r>
        <w:rPr>
          <w:rFonts w:ascii="Arial" w:cs="Arial" w:eastAsia="Arial" w:hAnsi="Arial"/>
          <w:sz w:val="16"/>
          <w:szCs w:val="16"/>
          <w:color w:val="auto"/>
        </w:rPr>
        <w:t>Prior to the acquisitions, we had $8,968 of accounts and notes receivable from the licensees net of bad debt reserves of $4,586. At the time of the acquisition, those reserves were used to reduce the amount of goodwill associated with the acquisitions. In addition, because of the negative book value of the acquired licensees, the resulting asset associated with minority interest for the Dallas and Atlanta licensees was recorded as an increase to goodwill. The identifiable intangible assets primarily consists of the value of the licensees’ customer bases and will be amortized over five years.</w:t>
      </w:r>
    </w:p>
    <w:p>
      <w:pPr>
        <w:spacing w:after="0" w:line="113" w:lineRule="exact"/>
        <w:rPr>
          <w:sz w:val="20"/>
          <w:szCs w:val="20"/>
          <w:color w:val="auto"/>
        </w:rPr>
      </w:pPr>
    </w:p>
    <w:p>
      <w:pPr>
        <w:ind w:right="460"/>
        <w:spacing w:after="0" w:line="259" w:lineRule="auto"/>
        <w:rPr>
          <w:sz w:val="20"/>
          <w:szCs w:val="20"/>
          <w:color w:val="auto"/>
        </w:rPr>
      </w:pPr>
      <w:r>
        <w:rPr>
          <w:rFonts w:ascii="Arial" w:cs="Arial" w:eastAsia="Arial" w:hAnsi="Arial"/>
          <w:sz w:val="18"/>
          <w:szCs w:val="18"/>
          <w:color w:val="auto"/>
        </w:rPr>
        <w:t>The acquisitions discussed above are central to our overall retail strategies and the purchase consideration paid for these transactions was based on both maintaining distribution for our wholesale business and generating a reasonable store level retail return from these operations. Therefore, we have allocated $1,116 of the goodwill to our retail segment and $2,851 to our wholesale segment.</w:t>
      </w:r>
    </w:p>
    <w:p>
      <w:pPr>
        <w:spacing w:after="0" w:line="140" w:lineRule="exact"/>
        <w:rPr>
          <w:sz w:val="20"/>
          <w:szCs w:val="20"/>
          <w:color w:val="auto"/>
        </w:rPr>
      </w:pPr>
    </w:p>
    <w:p>
      <w:pPr>
        <w:ind w:right="120"/>
        <w:spacing w:after="0" w:line="294" w:lineRule="auto"/>
        <w:rPr>
          <w:sz w:val="20"/>
          <w:szCs w:val="20"/>
          <w:color w:val="auto"/>
        </w:rPr>
      </w:pPr>
      <w:r>
        <w:rPr>
          <w:rFonts w:ascii="Arial" w:cs="Arial" w:eastAsia="Arial" w:hAnsi="Arial"/>
          <w:sz w:val="16"/>
          <w:szCs w:val="16"/>
          <w:color w:val="auto"/>
        </w:rPr>
        <w:t>The following unaudited pro forma financial information for 2005 and 2004 is presented to illustrate what the estimated effect of the 2005 acquisitions of BFD-Dallas and BFD-Atlanta would have been if the transactions had occurred as of the beginning of each period presented below. The pro forma results do not include the acquisition of BFD-UNY as complete and accurate financial information was not available for those periods. The pro forma information shows sales net of elimination of inter-company sales and profit. The pro forma financial information is not necessarily indicative of the results of operations as they would have been had the transactions been effected on the assumed date nor is it necessarily indicative of future results.</w:t>
      </w:r>
    </w:p>
    <w:p>
      <w:pPr>
        <w:spacing w:after="0" w:line="152"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744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020" w:type="dxa"/>
            <w:vAlign w:val="bottom"/>
            <w:tcBorders>
              <w:bottom w:val="single" w:sz="8" w:color="auto"/>
            </w:tcBorders>
            <w:gridSpan w:val="3"/>
          </w:tcPr>
          <w:p>
            <w:pPr>
              <w:ind w:left="580"/>
              <w:spacing w:after="0"/>
              <w:rPr>
                <w:sz w:val="20"/>
                <w:szCs w:val="20"/>
                <w:color w:val="auto"/>
              </w:rPr>
            </w:pPr>
            <w:r>
              <w:rPr>
                <w:rFonts w:ascii="Arial" w:cs="Arial" w:eastAsia="Arial" w:hAnsi="Arial"/>
                <w:sz w:val="14"/>
                <w:szCs w:val="14"/>
                <w:b w:val="1"/>
                <w:bCs w:val="1"/>
                <w:color w:val="auto"/>
                <w:w w:val="99"/>
              </w:rPr>
              <w:t>Unaudited Pro Forma</w:t>
            </w:r>
          </w:p>
        </w:tc>
        <w:tc>
          <w:tcPr>
            <w:tcW w:w="72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440" w:type="dxa"/>
            <w:vAlign w:val="bottom"/>
          </w:tcPr>
          <w:p>
            <w:pPr>
              <w:spacing w:after="0"/>
              <w:rPr>
                <w:sz w:val="12"/>
                <w:szCs w:val="12"/>
                <w:color w:val="auto"/>
              </w:rPr>
            </w:pPr>
          </w:p>
        </w:tc>
        <w:tc>
          <w:tcPr>
            <w:tcW w:w="1120" w:type="dxa"/>
            <w:vAlign w:val="bottom"/>
            <w:tcBorders>
              <w:bottom w:val="single" w:sz="8" w:color="auto"/>
            </w:tcBorders>
            <w:gridSpan w:val="2"/>
          </w:tcPr>
          <w:p>
            <w:pPr>
              <w:ind w:left="20"/>
              <w:spacing w:after="0" w:line="142" w:lineRule="exact"/>
              <w:rPr>
                <w:sz w:val="20"/>
                <w:szCs w:val="20"/>
                <w:color w:val="auto"/>
              </w:rPr>
            </w:pPr>
            <w:r>
              <w:rPr>
                <w:rFonts w:ascii="Arial" w:cs="Arial" w:eastAsia="Arial" w:hAnsi="Arial"/>
                <w:sz w:val="14"/>
                <w:szCs w:val="14"/>
                <w:b w:val="1"/>
                <w:bCs w:val="1"/>
                <w:color w:val="auto"/>
                <w:w w:val="85"/>
              </w:rPr>
              <w:t>November 26, 2005</w:t>
            </w:r>
          </w:p>
        </w:tc>
        <w:tc>
          <w:tcPr>
            <w:tcW w:w="840" w:type="dxa"/>
            <w:vAlign w:val="bottom"/>
          </w:tcPr>
          <w:p>
            <w:pPr>
              <w:spacing w:after="0"/>
              <w:rPr>
                <w:sz w:val="12"/>
                <w:szCs w:val="12"/>
                <w:color w:val="auto"/>
              </w:rPr>
            </w:pPr>
          </w:p>
        </w:tc>
        <w:tc>
          <w:tcPr>
            <w:tcW w:w="1100" w:type="dxa"/>
            <w:vAlign w:val="bottom"/>
            <w:tcBorders>
              <w:bottom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85"/>
              </w:rPr>
              <w:t>November 27, 2004</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744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3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344,415</w:t>
            </w:r>
          </w:p>
        </w:tc>
        <w:tc>
          <w:tcPr>
            <w:tcW w:w="1220" w:type="dxa"/>
            <w:vAlign w:val="bottom"/>
            <w:gridSpan w:val="2"/>
            <w:shd w:val="clear" w:color="auto" w:fill="CCEEFF"/>
          </w:tcPr>
          <w:p>
            <w:pPr>
              <w:ind w:left="84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333,511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440" w:type="dxa"/>
            <w:vAlign w:val="bottom"/>
            <w:vMerge w:val="restart"/>
          </w:tcPr>
          <w:p>
            <w:pPr>
              <w:spacing w:after="0"/>
              <w:rPr>
                <w:sz w:val="20"/>
                <w:szCs w:val="20"/>
                <w:color w:val="auto"/>
              </w:rPr>
            </w:pPr>
            <w:r>
              <w:rPr>
                <w:rFonts w:ascii="Arial" w:cs="Arial" w:eastAsia="Arial" w:hAnsi="Arial"/>
                <w:sz w:val="18"/>
                <w:szCs w:val="18"/>
                <w:color w:val="auto"/>
              </w:rPr>
              <w:t>Net income</w:t>
            </w:r>
          </w:p>
        </w:tc>
        <w:tc>
          <w:tcPr>
            <w:tcW w:w="3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7440" w:type="dxa"/>
            <w:vAlign w:val="bottom"/>
            <w:vMerge w:val="continue"/>
          </w:tcPr>
          <w:p>
            <w:pPr>
              <w:spacing w:after="0"/>
              <w:rPr>
                <w:sz w:val="19"/>
                <w:szCs w:val="19"/>
                <w:color w:val="auto"/>
              </w:rPr>
            </w:pPr>
          </w:p>
        </w:tc>
        <w:tc>
          <w:tcPr>
            <w:tcW w:w="320" w:type="dxa"/>
            <w:vAlign w:val="bottom"/>
          </w:tcPr>
          <w:p>
            <w:pPr>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7,282</w:t>
            </w:r>
          </w:p>
        </w:tc>
        <w:tc>
          <w:tcPr>
            <w:tcW w:w="1220" w:type="dxa"/>
            <w:vAlign w:val="bottom"/>
            <w:gridSpan w:val="2"/>
          </w:tcPr>
          <w:p>
            <w:pPr>
              <w:ind w:left="84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20"/>
              <w:spacing w:after="0"/>
              <w:rPr>
                <w:sz w:val="20"/>
                <w:szCs w:val="20"/>
                <w:color w:val="auto"/>
              </w:rPr>
            </w:pPr>
            <w:r>
              <w:rPr>
                <w:rFonts w:ascii="Arial" w:cs="Arial" w:eastAsia="Arial" w:hAnsi="Arial"/>
                <w:sz w:val="18"/>
                <w:szCs w:val="18"/>
                <w:color w:val="auto"/>
              </w:rPr>
              <w:t>5,008</w:t>
            </w:r>
          </w:p>
        </w:tc>
        <w:tc>
          <w:tcPr>
            <w:tcW w:w="0" w:type="dxa"/>
            <w:vAlign w:val="bottom"/>
          </w:tcPr>
          <w:p>
            <w:pPr>
              <w:spacing w:after="0"/>
              <w:rPr>
                <w:sz w:val="1"/>
                <w:szCs w:val="1"/>
                <w:color w:val="auto"/>
              </w:rPr>
            </w:pPr>
          </w:p>
        </w:tc>
      </w:tr>
      <w:tr>
        <w:trPr>
          <w:trHeight w:val="20"/>
        </w:trPr>
        <w:tc>
          <w:tcPr>
            <w:tcW w:w="744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7440" w:type="dxa"/>
            <w:vAlign w:val="bottom"/>
            <w:shd w:val="clear" w:color="auto" w:fill="CCEEFF"/>
          </w:tcPr>
          <w:p>
            <w:pPr>
              <w:spacing w:after="0"/>
              <w:rPr>
                <w:sz w:val="20"/>
                <w:szCs w:val="20"/>
                <w:color w:val="auto"/>
              </w:rPr>
            </w:pPr>
            <w:r>
              <w:rPr>
                <w:rFonts w:ascii="Arial" w:cs="Arial" w:eastAsia="Arial" w:hAnsi="Arial"/>
                <w:sz w:val="18"/>
                <w:szCs w:val="18"/>
                <w:color w:val="auto"/>
              </w:rPr>
              <w:t>Diluted earnings per share</w:t>
            </w:r>
          </w:p>
        </w:tc>
        <w:tc>
          <w:tcPr>
            <w:tcW w:w="3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0.61</w:t>
            </w:r>
          </w:p>
        </w:tc>
        <w:tc>
          <w:tcPr>
            <w:tcW w:w="1220" w:type="dxa"/>
            <w:vAlign w:val="bottom"/>
            <w:gridSpan w:val="2"/>
            <w:shd w:val="clear" w:color="auto" w:fill="CCEEFF"/>
          </w:tcPr>
          <w:p>
            <w:pPr>
              <w:ind w:left="84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44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During the first quarter of 2006, we purchased the remaining 34% interest in BFD-Atlanta for $200 and recorded an additional $137 of goodwill. During the second quarter of 2006, we purchased an additional 15% interest in BFD-Dallas for $230 and recorded an additional $222 of goodwill. As of November 25, 2006, we own 100% of BFD-Atlanta and 91% of BFD-Dallas.</w:t>
      </w:r>
    </w:p>
    <w:p>
      <w:pPr>
        <w:spacing w:after="0" w:line="140" w:lineRule="exact"/>
        <w:rPr>
          <w:sz w:val="20"/>
          <w:szCs w:val="20"/>
          <w:color w:val="auto"/>
        </w:rPr>
      </w:pPr>
    </w:p>
    <w:p>
      <w:pPr>
        <w:spacing w:after="0"/>
        <w:rPr>
          <w:sz w:val="20"/>
          <w:szCs w:val="20"/>
          <w:color w:val="auto"/>
        </w:rPr>
      </w:pPr>
      <w:r>
        <w:rPr>
          <w:rFonts w:ascii="Arial" w:cs="Arial" w:eastAsia="Arial" w:hAnsi="Arial"/>
          <w:sz w:val="18"/>
          <w:szCs w:val="18"/>
          <w:color w:val="auto"/>
        </w:rPr>
        <w:t>Subsequent to year end, we acquired the remaining 9% of BFD-Dallas for $120.</w:t>
      </w:r>
    </w:p>
    <w:p>
      <w:pPr>
        <w:spacing w:after="0" w:line="158"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F - 41</w:t>
      </w:r>
    </w:p>
    <w:p>
      <w:pPr>
        <w:sectPr>
          <w:pgSz w:w="11900" w:h="16838" w:orient="portrait"/>
          <w:cols w:equalWidth="0" w:num="1">
            <w:col w:w="11400"/>
          </w:cols>
          <w:pgMar w:left="240" w:top="459" w:right="259"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Contingencies</w:t>
      </w:r>
    </w:p>
    <w:p>
      <w:pPr>
        <w:spacing w:after="0" w:line="96"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We are involved in various claims and actions, including environmental matters, which arise in the normal course of business. Although the final outcome of these matters cannot be determined, based on the facts presently known, it is our opinion that the final resolution of these matters will not have a material adverse effect on our financial position or future results of operations.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Leases, Lease Guarantees and Loan Guarantees</w:t>
      </w:r>
    </w:p>
    <w:p>
      <w:pPr>
        <w:spacing w:after="0" w:line="96" w:lineRule="exact"/>
        <w:rPr>
          <w:sz w:val="20"/>
          <w:szCs w:val="20"/>
          <w:color w:val="auto"/>
        </w:rPr>
      </w:pPr>
    </w:p>
    <w:p>
      <w:pPr>
        <w:spacing w:after="0" w:line="294" w:lineRule="auto"/>
        <w:rPr>
          <w:sz w:val="20"/>
          <w:szCs w:val="20"/>
          <w:color w:val="auto"/>
        </w:rPr>
      </w:pPr>
      <w:r>
        <w:rPr>
          <w:rFonts w:ascii="Arial" w:cs="Arial" w:eastAsia="Arial" w:hAnsi="Arial"/>
          <w:sz w:val="16"/>
          <w:szCs w:val="16"/>
          <w:color w:val="auto"/>
        </w:rPr>
        <w:t>We lease land and buildings that are used in the operation of our Company-owned retail stores as well as in the operation of independent and partnership licensee BFD stores. Our decision to exercise renewal options is primarily dependent on the level of business conducted at the location and the profitability thereof. Some store leases contain contingent rental provisions based upon sales volume. Additionally, we lease showroom space from IHFC, which is priced at what we believe to be a market rate. Lease terms range from one to 15 years and generally have renewal options of between five and 15 years. The following schedule shows future minimum lease payments under non-cancelable leases having remaining terms in excess of one year as of November 25, 2006:</w:t>
      </w:r>
    </w:p>
    <w:p>
      <w:pPr>
        <w:spacing w:after="0" w:line="164" w:lineRule="exact"/>
        <w:rPr>
          <w:sz w:val="20"/>
          <w:szCs w:val="20"/>
          <w:color w:val="auto"/>
        </w:rPr>
      </w:pPr>
    </w:p>
    <w:tbl>
      <w:tblPr>
        <w:tblLayout w:type="fixed"/>
        <w:tblInd w:w="3440" w:type="dxa"/>
        <w:tblCellMar>
          <w:top w:w="0" w:type="dxa"/>
          <w:left w:w="0" w:type="dxa"/>
          <w:bottom w:w="0" w:type="dxa"/>
          <w:right w:w="0" w:type="dxa"/>
        </w:tblCellMar>
      </w:tblPr>
      <w:tr>
        <w:trPr>
          <w:trHeight w:val="216"/>
        </w:trPr>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2007</w:t>
            </w:r>
          </w:p>
        </w:tc>
        <w:tc>
          <w:tcPr>
            <w:tcW w:w="2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$ 12,851</w:t>
            </w:r>
          </w:p>
        </w:tc>
      </w:tr>
      <w:tr>
        <w:trPr>
          <w:trHeight w:val="216"/>
        </w:trPr>
        <w:tc>
          <w:tcPr>
            <w:tcW w:w="2320" w:type="dxa"/>
            <w:vAlign w:val="bottom"/>
          </w:tcPr>
          <w:p>
            <w:pPr>
              <w:spacing w:after="0"/>
              <w:rPr>
                <w:sz w:val="20"/>
                <w:szCs w:val="20"/>
                <w:color w:val="auto"/>
              </w:rPr>
            </w:pPr>
            <w:r>
              <w:rPr>
                <w:rFonts w:ascii="Arial" w:cs="Arial" w:eastAsia="Arial" w:hAnsi="Arial"/>
                <w:sz w:val="18"/>
                <w:szCs w:val="18"/>
                <w:color w:val="auto"/>
              </w:rPr>
              <w:t>2008</w:t>
            </w:r>
          </w:p>
        </w:tc>
        <w:tc>
          <w:tcPr>
            <w:tcW w:w="2240" w:type="dxa"/>
            <w:vAlign w:val="bottom"/>
            <w:gridSpan w:val="2"/>
          </w:tcPr>
          <w:p>
            <w:pPr>
              <w:jc w:val="right"/>
              <w:spacing w:after="0"/>
              <w:rPr>
                <w:sz w:val="20"/>
                <w:szCs w:val="20"/>
                <w:color w:val="auto"/>
              </w:rPr>
            </w:pPr>
            <w:r>
              <w:rPr>
                <w:rFonts w:ascii="Arial" w:cs="Arial" w:eastAsia="Arial" w:hAnsi="Arial"/>
                <w:sz w:val="18"/>
                <w:szCs w:val="18"/>
                <w:color w:val="auto"/>
              </w:rPr>
              <w:t>12,342</w:t>
            </w:r>
          </w:p>
        </w:tc>
      </w:tr>
      <w:tr>
        <w:trPr>
          <w:trHeight w:val="216"/>
        </w:trPr>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2009</w:t>
            </w:r>
          </w:p>
        </w:tc>
        <w:tc>
          <w:tcPr>
            <w:tcW w:w="2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11,945</w:t>
            </w:r>
          </w:p>
        </w:tc>
      </w:tr>
      <w:tr>
        <w:trPr>
          <w:trHeight w:val="216"/>
        </w:trPr>
        <w:tc>
          <w:tcPr>
            <w:tcW w:w="2320" w:type="dxa"/>
            <w:vAlign w:val="bottom"/>
          </w:tcPr>
          <w:p>
            <w:pPr>
              <w:spacing w:after="0"/>
              <w:rPr>
                <w:sz w:val="20"/>
                <w:szCs w:val="20"/>
                <w:color w:val="auto"/>
              </w:rPr>
            </w:pPr>
            <w:r>
              <w:rPr>
                <w:rFonts w:ascii="Arial" w:cs="Arial" w:eastAsia="Arial" w:hAnsi="Arial"/>
                <w:sz w:val="18"/>
                <w:szCs w:val="18"/>
                <w:color w:val="auto"/>
              </w:rPr>
              <w:t>2010</w:t>
            </w:r>
          </w:p>
        </w:tc>
        <w:tc>
          <w:tcPr>
            <w:tcW w:w="2240" w:type="dxa"/>
            <w:vAlign w:val="bottom"/>
            <w:gridSpan w:val="2"/>
          </w:tcPr>
          <w:p>
            <w:pPr>
              <w:jc w:val="right"/>
              <w:spacing w:after="0"/>
              <w:rPr>
                <w:sz w:val="20"/>
                <w:szCs w:val="20"/>
                <w:color w:val="auto"/>
              </w:rPr>
            </w:pPr>
            <w:r>
              <w:rPr>
                <w:rFonts w:ascii="Arial" w:cs="Arial" w:eastAsia="Arial" w:hAnsi="Arial"/>
                <w:sz w:val="18"/>
                <w:szCs w:val="18"/>
                <w:color w:val="auto"/>
              </w:rPr>
              <w:t>11,720</w:t>
            </w:r>
          </w:p>
        </w:tc>
      </w:tr>
      <w:tr>
        <w:trPr>
          <w:trHeight w:val="216"/>
        </w:trPr>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2011</w:t>
            </w:r>
          </w:p>
        </w:tc>
        <w:tc>
          <w:tcPr>
            <w:tcW w:w="2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10,821</w:t>
            </w:r>
          </w:p>
        </w:tc>
      </w:tr>
      <w:tr>
        <w:trPr>
          <w:trHeight w:val="223"/>
        </w:trPr>
        <w:tc>
          <w:tcPr>
            <w:tcW w:w="2320" w:type="dxa"/>
            <w:vAlign w:val="bottom"/>
          </w:tcPr>
          <w:p>
            <w:pPr>
              <w:spacing w:after="0"/>
              <w:rPr>
                <w:sz w:val="20"/>
                <w:szCs w:val="20"/>
                <w:color w:val="auto"/>
              </w:rPr>
            </w:pPr>
            <w:r>
              <w:rPr>
                <w:rFonts w:ascii="Arial" w:cs="Arial" w:eastAsia="Arial" w:hAnsi="Arial"/>
                <w:sz w:val="18"/>
                <w:szCs w:val="18"/>
                <w:color w:val="auto"/>
              </w:rPr>
              <w:t>Thereafter</w:t>
            </w:r>
          </w:p>
        </w:tc>
        <w:tc>
          <w:tcPr>
            <w:tcW w:w="1620" w:type="dxa"/>
            <w:vAlign w:val="bottom"/>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37,086</w:t>
            </w:r>
          </w:p>
        </w:tc>
      </w:tr>
      <w:tr>
        <w:trPr>
          <w:trHeight w:val="216"/>
        </w:trPr>
        <w:tc>
          <w:tcPr>
            <w:tcW w:w="2320" w:type="dxa"/>
            <w:vAlign w:val="bottom"/>
            <w:shd w:val="clear" w:color="auto" w:fill="CCEEFF"/>
          </w:tcPr>
          <w:p>
            <w:pPr>
              <w:spacing w:after="0"/>
              <w:rPr>
                <w:sz w:val="18"/>
                <w:szCs w:val="18"/>
                <w:color w:val="auto"/>
              </w:rPr>
            </w:pPr>
          </w:p>
        </w:tc>
        <w:tc>
          <w:tcPr>
            <w:tcW w:w="2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$ 96,765</w:t>
            </w:r>
          </w:p>
        </w:tc>
      </w:tr>
      <w:tr>
        <w:trPr>
          <w:trHeight w:val="20"/>
        </w:trPr>
        <w:tc>
          <w:tcPr>
            <w:tcW w:w="232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r>
    </w:tbl>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Lease expense was $11,507, $7,726, and $6,042 for 2006, 2005, and 2004, respectively.</w:t>
      </w:r>
    </w:p>
    <w:p>
      <w:pPr>
        <w:spacing w:after="0" w:line="171"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In addition to subleasing certain of these properties, we own retail real estate which we in turn lease to licensee operators of BFD stores. The following schedule shows minimum future rental income related to pass-through rental expense on subleased property as well as rental income on real estate owned by Bassett, excluding subleases based on a percentage of sales.</w:t>
      </w:r>
    </w:p>
    <w:p>
      <w:pPr>
        <w:spacing w:after="0" w:line="189" w:lineRule="exact"/>
        <w:rPr>
          <w:sz w:val="20"/>
          <w:szCs w:val="20"/>
          <w:color w:val="auto"/>
        </w:rPr>
      </w:pPr>
    </w:p>
    <w:tbl>
      <w:tblPr>
        <w:tblLayout w:type="fixed"/>
        <w:tblInd w:w="3440" w:type="dxa"/>
        <w:tblCellMar>
          <w:top w:w="0" w:type="dxa"/>
          <w:left w:w="0" w:type="dxa"/>
          <w:bottom w:w="0" w:type="dxa"/>
          <w:right w:w="0" w:type="dxa"/>
        </w:tblCellMar>
      </w:tblPr>
      <w:tr>
        <w:trPr>
          <w:trHeight w:val="216"/>
        </w:trPr>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2007</w:t>
            </w:r>
          </w:p>
        </w:tc>
        <w:tc>
          <w:tcPr>
            <w:tcW w:w="1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5,490</w:t>
            </w:r>
          </w:p>
        </w:tc>
      </w:tr>
      <w:tr>
        <w:trPr>
          <w:trHeight w:val="216"/>
        </w:trPr>
        <w:tc>
          <w:tcPr>
            <w:tcW w:w="2320" w:type="dxa"/>
            <w:vAlign w:val="bottom"/>
          </w:tcPr>
          <w:p>
            <w:pPr>
              <w:spacing w:after="0"/>
              <w:rPr>
                <w:sz w:val="20"/>
                <w:szCs w:val="20"/>
                <w:color w:val="auto"/>
              </w:rPr>
            </w:pPr>
            <w:r>
              <w:rPr>
                <w:rFonts w:ascii="Arial" w:cs="Arial" w:eastAsia="Arial" w:hAnsi="Arial"/>
                <w:sz w:val="18"/>
                <w:szCs w:val="18"/>
                <w:color w:val="auto"/>
              </w:rPr>
              <w:t>2008</w:t>
            </w:r>
          </w:p>
        </w:tc>
        <w:tc>
          <w:tcPr>
            <w:tcW w:w="1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5,816</w:t>
            </w:r>
          </w:p>
        </w:tc>
      </w:tr>
      <w:tr>
        <w:trPr>
          <w:trHeight w:val="216"/>
        </w:trPr>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2009</w:t>
            </w:r>
          </w:p>
        </w:tc>
        <w:tc>
          <w:tcPr>
            <w:tcW w:w="1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5,962</w:t>
            </w:r>
          </w:p>
        </w:tc>
      </w:tr>
      <w:tr>
        <w:trPr>
          <w:trHeight w:val="216"/>
        </w:trPr>
        <w:tc>
          <w:tcPr>
            <w:tcW w:w="2320" w:type="dxa"/>
            <w:vAlign w:val="bottom"/>
          </w:tcPr>
          <w:p>
            <w:pPr>
              <w:spacing w:after="0"/>
              <w:rPr>
                <w:sz w:val="20"/>
                <w:szCs w:val="20"/>
                <w:color w:val="auto"/>
              </w:rPr>
            </w:pPr>
            <w:r>
              <w:rPr>
                <w:rFonts w:ascii="Arial" w:cs="Arial" w:eastAsia="Arial" w:hAnsi="Arial"/>
                <w:sz w:val="18"/>
                <w:szCs w:val="18"/>
                <w:color w:val="auto"/>
              </w:rPr>
              <w:t>2010</w:t>
            </w:r>
          </w:p>
        </w:tc>
        <w:tc>
          <w:tcPr>
            <w:tcW w:w="1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5,685</w:t>
            </w:r>
          </w:p>
        </w:tc>
      </w:tr>
      <w:tr>
        <w:trPr>
          <w:trHeight w:val="216"/>
        </w:trPr>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2011</w:t>
            </w:r>
          </w:p>
        </w:tc>
        <w:tc>
          <w:tcPr>
            <w:tcW w:w="1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4,897</w:t>
            </w:r>
          </w:p>
        </w:tc>
      </w:tr>
      <w:tr>
        <w:trPr>
          <w:trHeight w:val="223"/>
        </w:trPr>
        <w:tc>
          <w:tcPr>
            <w:tcW w:w="2320" w:type="dxa"/>
            <w:vAlign w:val="bottom"/>
          </w:tcPr>
          <w:p>
            <w:pPr>
              <w:spacing w:after="0"/>
              <w:rPr>
                <w:sz w:val="20"/>
                <w:szCs w:val="20"/>
                <w:color w:val="auto"/>
              </w:rPr>
            </w:pPr>
            <w:r>
              <w:rPr>
                <w:rFonts w:ascii="Arial" w:cs="Arial" w:eastAsia="Arial" w:hAnsi="Arial"/>
                <w:sz w:val="18"/>
                <w:szCs w:val="18"/>
                <w:color w:val="auto"/>
              </w:rPr>
              <w:t>Thereafter</w:t>
            </w:r>
          </w:p>
        </w:tc>
        <w:tc>
          <w:tcPr>
            <w:tcW w:w="16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0"/>
              </w:rPr>
              <w:t>18,217</w:t>
            </w:r>
          </w:p>
        </w:tc>
      </w:tr>
      <w:tr>
        <w:trPr>
          <w:trHeight w:val="216"/>
        </w:trPr>
        <w:tc>
          <w:tcPr>
            <w:tcW w:w="2320" w:type="dxa"/>
            <w:vAlign w:val="bottom"/>
            <w:shd w:val="clear" w:color="auto" w:fill="CCEEFF"/>
          </w:tcPr>
          <w:p>
            <w:pPr>
              <w:spacing w:after="0"/>
              <w:rPr>
                <w:sz w:val="18"/>
                <w:szCs w:val="18"/>
                <w:color w:val="auto"/>
              </w:rPr>
            </w:pPr>
          </w:p>
        </w:tc>
        <w:tc>
          <w:tcPr>
            <w:tcW w:w="1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46,067</w:t>
            </w:r>
          </w:p>
        </w:tc>
      </w:tr>
      <w:tr>
        <w:trPr>
          <w:trHeight w:val="20"/>
        </w:trPr>
        <w:tc>
          <w:tcPr>
            <w:tcW w:w="232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r>
    </w:tbl>
    <w:p>
      <w:pPr>
        <w:spacing w:after="0" w:line="167" w:lineRule="exact"/>
        <w:rPr>
          <w:sz w:val="20"/>
          <w:szCs w:val="20"/>
          <w:color w:val="auto"/>
        </w:rPr>
      </w:pPr>
    </w:p>
    <w:p>
      <w:pPr>
        <w:ind w:right="220"/>
        <w:spacing w:after="0" w:line="268" w:lineRule="auto"/>
        <w:rPr>
          <w:sz w:val="20"/>
          <w:szCs w:val="20"/>
          <w:color w:val="auto"/>
        </w:rPr>
      </w:pPr>
      <w:r>
        <w:rPr>
          <w:rFonts w:ascii="Arial" w:cs="Arial" w:eastAsia="Arial" w:hAnsi="Arial"/>
          <w:sz w:val="18"/>
          <w:szCs w:val="18"/>
          <w:color w:val="auto"/>
        </w:rPr>
        <w:t>Real estate expense (including lease costs, depreciation, insurance, and taxes), net of rental income, was $775 in 2006, $684 in 2005 and $1,071 in 2004 and is reflected in other expense, net in the accompanying consolidated statements of income.</w:t>
      </w:r>
    </w:p>
    <w:p>
      <w:pPr>
        <w:spacing w:after="0" w:line="132" w:lineRule="exact"/>
        <w:rPr>
          <w:sz w:val="20"/>
          <w:szCs w:val="20"/>
          <w:color w:val="auto"/>
        </w:rPr>
      </w:pPr>
    </w:p>
    <w:p>
      <w:pPr>
        <w:ind w:right="200"/>
        <w:spacing w:after="0" w:line="256" w:lineRule="auto"/>
        <w:rPr>
          <w:sz w:val="20"/>
          <w:szCs w:val="20"/>
          <w:color w:val="auto"/>
        </w:rPr>
      </w:pPr>
      <w:r>
        <w:rPr>
          <w:rFonts w:ascii="Arial" w:cs="Arial" w:eastAsia="Arial" w:hAnsi="Arial"/>
          <w:sz w:val="18"/>
          <w:szCs w:val="18"/>
          <w:color w:val="auto"/>
        </w:rPr>
        <w:t>As part of the expansion strategy for our BFD program, we have guaranteed certain lease obligations of licensee operators. Lease guarantees range from one to ten years. The guarantee party is generally required to make periodic fee payments to us in exchange for the guarantee. We were contingently liable under licensee lease obligation guarantees in the amount of $20,566 and $16,729 at November 25, 2006, and at November 26, 2005, respectively. Currently, we have also guaranteed one warehouse lease obligation for $340.</w:t>
      </w:r>
    </w:p>
    <w:p>
      <w:pPr>
        <w:spacing w:after="0" w:line="143" w:lineRule="exact"/>
        <w:rPr>
          <w:sz w:val="20"/>
          <w:szCs w:val="20"/>
          <w:color w:val="auto"/>
        </w:rPr>
      </w:pPr>
    </w:p>
    <w:p>
      <w:pPr>
        <w:ind w:right="300"/>
        <w:spacing w:after="0" w:line="306" w:lineRule="auto"/>
        <w:rPr>
          <w:sz w:val="20"/>
          <w:szCs w:val="20"/>
          <w:color w:val="auto"/>
        </w:rPr>
      </w:pPr>
      <w:r>
        <w:rPr>
          <w:rFonts w:ascii="Arial" w:cs="Arial" w:eastAsia="Arial" w:hAnsi="Arial"/>
          <w:sz w:val="16"/>
          <w:szCs w:val="16"/>
          <w:color w:val="auto"/>
        </w:rPr>
        <w:t>We have also guaranteed loans of certain of our BFD dealers to finance initial inventory packages for those stores. Loan guarantees have three year terms, are collateralized by the inventory and generally carry a personal guarantee of the independent dealer. The total contingent liability with respect to these loan guarantees as of November 25, 2006, and November 26, 2005, was $10,047 and $12,018, respectively.</w:t>
      </w:r>
    </w:p>
    <w:p>
      <w:pPr>
        <w:spacing w:after="0" w:line="9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 - 42</w:t>
      </w:r>
    </w:p>
    <w:p>
      <w:pPr>
        <w:sectPr>
          <w:pgSz w:w="11900" w:h="16838" w:orient="portrait"/>
          <w:cols w:equalWidth="0" w:num="1">
            <w:col w:w="11380"/>
          </w:cols>
          <w:pgMar w:left="240" w:top="459" w:right="279" w:bottom="1440" w:gutter="0" w:footer="0" w:header="0"/>
        </w:sectPr>
      </w:pPr>
    </w:p>
    <w:bookmarkStart w:id="61" w:name="page62"/>
    <w:bookmarkEnd w:id="6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65"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color w:val="auto"/>
        </w:rPr>
        <w:t>In the event of default by an independent dealer under the guaranteed lease or loan, we believe that the risk of loss is mitigated through a combination of options that include, but are not limited to, arranging for a replacement dealer, liquidating the collateral, and pursuing payment under the personal guarantees of the independent dealer. The proceeds of the above options are estimated to cover the maximum amount of our future payments under the guarantee obligations. The fair value of guarantees at November 25, 2006, and November 26, 2005, were $410 and $700, respectively, and are recorded in accrued liabilities in the accompanying consolidated balance sheets.</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18. Earnings Per Share</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reconciles basic and diluted earnings per share:</w:t>
      </w:r>
    </w:p>
    <w:p>
      <w:pPr>
        <w:spacing w:after="0" w:line="19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75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40" w:type="dxa"/>
            <w:vAlign w:val="bottom"/>
            <w:gridSpan w:val="3"/>
          </w:tcPr>
          <w:p>
            <w:pPr>
              <w:ind w:left="20"/>
              <w:spacing w:after="0"/>
              <w:rPr>
                <w:sz w:val="20"/>
                <w:szCs w:val="20"/>
                <w:color w:val="auto"/>
              </w:rPr>
            </w:pPr>
            <w:r>
              <w:rPr>
                <w:rFonts w:ascii="Arial" w:cs="Arial" w:eastAsia="Arial" w:hAnsi="Arial"/>
                <w:sz w:val="14"/>
                <w:szCs w:val="14"/>
                <w:b w:val="1"/>
                <w:bCs w:val="1"/>
                <w:color w:val="auto"/>
              </w:rPr>
              <w:t>Earnings</w:t>
            </w:r>
          </w:p>
        </w:tc>
        <w:tc>
          <w:tcPr>
            <w:tcW w:w="0" w:type="dxa"/>
            <w:vAlign w:val="bottom"/>
          </w:tcPr>
          <w:p>
            <w:pPr>
              <w:spacing w:after="0"/>
              <w:rPr>
                <w:sz w:val="1"/>
                <w:szCs w:val="1"/>
                <w:color w:val="auto"/>
              </w:rPr>
            </w:pPr>
          </w:p>
        </w:tc>
      </w:tr>
      <w:tr>
        <w:trPr>
          <w:trHeight w:val="161"/>
        </w:trPr>
        <w:tc>
          <w:tcPr>
            <w:tcW w:w="7580" w:type="dxa"/>
            <w:vAlign w:val="bottom"/>
          </w:tcPr>
          <w:p>
            <w:pPr>
              <w:spacing w:after="0"/>
              <w:rPr>
                <w:sz w:val="14"/>
                <w:szCs w:val="14"/>
                <w:color w:val="auto"/>
              </w:rPr>
            </w:pPr>
          </w:p>
        </w:tc>
        <w:tc>
          <w:tcPr>
            <w:tcW w:w="1200" w:type="dxa"/>
            <w:vAlign w:val="bottom"/>
            <w:gridSpan w:val="2"/>
          </w:tcPr>
          <w:p>
            <w:pPr>
              <w:ind w:left="200"/>
              <w:spacing w:after="0"/>
              <w:rPr>
                <w:sz w:val="20"/>
                <w:szCs w:val="20"/>
                <w:color w:val="auto"/>
              </w:rPr>
            </w:pPr>
            <w:r>
              <w:rPr>
                <w:rFonts w:ascii="Arial" w:cs="Arial" w:eastAsia="Arial" w:hAnsi="Arial"/>
                <w:sz w:val="14"/>
                <w:szCs w:val="14"/>
                <w:b w:val="1"/>
                <w:bCs w:val="1"/>
                <w:color w:val="auto"/>
              </w:rPr>
              <w:t>Shares</w:t>
            </w:r>
          </w:p>
        </w:tc>
        <w:tc>
          <w:tcPr>
            <w:tcW w:w="1080" w:type="dxa"/>
            <w:vAlign w:val="bottom"/>
            <w:gridSpan w:val="3"/>
          </w:tcPr>
          <w:p>
            <w:pPr>
              <w:spacing w:after="0"/>
              <w:rPr>
                <w:sz w:val="20"/>
                <w:szCs w:val="20"/>
                <w:color w:val="auto"/>
              </w:rPr>
            </w:pPr>
            <w:r>
              <w:rPr>
                <w:rFonts w:ascii="Arial" w:cs="Arial" w:eastAsia="Arial" w:hAnsi="Arial"/>
                <w:sz w:val="14"/>
                <w:szCs w:val="14"/>
                <w:b w:val="1"/>
                <w:bCs w:val="1"/>
                <w:color w:val="auto"/>
              </w:rPr>
              <w:t>Net Income</w:t>
            </w:r>
          </w:p>
        </w:tc>
        <w:tc>
          <w:tcPr>
            <w:tcW w:w="640" w:type="dxa"/>
            <w:vAlign w:val="bottom"/>
            <w:gridSpan w:val="3"/>
          </w:tcPr>
          <w:p>
            <w:pPr>
              <w:spacing w:after="0"/>
              <w:rPr>
                <w:sz w:val="20"/>
                <w:szCs w:val="20"/>
                <w:color w:val="auto"/>
              </w:rPr>
            </w:pPr>
            <w:r>
              <w:rPr>
                <w:rFonts w:ascii="Arial" w:cs="Arial" w:eastAsia="Arial" w:hAnsi="Arial"/>
                <w:sz w:val="14"/>
                <w:szCs w:val="14"/>
                <w:b w:val="1"/>
                <w:bCs w:val="1"/>
                <w:color w:val="auto"/>
                <w:w w:val="94"/>
              </w:rPr>
              <w:t>Per Share</w:t>
            </w:r>
          </w:p>
        </w:tc>
        <w:tc>
          <w:tcPr>
            <w:tcW w:w="0" w:type="dxa"/>
            <w:vAlign w:val="bottom"/>
          </w:tcPr>
          <w:p>
            <w:pPr>
              <w:spacing w:after="0"/>
              <w:rPr>
                <w:sz w:val="1"/>
                <w:szCs w:val="1"/>
                <w:color w:val="auto"/>
              </w:rPr>
            </w:pPr>
          </w:p>
        </w:tc>
      </w:tr>
      <w:tr>
        <w:trPr>
          <w:trHeight w:val="210"/>
        </w:trPr>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2006</w:t>
            </w:r>
          </w:p>
        </w:tc>
        <w:tc>
          <w:tcPr>
            <w:tcW w:w="78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80" w:type="dxa"/>
            <w:vAlign w:val="bottom"/>
          </w:tcPr>
          <w:p>
            <w:pPr>
              <w:spacing w:after="0"/>
              <w:rPr>
                <w:sz w:val="20"/>
                <w:szCs w:val="20"/>
                <w:color w:val="auto"/>
              </w:rPr>
            </w:pPr>
            <w:r>
              <w:rPr>
                <w:rFonts w:ascii="Arial" w:cs="Arial" w:eastAsia="Arial" w:hAnsi="Arial"/>
                <w:sz w:val="18"/>
                <w:szCs w:val="18"/>
                <w:color w:val="auto"/>
              </w:rPr>
              <w:t>Basic EPS</w:t>
            </w:r>
          </w:p>
        </w:tc>
        <w:tc>
          <w:tcPr>
            <w:tcW w:w="780" w:type="dxa"/>
            <w:vAlign w:val="bottom"/>
          </w:tcPr>
          <w:p>
            <w:pPr>
              <w:jc w:val="right"/>
              <w:spacing w:after="0"/>
              <w:rPr>
                <w:sz w:val="20"/>
                <w:szCs w:val="20"/>
                <w:color w:val="auto"/>
              </w:rPr>
            </w:pPr>
            <w:r>
              <w:rPr>
                <w:rFonts w:ascii="Arial" w:cs="Arial" w:eastAsia="Arial" w:hAnsi="Arial"/>
                <w:sz w:val="18"/>
                <w:szCs w:val="18"/>
                <w:color w:val="auto"/>
                <w:w w:val="84"/>
              </w:rPr>
              <w:t>11,808,053</w:t>
            </w:r>
          </w:p>
        </w:tc>
        <w:tc>
          <w:tcPr>
            <w:tcW w:w="420" w:type="dxa"/>
            <w:vAlign w:val="bottom"/>
          </w:tcPr>
          <w:p>
            <w:pPr>
              <w:spacing w:after="0"/>
              <w:rPr>
                <w:sz w:val="18"/>
                <w:szCs w:val="18"/>
                <w:color w:val="auto"/>
              </w:rPr>
            </w:pP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center"/>
              <w:ind w:right="320"/>
              <w:spacing w:after="0"/>
              <w:rPr>
                <w:sz w:val="20"/>
                <w:szCs w:val="20"/>
                <w:color w:val="auto"/>
              </w:rPr>
            </w:pPr>
            <w:r>
              <w:rPr>
                <w:rFonts w:ascii="Arial" w:cs="Arial" w:eastAsia="Arial" w:hAnsi="Arial"/>
                <w:sz w:val="18"/>
                <w:szCs w:val="18"/>
                <w:color w:val="auto"/>
                <w:w w:val="84"/>
              </w:rPr>
              <w:t>5,429</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0.46</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Effect of Options</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93,530</w:t>
            </w:r>
          </w:p>
        </w:tc>
        <w:tc>
          <w:tcPr>
            <w:tcW w:w="4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center"/>
              <w:ind w:left="52"/>
              <w:spacing w:after="0"/>
              <w:rPr>
                <w:sz w:val="20"/>
                <w:szCs w:val="20"/>
                <w:color w:val="auto"/>
              </w:rPr>
            </w:pPr>
            <w:r>
              <w:rPr>
                <w:rFonts w:ascii="Arial" w:cs="Arial" w:eastAsia="Arial" w:hAnsi="Arial"/>
                <w:sz w:val="18"/>
                <w:szCs w:val="18"/>
                <w:color w:val="auto"/>
                <w:w w:val="99"/>
              </w:rPr>
              <w:t>—</w:t>
            </w:r>
          </w:p>
        </w:tc>
        <w:tc>
          <w:tcPr>
            <w:tcW w:w="4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7580" w:type="dxa"/>
            <w:vAlign w:val="bottom"/>
          </w:tcPr>
          <w:p>
            <w:pPr>
              <w:spacing w:after="0"/>
              <w:rPr>
                <w:sz w:val="20"/>
                <w:szCs w:val="20"/>
                <w:color w:val="auto"/>
              </w:rPr>
            </w:pPr>
            <w:r>
              <w:rPr>
                <w:rFonts w:ascii="Arial" w:cs="Arial" w:eastAsia="Arial" w:hAnsi="Arial"/>
                <w:sz w:val="18"/>
                <w:szCs w:val="18"/>
                <w:color w:val="auto"/>
              </w:rPr>
              <w:t>Diluted EPS</w:t>
            </w:r>
          </w:p>
        </w:tc>
        <w:tc>
          <w:tcPr>
            <w:tcW w:w="780" w:type="dxa"/>
            <w:vAlign w:val="bottom"/>
          </w:tcPr>
          <w:p>
            <w:pPr>
              <w:jc w:val="right"/>
              <w:spacing w:after="0"/>
              <w:rPr>
                <w:sz w:val="20"/>
                <w:szCs w:val="20"/>
                <w:color w:val="auto"/>
              </w:rPr>
            </w:pPr>
            <w:r>
              <w:rPr>
                <w:rFonts w:ascii="Arial" w:cs="Arial" w:eastAsia="Arial" w:hAnsi="Arial"/>
                <w:sz w:val="18"/>
                <w:szCs w:val="18"/>
                <w:color w:val="auto"/>
                <w:w w:val="84"/>
              </w:rPr>
              <w:t>11,901,583</w:t>
            </w:r>
          </w:p>
        </w:tc>
        <w:tc>
          <w:tcPr>
            <w:tcW w:w="420" w:type="dxa"/>
            <w:vAlign w:val="bottom"/>
          </w:tcPr>
          <w:p>
            <w:pPr>
              <w:spacing w:after="0"/>
              <w:rPr>
                <w:sz w:val="19"/>
                <w:szCs w:val="19"/>
                <w:color w:val="auto"/>
              </w:rPr>
            </w:pP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center"/>
              <w:ind w:right="320"/>
              <w:spacing w:after="0"/>
              <w:rPr>
                <w:sz w:val="20"/>
                <w:szCs w:val="20"/>
                <w:color w:val="auto"/>
              </w:rPr>
            </w:pPr>
            <w:r>
              <w:rPr>
                <w:rFonts w:ascii="Arial" w:cs="Arial" w:eastAsia="Arial" w:hAnsi="Arial"/>
                <w:sz w:val="18"/>
                <w:szCs w:val="18"/>
                <w:color w:val="auto"/>
                <w:w w:val="84"/>
              </w:rPr>
              <w:t>5,429</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0.46</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58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2005 (As restated):</w:t>
            </w:r>
          </w:p>
        </w:tc>
        <w:tc>
          <w:tcPr>
            <w:tcW w:w="7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80" w:type="dxa"/>
            <w:vAlign w:val="bottom"/>
          </w:tcPr>
          <w:p>
            <w:pPr>
              <w:spacing w:after="0"/>
              <w:rPr>
                <w:sz w:val="20"/>
                <w:szCs w:val="20"/>
                <w:color w:val="auto"/>
              </w:rPr>
            </w:pPr>
            <w:r>
              <w:rPr>
                <w:rFonts w:ascii="Arial" w:cs="Arial" w:eastAsia="Arial" w:hAnsi="Arial"/>
                <w:sz w:val="18"/>
                <w:szCs w:val="18"/>
                <w:color w:val="auto"/>
              </w:rPr>
              <w:t>Basic EPS</w:t>
            </w:r>
          </w:p>
        </w:tc>
        <w:tc>
          <w:tcPr>
            <w:tcW w:w="780" w:type="dxa"/>
            <w:vAlign w:val="bottom"/>
          </w:tcPr>
          <w:p>
            <w:pPr>
              <w:jc w:val="right"/>
              <w:spacing w:after="0"/>
              <w:rPr>
                <w:sz w:val="20"/>
                <w:szCs w:val="20"/>
                <w:color w:val="auto"/>
              </w:rPr>
            </w:pPr>
            <w:r>
              <w:rPr>
                <w:rFonts w:ascii="Arial" w:cs="Arial" w:eastAsia="Arial" w:hAnsi="Arial"/>
                <w:sz w:val="18"/>
                <w:szCs w:val="18"/>
                <w:color w:val="auto"/>
                <w:w w:val="84"/>
              </w:rPr>
              <w:t>11,785,613</w:t>
            </w:r>
          </w:p>
        </w:tc>
        <w:tc>
          <w:tcPr>
            <w:tcW w:w="420" w:type="dxa"/>
            <w:vAlign w:val="bottom"/>
          </w:tcPr>
          <w:p>
            <w:pPr>
              <w:spacing w:after="0"/>
              <w:rPr>
                <w:sz w:val="18"/>
                <w:szCs w:val="18"/>
                <w:color w:val="auto"/>
              </w:rPr>
            </w:pP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center"/>
              <w:ind w:right="320"/>
              <w:spacing w:after="0"/>
              <w:rPr>
                <w:sz w:val="20"/>
                <w:szCs w:val="20"/>
                <w:color w:val="auto"/>
              </w:rPr>
            </w:pPr>
            <w:r>
              <w:rPr>
                <w:rFonts w:ascii="Arial" w:cs="Arial" w:eastAsia="Arial" w:hAnsi="Arial"/>
                <w:sz w:val="18"/>
                <w:szCs w:val="18"/>
                <w:color w:val="auto"/>
                <w:w w:val="84"/>
              </w:rPr>
              <w:t>9,814</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0.83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Effect of Options</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137,112</w:t>
            </w:r>
          </w:p>
        </w:tc>
        <w:tc>
          <w:tcPr>
            <w:tcW w:w="4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jc w:val="center"/>
              <w:ind w:left="52"/>
              <w:spacing w:after="0"/>
              <w:rPr>
                <w:sz w:val="20"/>
                <w:szCs w:val="20"/>
                <w:color w:val="auto"/>
              </w:rPr>
            </w:pPr>
            <w:r>
              <w:rPr>
                <w:rFonts w:ascii="Arial" w:cs="Arial" w:eastAsia="Arial" w:hAnsi="Arial"/>
                <w:sz w:val="18"/>
                <w:szCs w:val="18"/>
                <w:color w:val="auto"/>
                <w:w w:val="99"/>
              </w:rPr>
              <w:t>—</w:t>
            </w:r>
          </w:p>
        </w:tc>
        <w:tc>
          <w:tcPr>
            <w:tcW w:w="4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0" w:type="dxa"/>
            <w:vAlign w:val="bottom"/>
          </w:tcPr>
          <w:p>
            <w:pPr>
              <w:spacing w:after="0"/>
              <w:rPr>
                <w:sz w:val="1"/>
                <w:szCs w:val="1"/>
                <w:color w:val="auto"/>
              </w:rPr>
            </w:pPr>
          </w:p>
        </w:tc>
      </w:tr>
      <w:tr>
        <w:trPr>
          <w:trHeight w:val="20"/>
        </w:trPr>
        <w:tc>
          <w:tcPr>
            <w:tcW w:w="7580" w:type="dxa"/>
            <w:vAlign w:val="bottom"/>
            <w:vMerge w:val="restart"/>
          </w:tcPr>
          <w:p>
            <w:pPr>
              <w:spacing w:after="0"/>
              <w:rPr>
                <w:sz w:val="20"/>
                <w:szCs w:val="20"/>
                <w:color w:val="auto"/>
              </w:rPr>
            </w:pPr>
            <w:r>
              <w:rPr>
                <w:rFonts w:ascii="Arial" w:cs="Arial" w:eastAsia="Arial" w:hAnsi="Arial"/>
                <w:sz w:val="18"/>
                <w:szCs w:val="18"/>
                <w:color w:val="auto"/>
              </w:rPr>
              <w:t>Diluted EPS</w:t>
            </w:r>
          </w:p>
        </w:tc>
        <w:tc>
          <w:tcPr>
            <w:tcW w:w="78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7580" w:type="dxa"/>
            <w:vAlign w:val="bottom"/>
            <w:vMerge w:val="continue"/>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84"/>
              </w:rPr>
              <w:t>11,922,725</w:t>
            </w:r>
          </w:p>
        </w:tc>
        <w:tc>
          <w:tcPr>
            <w:tcW w:w="420" w:type="dxa"/>
            <w:vAlign w:val="bottom"/>
          </w:tcPr>
          <w:p>
            <w:pPr>
              <w:spacing w:after="0"/>
              <w:rPr>
                <w:sz w:val="19"/>
                <w:szCs w:val="19"/>
                <w:color w:val="auto"/>
              </w:rPr>
            </w:pP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center"/>
              <w:ind w:right="320"/>
              <w:spacing w:after="0"/>
              <w:rPr>
                <w:sz w:val="20"/>
                <w:szCs w:val="20"/>
                <w:color w:val="auto"/>
              </w:rPr>
            </w:pPr>
            <w:r>
              <w:rPr>
                <w:rFonts w:ascii="Arial" w:cs="Arial" w:eastAsia="Arial" w:hAnsi="Arial"/>
                <w:sz w:val="18"/>
                <w:szCs w:val="18"/>
                <w:color w:val="auto"/>
                <w:w w:val="84"/>
              </w:rPr>
              <w:t>9,814</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0.82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58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2004:</w:t>
            </w:r>
          </w:p>
        </w:tc>
        <w:tc>
          <w:tcPr>
            <w:tcW w:w="7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80" w:type="dxa"/>
            <w:vAlign w:val="bottom"/>
          </w:tcPr>
          <w:p>
            <w:pPr>
              <w:spacing w:after="0"/>
              <w:rPr>
                <w:sz w:val="20"/>
                <w:szCs w:val="20"/>
                <w:color w:val="auto"/>
              </w:rPr>
            </w:pPr>
            <w:r>
              <w:rPr>
                <w:rFonts w:ascii="Arial" w:cs="Arial" w:eastAsia="Arial" w:hAnsi="Arial"/>
                <w:sz w:val="18"/>
                <w:szCs w:val="18"/>
                <w:color w:val="auto"/>
              </w:rPr>
              <w:t>Basic EPS</w:t>
            </w:r>
          </w:p>
        </w:tc>
        <w:tc>
          <w:tcPr>
            <w:tcW w:w="780" w:type="dxa"/>
            <w:vAlign w:val="bottom"/>
          </w:tcPr>
          <w:p>
            <w:pPr>
              <w:jc w:val="right"/>
              <w:spacing w:after="0"/>
              <w:rPr>
                <w:sz w:val="20"/>
                <w:szCs w:val="20"/>
                <w:color w:val="auto"/>
              </w:rPr>
            </w:pPr>
            <w:r>
              <w:rPr>
                <w:rFonts w:ascii="Arial" w:cs="Arial" w:eastAsia="Arial" w:hAnsi="Arial"/>
                <w:sz w:val="18"/>
                <w:szCs w:val="18"/>
                <w:color w:val="auto"/>
                <w:w w:val="84"/>
              </w:rPr>
              <w:t>11,686,649</w:t>
            </w:r>
          </w:p>
        </w:tc>
        <w:tc>
          <w:tcPr>
            <w:tcW w:w="420" w:type="dxa"/>
            <w:vAlign w:val="bottom"/>
          </w:tcPr>
          <w:p>
            <w:pPr>
              <w:spacing w:after="0"/>
              <w:rPr>
                <w:sz w:val="18"/>
                <w:szCs w:val="18"/>
                <w:color w:val="auto"/>
              </w:rPr>
            </w:pP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center"/>
              <w:ind w:right="320"/>
              <w:spacing w:after="0"/>
              <w:rPr>
                <w:sz w:val="20"/>
                <w:szCs w:val="20"/>
                <w:color w:val="auto"/>
              </w:rPr>
            </w:pPr>
            <w:r>
              <w:rPr>
                <w:rFonts w:ascii="Arial" w:cs="Arial" w:eastAsia="Arial" w:hAnsi="Arial"/>
                <w:sz w:val="18"/>
                <w:szCs w:val="18"/>
                <w:color w:val="auto"/>
                <w:w w:val="84"/>
              </w:rPr>
              <w:t>8,209</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0.70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Effect of Options</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167,323</w:t>
            </w:r>
          </w:p>
        </w:tc>
        <w:tc>
          <w:tcPr>
            <w:tcW w:w="4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jc w:val="center"/>
              <w:ind w:left="52"/>
              <w:spacing w:after="0"/>
              <w:rPr>
                <w:sz w:val="20"/>
                <w:szCs w:val="20"/>
                <w:color w:val="auto"/>
              </w:rPr>
            </w:pPr>
            <w:r>
              <w:rPr>
                <w:rFonts w:ascii="Arial" w:cs="Arial" w:eastAsia="Arial" w:hAnsi="Arial"/>
                <w:sz w:val="18"/>
                <w:szCs w:val="18"/>
                <w:color w:val="auto"/>
                <w:w w:val="99"/>
              </w:rPr>
              <w:t>—</w:t>
            </w:r>
          </w:p>
        </w:tc>
        <w:tc>
          <w:tcPr>
            <w:tcW w:w="4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0" w:type="dxa"/>
            <w:vAlign w:val="bottom"/>
          </w:tcPr>
          <w:p>
            <w:pPr>
              <w:spacing w:after="0"/>
              <w:rPr>
                <w:sz w:val="1"/>
                <w:szCs w:val="1"/>
                <w:color w:val="auto"/>
              </w:rPr>
            </w:pPr>
          </w:p>
        </w:tc>
      </w:tr>
      <w:tr>
        <w:trPr>
          <w:trHeight w:val="20"/>
        </w:trPr>
        <w:tc>
          <w:tcPr>
            <w:tcW w:w="7580" w:type="dxa"/>
            <w:vAlign w:val="bottom"/>
            <w:vMerge w:val="restart"/>
          </w:tcPr>
          <w:p>
            <w:pPr>
              <w:spacing w:after="0"/>
              <w:rPr>
                <w:sz w:val="20"/>
                <w:szCs w:val="20"/>
                <w:color w:val="auto"/>
              </w:rPr>
            </w:pPr>
            <w:r>
              <w:rPr>
                <w:rFonts w:ascii="Arial" w:cs="Arial" w:eastAsia="Arial" w:hAnsi="Arial"/>
                <w:sz w:val="18"/>
                <w:szCs w:val="18"/>
                <w:color w:val="auto"/>
              </w:rPr>
              <w:t>Diluted EPS</w:t>
            </w:r>
          </w:p>
        </w:tc>
        <w:tc>
          <w:tcPr>
            <w:tcW w:w="78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7580" w:type="dxa"/>
            <w:vAlign w:val="bottom"/>
            <w:vMerge w:val="continue"/>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84"/>
              </w:rPr>
              <w:t>11,853,972</w:t>
            </w:r>
          </w:p>
        </w:tc>
        <w:tc>
          <w:tcPr>
            <w:tcW w:w="420" w:type="dxa"/>
            <w:vAlign w:val="bottom"/>
          </w:tcPr>
          <w:p>
            <w:pPr>
              <w:spacing w:after="0"/>
              <w:rPr>
                <w:sz w:val="19"/>
                <w:szCs w:val="19"/>
                <w:color w:val="auto"/>
              </w:rPr>
            </w:pP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center"/>
              <w:ind w:right="320"/>
              <w:spacing w:after="0"/>
              <w:rPr>
                <w:sz w:val="20"/>
                <w:szCs w:val="20"/>
                <w:color w:val="auto"/>
              </w:rPr>
            </w:pPr>
            <w:r>
              <w:rPr>
                <w:rFonts w:ascii="Arial" w:cs="Arial" w:eastAsia="Arial" w:hAnsi="Arial"/>
                <w:sz w:val="18"/>
                <w:szCs w:val="18"/>
                <w:color w:val="auto"/>
                <w:w w:val="84"/>
              </w:rPr>
              <w:t>8,209</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0.69</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58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jc w:val="both"/>
        <w:ind w:right="460"/>
        <w:spacing w:after="0" w:line="268" w:lineRule="auto"/>
        <w:rPr>
          <w:sz w:val="20"/>
          <w:szCs w:val="20"/>
          <w:color w:val="auto"/>
        </w:rPr>
      </w:pPr>
      <w:r>
        <w:rPr>
          <w:rFonts w:ascii="Arial" w:cs="Arial" w:eastAsia="Arial" w:hAnsi="Arial"/>
          <w:sz w:val="18"/>
          <w:szCs w:val="18"/>
          <w:color w:val="auto"/>
        </w:rPr>
        <w:t>Options to purchase 701,272 shares of common stock in 2006, 732,272 shares of common stock in 2005 and 723,929 shares of common stock in 2004 were outstanding at the end of each such fiscal year and were excluded from the computation as their effect is antidilutive.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19. Segment Information</w:t>
      </w:r>
    </w:p>
    <w:p>
      <w:pPr>
        <w:spacing w:after="0" w:line="96"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We have strategically aligned our business into three reportable segments: Wholesale, Retail and Investments/Real Estate. The wholesale home furnishings segment is involved principally in the design, manufacture, sourcing, sale and distribution of furniture products to a network of BFD stores (independently-owned stores, Company-owned retail stores and partnership licensees) and independent furniture retailers. Our wholesale segment includes our wood and upholstery operations as well as all corporate selling, general and administrative expenses. During the second quarter of 2006, we sold our contemporary furniture business (Weiman), which was previously included in this segment.</w:t>
      </w:r>
    </w:p>
    <w:p>
      <w:pPr>
        <w:spacing w:after="0" w:line="143" w:lineRule="exact"/>
        <w:rPr>
          <w:sz w:val="20"/>
          <w:szCs w:val="20"/>
          <w:color w:val="auto"/>
        </w:rPr>
      </w:pPr>
    </w:p>
    <w:p>
      <w:pPr>
        <w:ind w:right="160"/>
        <w:spacing w:after="0" w:line="268" w:lineRule="auto"/>
        <w:rPr>
          <w:sz w:val="20"/>
          <w:szCs w:val="20"/>
          <w:color w:val="auto"/>
        </w:rPr>
      </w:pPr>
      <w:r>
        <w:rPr>
          <w:rFonts w:ascii="Arial" w:cs="Arial" w:eastAsia="Arial" w:hAnsi="Arial"/>
          <w:sz w:val="18"/>
          <w:szCs w:val="18"/>
          <w:color w:val="auto"/>
        </w:rPr>
        <w:t>Our retail segment consists of Company-owned BFD stores. Our retail segment includes the revenues, expenses, assets and liabilities (including real estate) and capital expenditures directly related to these stores.</w:t>
      </w:r>
    </w:p>
    <w:p>
      <w:pPr>
        <w:spacing w:after="0" w:line="132"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color w:val="auto"/>
        </w:rPr>
        <w:t>Our investments/real estate segment consists of our investments (Alternative Asset Fund and marketable securities), distributions in excess of affiliate earnings (IHFC) and retail real estate related to licensee BFD stores. Although this segment does not have operating earnings, income from the segment is included in other income in our condensed consolidated statements of income and retained earnings. Our equity investment in IHFC is not included in the identifiable assets of this segment since it has a negative book value and is therefore included in the long-term liabilities section of our condensed consolidated balance sheet. See Note 9 for a further discussion of IHFC.</w:t>
      </w:r>
    </w:p>
    <w:p>
      <w:pPr>
        <w:spacing w:after="0" w:line="143"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Inter-Company net sales elimination represents the elimination of wholesale sales to our Company-owned BFD stores. Inter-Company income elimination represents the embedded wholesale profit in the Company-owned store inventory that has not been realized. These profits will be recorded when merchandise is delivered to the end retail consumer.</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- 43</w:t>
      </w:r>
    </w:p>
    <w:p>
      <w:pPr>
        <w:sectPr>
          <w:pgSz w:w="11900" w:h="16838" w:orient="portrait"/>
          <w:cols w:equalWidth="0" w:num="1">
            <w:col w:w="11400"/>
          </w:cols>
          <w:pgMar w:left="240" w:top="459" w:right="259" w:bottom="1440" w:gutter="0" w:footer="0" w:header="0"/>
        </w:sectPr>
      </w:pPr>
    </w:p>
    <w:bookmarkStart w:id="62" w:name="page63"/>
    <w:bookmarkEnd w:id="6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presents segment information for each of the last three fiscal years:</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200" w:type="dxa"/>
            <w:vAlign w:val="bottom"/>
            <w:gridSpan w:val="3"/>
          </w:tcPr>
          <w:p>
            <w:pPr>
              <w:jc w:val="right"/>
              <w:ind w:right="480"/>
              <w:spacing w:after="0"/>
              <w:rPr>
                <w:sz w:val="20"/>
                <w:szCs w:val="20"/>
                <w:color w:val="auto"/>
              </w:rPr>
            </w:pPr>
            <w:r>
              <w:rPr>
                <w:rFonts w:ascii="Arial" w:cs="Arial" w:eastAsia="Arial" w:hAnsi="Arial"/>
                <w:sz w:val="14"/>
                <w:szCs w:val="14"/>
                <w:b w:val="1"/>
                <w:bCs w:val="1"/>
                <w:color w:val="auto"/>
                <w:w w:val="91"/>
              </w:rPr>
              <w:t>As restated</w:t>
            </w:r>
          </w:p>
        </w:tc>
        <w:tc>
          <w:tcPr>
            <w:tcW w:w="880" w:type="dxa"/>
            <w:vAlign w:val="bottom"/>
            <w:gridSpan w:val="3"/>
          </w:tcPr>
          <w:p>
            <w:pPr>
              <w:jc w:val="right"/>
              <w:ind w:right="140"/>
              <w:spacing w:after="0"/>
              <w:rPr>
                <w:sz w:val="20"/>
                <w:szCs w:val="20"/>
                <w:color w:val="auto"/>
              </w:rPr>
            </w:pPr>
            <w:r>
              <w:rPr>
                <w:rFonts w:ascii="Arial" w:cs="Arial" w:eastAsia="Arial" w:hAnsi="Arial"/>
                <w:sz w:val="14"/>
                <w:szCs w:val="14"/>
                <w:b w:val="1"/>
                <w:bCs w:val="1"/>
                <w:color w:val="auto"/>
                <w:w w:val="94"/>
              </w:rPr>
              <w:t>As restated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120" w:type="dxa"/>
            <w:vAlign w:val="bottom"/>
          </w:tcPr>
          <w:p>
            <w:pPr>
              <w:spacing w:after="0"/>
              <w:rPr>
                <w:sz w:val="12"/>
                <w:szCs w:val="12"/>
                <w:color w:val="auto"/>
              </w:rPr>
            </w:pPr>
          </w:p>
        </w:tc>
        <w:tc>
          <w:tcPr>
            <w:tcW w:w="120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November 25,</w:t>
            </w:r>
          </w:p>
        </w:tc>
        <w:tc>
          <w:tcPr>
            <w:tcW w:w="120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November 26,</w:t>
            </w:r>
          </w:p>
        </w:tc>
        <w:tc>
          <w:tcPr>
            <w:tcW w:w="8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w w:val="93"/>
              </w:rPr>
              <w:t>November 27,</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81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173"/>
              <w:spacing w:after="0"/>
              <w:rPr>
                <w:sz w:val="20"/>
                <w:szCs w:val="20"/>
                <w:color w:val="auto"/>
              </w:rPr>
            </w:pPr>
            <w:r>
              <w:rPr>
                <w:rFonts w:ascii="Arial" w:cs="Arial" w:eastAsia="Arial" w:hAnsi="Arial"/>
                <w:sz w:val="14"/>
                <w:szCs w:val="14"/>
                <w:b w:val="1"/>
                <w:bCs w:val="1"/>
                <w:color w:val="auto"/>
              </w:rPr>
              <w:t>2006</w:t>
            </w:r>
          </w:p>
        </w:tc>
        <w:tc>
          <w:tcPr>
            <w:tcW w:w="4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2005</w:t>
            </w:r>
          </w:p>
        </w:tc>
        <w:tc>
          <w:tcPr>
            <w:tcW w:w="3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2004</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Sales</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tcPr>
          <w:p>
            <w:pPr>
              <w:spacing w:after="0"/>
              <w:rPr>
                <w:sz w:val="20"/>
                <w:szCs w:val="20"/>
                <w:color w:val="auto"/>
              </w:rPr>
            </w:pPr>
            <w:r>
              <w:rPr>
                <w:rFonts w:ascii="Arial" w:cs="Arial" w:eastAsia="Arial" w:hAnsi="Arial"/>
                <w:sz w:val="18"/>
                <w:szCs w:val="18"/>
                <w:color w:val="auto"/>
              </w:rPr>
              <w:t>Wholesale</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400"/>
              <w:spacing w:after="0"/>
              <w:rPr>
                <w:sz w:val="20"/>
                <w:szCs w:val="20"/>
                <w:color w:val="auto"/>
              </w:rPr>
            </w:pPr>
            <w:r>
              <w:rPr>
                <w:rFonts w:ascii="Arial" w:cs="Arial" w:eastAsia="Arial" w:hAnsi="Arial"/>
                <w:sz w:val="18"/>
                <w:szCs w:val="18"/>
                <w:color w:val="auto"/>
                <w:w w:val="95"/>
              </w:rPr>
              <w:t>284,803</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8"/>
              </w:rPr>
              <w:t>301,250</w:t>
            </w:r>
          </w:p>
        </w:tc>
        <w:tc>
          <w:tcPr>
            <w:tcW w:w="380" w:type="dxa"/>
            <w:vAlign w:val="bottom"/>
          </w:tcPr>
          <w:p>
            <w:pPr>
              <w:spacing w:after="0"/>
              <w:rPr>
                <w:sz w:val="18"/>
                <w:szCs w:val="18"/>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8"/>
              </w:rPr>
              <w:t>289,953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shd w:val="clear" w:color="auto" w:fill="CCEEFF"/>
          </w:tcPr>
          <w:p>
            <w:pPr>
              <w:spacing w:after="0"/>
              <w:rPr>
                <w:sz w:val="20"/>
                <w:szCs w:val="20"/>
                <w:color w:val="auto"/>
              </w:rPr>
            </w:pPr>
            <w:r>
              <w:rPr>
                <w:rFonts w:ascii="Arial" w:cs="Arial" w:eastAsia="Arial" w:hAnsi="Arial"/>
                <w:sz w:val="18"/>
                <w:szCs w:val="18"/>
                <w:color w:val="auto"/>
              </w:rPr>
              <w:t>Retail</w:t>
            </w: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84,401</w:t>
            </w: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70,480</w:t>
            </w: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48,894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tcPr>
          <w:p>
            <w:pPr>
              <w:spacing w:after="0"/>
              <w:rPr>
                <w:sz w:val="20"/>
                <w:szCs w:val="20"/>
                <w:color w:val="auto"/>
              </w:rPr>
            </w:pPr>
            <w:r>
              <w:rPr>
                <w:rFonts w:ascii="Arial" w:cs="Arial" w:eastAsia="Arial" w:hAnsi="Arial"/>
                <w:sz w:val="18"/>
                <w:szCs w:val="18"/>
                <w:color w:val="auto"/>
              </w:rPr>
              <w:t>Inter-Company Elimination</w:t>
            </w:r>
          </w:p>
        </w:tc>
        <w:tc>
          <w:tcPr>
            <w:tcW w:w="160" w:type="dxa"/>
            <w:vAlign w:val="bottom"/>
          </w:tcPr>
          <w:p>
            <w:pPr>
              <w:spacing w:after="0"/>
              <w:rPr>
                <w:sz w:val="18"/>
                <w:szCs w:val="18"/>
                <w:color w:val="auto"/>
              </w:rPr>
            </w:pPr>
          </w:p>
        </w:tc>
        <w:tc>
          <w:tcPr>
            <w:tcW w:w="1040" w:type="dxa"/>
            <w:vAlign w:val="bottom"/>
            <w:gridSpan w:val="2"/>
          </w:tcPr>
          <w:p>
            <w:pPr>
              <w:jc w:val="right"/>
              <w:ind w:right="340"/>
              <w:spacing w:after="0"/>
              <w:rPr>
                <w:sz w:val="20"/>
                <w:szCs w:val="20"/>
                <w:color w:val="auto"/>
              </w:rPr>
            </w:pPr>
            <w:r>
              <w:rPr>
                <w:rFonts w:ascii="Arial" w:cs="Arial" w:eastAsia="Arial" w:hAnsi="Arial"/>
                <w:sz w:val="18"/>
                <w:szCs w:val="18"/>
                <w:color w:val="auto"/>
              </w:rPr>
              <w:t>(40,990)</w:t>
            </w:r>
          </w:p>
        </w:tc>
        <w:tc>
          <w:tcPr>
            <w:tcW w:w="160" w:type="dxa"/>
            <w:vAlign w:val="bottom"/>
          </w:tcPr>
          <w:p>
            <w:pPr>
              <w:spacing w:after="0"/>
              <w:rPr>
                <w:sz w:val="18"/>
                <w:szCs w:val="18"/>
                <w:color w:val="auto"/>
              </w:rPr>
            </w:pPr>
          </w:p>
        </w:tc>
        <w:tc>
          <w:tcPr>
            <w:tcW w:w="1040" w:type="dxa"/>
            <w:vAlign w:val="bottom"/>
            <w:gridSpan w:val="2"/>
          </w:tcPr>
          <w:p>
            <w:pPr>
              <w:jc w:val="right"/>
              <w:ind w:right="340"/>
              <w:spacing w:after="0"/>
              <w:rPr>
                <w:sz w:val="20"/>
                <w:szCs w:val="20"/>
                <w:color w:val="auto"/>
              </w:rPr>
            </w:pPr>
            <w:r>
              <w:rPr>
                <w:rFonts w:ascii="Arial" w:cs="Arial" w:eastAsia="Arial" w:hAnsi="Arial"/>
                <w:sz w:val="18"/>
                <w:szCs w:val="18"/>
                <w:color w:val="auto"/>
              </w:rPr>
              <w:t>(36,523)</w:t>
            </w:r>
          </w:p>
        </w:tc>
        <w:tc>
          <w:tcPr>
            <w:tcW w:w="160" w:type="dxa"/>
            <w:vAlign w:val="bottom"/>
          </w:tcPr>
          <w:p>
            <w:pPr>
              <w:spacing w:after="0"/>
              <w:rPr>
                <w:sz w:val="18"/>
                <w:szCs w:val="18"/>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(23,193)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1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20" w:type="dxa"/>
            <w:vAlign w:val="bottom"/>
            <w:shd w:val="clear" w:color="auto" w:fill="CCEEFF"/>
          </w:tcPr>
          <w:p>
            <w:pPr>
              <w:spacing w:after="0"/>
              <w:rPr>
                <w:sz w:val="20"/>
                <w:szCs w:val="20"/>
                <w:color w:val="auto"/>
              </w:rPr>
            </w:pPr>
            <w:r>
              <w:rPr>
                <w:rFonts w:ascii="Arial" w:cs="Arial" w:eastAsia="Arial" w:hAnsi="Arial"/>
                <w:sz w:val="18"/>
                <w:szCs w:val="18"/>
                <w:color w:val="auto"/>
              </w:rPr>
              <w:t>Consolidated</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95"/>
              </w:rPr>
              <w:t>328,214</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335,207</w:t>
            </w: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315,654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1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Income (loss) from Operations</w:t>
            </w:r>
          </w:p>
        </w:tc>
        <w:tc>
          <w:tcPr>
            <w:tcW w:w="1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8140" w:type="dxa"/>
            <w:vAlign w:val="bottom"/>
            <w:gridSpan w:val="2"/>
            <w:vMerge w:val="continue"/>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120" w:type="dxa"/>
            <w:vAlign w:val="bottom"/>
            <w:shd w:val="clear" w:color="auto" w:fill="CCEEFF"/>
          </w:tcPr>
          <w:p>
            <w:pPr>
              <w:spacing w:after="0"/>
              <w:rPr>
                <w:sz w:val="20"/>
                <w:szCs w:val="20"/>
                <w:color w:val="auto"/>
              </w:rPr>
            </w:pPr>
            <w:r>
              <w:rPr>
                <w:rFonts w:ascii="Arial" w:cs="Arial" w:eastAsia="Arial" w:hAnsi="Arial"/>
                <w:sz w:val="18"/>
                <w:szCs w:val="18"/>
                <w:color w:val="auto"/>
              </w:rPr>
              <w:t>Wholesale</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12,096</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9,547</w:t>
            </w: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3,703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tcPr>
          <w:p>
            <w:pPr>
              <w:spacing w:after="0"/>
              <w:rPr>
                <w:sz w:val="20"/>
                <w:szCs w:val="20"/>
                <w:color w:val="auto"/>
              </w:rPr>
            </w:pPr>
            <w:r>
              <w:rPr>
                <w:rFonts w:ascii="Arial" w:cs="Arial" w:eastAsia="Arial" w:hAnsi="Arial"/>
                <w:sz w:val="18"/>
                <w:szCs w:val="18"/>
                <w:color w:val="auto"/>
              </w:rPr>
              <w:t>Retail</w:t>
            </w:r>
          </w:p>
        </w:tc>
        <w:tc>
          <w:tcPr>
            <w:tcW w:w="160" w:type="dxa"/>
            <w:vAlign w:val="bottom"/>
          </w:tcPr>
          <w:p>
            <w:pPr>
              <w:spacing w:after="0"/>
              <w:rPr>
                <w:sz w:val="18"/>
                <w:szCs w:val="18"/>
                <w:color w:val="auto"/>
              </w:rPr>
            </w:pPr>
          </w:p>
        </w:tc>
        <w:tc>
          <w:tcPr>
            <w:tcW w:w="1040" w:type="dxa"/>
            <w:vAlign w:val="bottom"/>
            <w:gridSpan w:val="2"/>
          </w:tcPr>
          <w:p>
            <w:pPr>
              <w:jc w:val="right"/>
              <w:ind w:right="340"/>
              <w:spacing w:after="0"/>
              <w:rPr>
                <w:sz w:val="20"/>
                <w:szCs w:val="20"/>
                <w:color w:val="auto"/>
              </w:rPr>
            </w:pPr>
            <w:r>
              <w:rPr>
                <w:rFonts w:ascii="Arial" w:cs="Arial" w:eastAsia="Arial" w:hAnsi="Arial"/>
                <w:sz w:val="18"/>
                <w:szCs w:val="18"/>
                <w:color w:val="auto"/>
              </w:rPr>
              <w:t>(12,126)</w:t>
            </w:r>
          </w:p>
        </w:tc>
        <w:tc>
          <w:tcPr>
            <w:tcW w:w="160" w:type="dxa"/>
            <w:vAlign w:val="bottom"/>
          </w:tcPr>
          <w:p>
            <w:pPr>
              <w:spacing w:after="0"/>
              <w:rPr>
                <w:sz w:val="18"/>
                <w:szCs w:val="18"/>
                <w:color w:val="auto"/>
              </w:rPr>
            </w:pPr>
          </w:p>
        </w:tc>
        <w:tc>
          <w:tcPr>
            <w:tcW w:w="1040" w:type="dxa"/>
            <w:vAlign w:val="bottom"/>
            <w:gridSpan w:val="2"/>
          </w:tcPr>
          <w:p>
            <w:pPr>
              <w:jc w:val="right"/>
              <w:ind w:right="340"/>
              <w:spacing w:after="0"/>
              <w:rPr>
                <w:sz w:val="20"/>
                <w:szCs w:val="20"/>
                <w:color w:val="auto"/>
              </w:rPr>
            </w:pPr>
            <w:r>
              <w:rPr>
                <w:rFonts w:ascii="Arial" w:cs="Arial" w:eastAsia="Arial" w:hAnsi="Arial"/>
                <w:sz w:val="18"/>
                <w:szCs w:val="18"/>
                <w:color w:val="auto"/>
              </w:rPr>
              <w:t>(1,661)</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172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shd w:val="clear" w:color="auto" w:fill="CCEEFF"/>
          </w:tcPr>
          <w:p>
            <w:pPr>
              <w:spacing w:after="0"/>
              <w:rPr>
                <w:sz w:val="20"/>
                <w:szCs w:val="20"/>
                <w:color w:val="auto"/>
              </w:rPr>
            </w:pPr>
            <w:r>
              <w:rPr>
                <w:rFonts w:ascii="Arial" w:cs="Arial" w:eastAsia="Arial" w:hAnsi="Arial"/>
                <w:sz w:val="18"/>
                <w:szCs w:val="18"/>
                <w:color w:val="auto"/>
              </w:rPr>
              <w:t>Inter-Company Elimination</w:t>
            </w: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(626)</w:t>
            </w: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(792)</w:t>
            </w: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tcPr>
          <w:p>
            <w:pPr>
              <w:spacing w:after="0"/>
              <w:rPr>
                <w:sz w:val="20"/>
                <w:szCs w:val="20"/>
                <w:color w:val="auto"/>
              </w:rPr>
            </w:pPr>
            <w:r>
              <w:rPr>
                <w:rFonts w:ascii="Arial" w:cs="Arial" w:eastAsia="Arial" w:hAnsi="Arial"/>
                <w:sz w:val="18"/>
                <w:szCs w:val="18"/>
                <w:color w:val="auto"/>
              </w:rPr>
              <w:t>Income from CDSOA</w:t>
            </w:r>
          </w:p>
        </w:tc>
        <w:tc>
          <w:tcPr>
            <w:tcW w:w="160" w:type="dxa"/>
            <w:vAlign w:val="bottom"/>
          </w:tcPr>
          <w:p>
            <w:pPr>
              <w:spacing w:after="0"/>
              <w:rPr>
                <w:sz w:val="18"/>
                <w:szCs w:val="18"/>
                <w:color w:val="auto"/>
              </w:rPr>
            </w:pPr>
          </w:p>
        </w:tc>
        <w:tc>
          <w:tcPr>
            <w:tcW w:w="1040" w:type="dxa"/>
            <w:vAlign w:val="bottom"/>
            <w:gridSpan w:val="2"/>
          </w:tcPr>
          <w:p>
            <w:pPr>
              <w:jc w:val="right"/>
              <w:ind w:right="400"/>
              <w:spacing w:after="0"/>
              <w:rPr>
                <w:sz w:val="20"/>
                <w:szCs w:val="20"/>
                <w:color w:val="auto"/>
              </w:rPr>
            </w:pPr>
            <w:r>
              <w:rPr>
                <w:rFonts w:ascii="Arial" w:cs="Arial" w:eastAsia="Arial" w:hAnsi="Arial"/>
                <w:sz w:val="18"/>
                <w:szCs w:val="18"/>
                <w:color w:val="auto"/>
              </w:rPr>
              <w:t>1,549</w:t>
            </w:r>
          </w:p>
        </w:tc>
        <w:tc>
          <w:tcPr>
            <w:tcW w:w="160" w:type="dxa"/>
            <w:vAlign w:val="bottom"/>
          </w:tcPr>
          <w:p>
            <w:pPr>
              <w:spacing w:after="0"/>
              <w:rPr>
                <w:sz w:val="18"/>
                <w:szCs w:val="18"/>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shd w:val="clear" w:color="auto" w:fill="CCEEFF"/>
          </w:tcPr>
          <w:p>
            <w:pPr>
              <w:spacing w:after="0"/>
              <w:rPr>
                <w:sz w:val="20"/>
                <w:szCs w:val="20"/>
                <w:color w:val="auto"/>
              </w:rPr>
            </w:pPr>
            <w:r>
              <w:rPr>
                <w:rFonts w:ascii="Arial" w:cs="Arial" w:eastAsia="Arial" w:hAnsi="Arial"/>
                <w:sz w:val="18"/>
                <w:szCs w:val="18"/>
                <w:color w:val="auto"/>
              </w:rPr>
              <w:t>Impairment charges, restructurings and unusual gains, net</w:t>
            </w: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(1,359)</w:t>
            </w: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(1,960)</w:t>
            </w: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(170)</w:t>
            </w:r>
          </w:p>
        </w:tc>
        <w:tc>
          <w:tcPr>
            <w:tcW w:w="0" w:type="dxa"/>
            <w:vAlign w:val="bottom"/>
          </w:tcPr>
          <w:p>
            <w:pPr>
              <w:spacing w:after="0"/>
              <w:rPr>
                <w:sz w:val="1"/>
                <w:szCs w:val="1"/>
                <w:color w:val="auto"/>
              </w:rPr>
            </w:pPr>
          </w:p>
        </w:tc>
      </w:tr>
      <w:tr>
        <w:trPr>
          <w:trHeight w:val="20"/>
        </w:trPr>
        <w:tc>
          <w:tcPr>
            <w:tcW w:w="8140" w:type="dxa"/>
            <w:vAlign w:val="bottom"/>
            <w:gridSpan w:val="2"/>
            <w:vMerge w:val="restart"/>
          </w:tcPr>
          <w:p>
            <w:pPr>
              <w:spacing w:after="0"/>
              <w:rPr>
                <w:sz w:val="20"/>
                <w:szCs w:val="20"/>
                <w:color w:val="auto"/>
              </w:rPr>
            </w:pPr>
            <w:r>
              <w:rPr>
                <w:rFonts w:ascii="Arial" w:cs="Arial" w:eastAsia="Arial" w:hAnsi="Arial"/>
                <w:sz w:val="18"/>
                <w:szCs w:val="18"/>
                <w:color w:val="auto"/>
              </w:rPr>
              <w:t>Consolidated</w:t>
            </w:r>
          </w:p>
        </w:tc>
        <w:tc>
          <w:tcPr>
            <w:tcW w:w="16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8140" w:type="dxa"/>
            <w:vAlign w:val="bottom"/>
            <w:gridSpan w:val="2"/>
            <w:vMerge w:val="continue"/>
          </w:tcPr>
          <w:p>
            <w:pPr>
              <w:spacing w:after="0"/>
              <w:rPr>
                <w:sz w:val="19"/>
                <w:szCs w:val="19"/>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340"/>
              <w:spacing w:after="0"/>
              <w:rPr>
                <w:sz w:val="20"/>
                <w:szCs w:val="20"/>
                <w:color w:val="auto"/>
              </w:rPr>
            </w:pPr>
            <w:r>
              <w:rPr>
                <w:rFonts w:ascii="Arial" w:cs="Arial" w:eastAsia="Arial" w:hAnsi="Arial"/>
                <w:sz w:val="18"/>
                <w:szCs w:val="18"/>
                <w:color w:val="auto"/>
              </w:rPr>
              <w:t>(466)</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5,134</w:t>
            </w:r>
          </w:p>
        </w:tc>
        <w:tc>
          <w:tcPr>
            <w:tcW w:w="380" w:type="dxa"/>
            <w:vAlign w:val="bottom"/>
          </w:tcPr>
          <w:p>
            <w:pPr>
              <w:spacing w:after="0"/>
              <w:rPr>
                <w:sz w:val="19"/>
                <w:szCs w:val="19"/>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3,727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81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Identifiable Assets</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tcPr>
          <w:p>
            <w:pPr>
              <w:spacing w:after="0"/>
              <w:rPr>
                <w:sz w:val="20"/>
                <w:szCs w:val="20"/>
                <w:color w:val="auto"/>
              </w:rPr>
            </w:pPr>
            <w:r>
              <w:rPr>
                <w:rFonts w:ascii="Arial" w:cs="Arial" w:eastAsia="Arial" w:hAnsi="Arial"/>
                <w:sz w:val="18"/>
                <w:szCs w:val="18"/>
                <w:color w:val="auto"/>
              </w:rPr>
              <w:t>Wholesale</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400"/>
              <w:spacing w:after="0"/>
              <w:rPr>
                <w:sz w:val="20"/>
                <w:szCs w:val="20"/>
                <w:color w:val="auto"/>
              </w:rPr>
            </w:pPr>
            <w:r>
              <w:rPr>
                <w:rFonts w:ascii="Arial" w:cs="Arial" w:eastAsia="Arial" w:hAnsi="Arial"/>
                <w:sz w:val="18"/>
                <w:szCs w:val="18"/>
                <w:color w:val="auto"/>
                <w:w w:val="95"/>
              </w:rPr>
              <w:t>147,261</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8"/>
              </w:rPr>
              <w:t>149,776</w:t>
            </w:r>
          </w:p>
        </w:tc>
        <w:tc>
          <w:tcPr>
            <w:tcW w:w="380" w:type="dxa"/>
            <w:vAlign w:val="bottom"/>
          </w:tcPr>
          <w:p>
            <w:pPr>
              <w:spacing w:after="0"/>
              <w:rPr>
                <w:sz w:val="18"/>
                <w:szCs w:val="18"/>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8"/>
              </w:rPr>
              <w:t>173,458</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shd w:val="clear" w:color="auto" w:fill="CCEEFF"/>
          </w:tcPr>
          <w:p>
            <w:pPr>
              <w:spacing w:after="0"/>
              <w:rPr>
                <w:sz w:val="20"/>
                <w:szCs w:val="20"/>
                <w:color w:val="auto"/>
              </w:rPr>
            </w:pPr>
            <w:r>
              <w:rPr>
                <w:rFonts w:ascii="Arial" w:cs="Arial" w:eastAsia="Arial" w:hAnsi="Arial"/>
                <w:sz w:val="18"/>
                <w:szCs w:val="18"/>
                <w:color w:val="auto"/>
              </w:rPr>
              <w:t>Retail</w:t>
            </w: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50,558</w:t>
            </w: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54,852</w:t>
            </w: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41,670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tcPr>
          <w:p>
            <w:pPr>
              <w:spacing w:after="0"/>
              <w:rPr>
                <w:sz w:val="20"/>
                <w:szCs w:val="20"/>
                <w:color w:val="auto"/>
              </w:rPr>
            </w:pPr>
            <w:r>
              <w:rPr>
                <w:rFonts w:ascii="Arial" w:cs="Arial" w:eastAsia="Arial" w:hAnsi="Arial"/>
                <w:sz w:val="18"/>
                <w:szCs w:val="18"/>
                <w:color w:val="auto"/>
              </w:rPr>
              <w:t>Investments and real estate</w:t>
            </w:r>
          </w:p>
        </w:tc>
        <w:tc>
          <w:tcPr>
            <w:tcW w:w="160" w:type="dxa"/>
            <w:vAlign w:val="bottom"/>
          </w:tcPr>
          <w:p>
            <w:pPr>
              <w:spacing w:after="0"/>
              <w:rPr>
                <w:sz w:val="18"/>
                <w:szCs w:val="18"/>
                <w:color w:val="auto"/>
              </w:rPr>
            </w:pPr>
          </w:p>
        </w:tc>
        <w:tc>
          <w:tcPr>
            <w:tcW w:w="1040" w:type="dxa"/>
            <w:vAlign w:val="bottom"/>
            <w:gridSpan w:val="2"/>
          </w:tcPr>
          <w:p>
            <w:pPr>
              <w:jc w:val="right"/>
              <w:ind w:right="400"/>
              <w:spacing w:after="0"/>
              <w:rPr>
                <w:sz w:val="20"/>
                <w:szCs w:val="20"/>
                <w:color w:val="auto"/>
              </w:rPr>
            </w:pPr>
            <w:r>
              <w:rPr>
                <w:rFonts w:ascii="Arial" w:cs="Arial" w:eastAsia="Arial" w:hAnsi="Arial"/>
                <w:sz w:val="18"/>
                <w:szCs w:val="18"/>
                <w:color w:val="auto"/>
                <w:w w:val="95"/>
              </w:rPr>
              <w:t>112,118</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8"/>
              </w:rPr>
              <w:t>108,530</w:t>
            </w: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84,349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1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20" w:type="dxa"/>
            <w:vAlign w:val="bottom"/>
            <w:shd w:val="clear" w:color="auto" w:fill="CCEEFF"/>
          </w:tcPr>
          <w:p>
            <w:pPr>
              <w:spacing w:after="0"/>
              <w:rPr>
                <w:sz w:val="20"/>
                <w:szCs w:val="20"/>
                <w:color w:val="auto"/>
              </w:rPr>
            </w:pPr>
            <w:r>
              <w:rPr>
                <w:rFonts w:ascii="Arial" w:cs="Arial" w:eastAsia="Arial" w:hAnsi="Arial"/>
                <w:sz w:val="18"/>
                <w:szCs w:val="18"/>
                <w:color w:val="auto"/>
              </w:rPr>
              <w:t>Consolidated</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95"/>
              </w:rPr>
              <w:t>309,937</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313,158</w:t>
            </w: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299,477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1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Depreciation and Amortization</w:t>
            </w:r>
          </w:p>
        </w:tc>
        <w:tc>
          <w:tcPr>
            <w:tcW w:w="1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8140" w:type="dxa"/>
            <w:vAlign w:val="bottom"/>
            <w:gridSpan w:val="2"/>
            <w:vMerge w:val="continue"/>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120" w:type="dxa"/>
            <w:vAlign w:val="bottom"/>
            <w:shd w:val="clear" w:color="auto" w:fill="CCEEFF"/>
          </w:tcPr>
          <w:p>
            <w:pPr>
              <w:spacing w:after="0"/>
              <w:rPr>
                <w:sz w:val="20"/>
                <w:szCs w:val="20"/>
                <w:color w:val="auto"/>
              </w:rPr>
            </w:pPr>
            <w:r>
              <w:rPr>
                <w:rFonts w:ascii="Arial" w:cs="Arial" w:eastAsia="Arial" w:hAnsi="Arial"/>
                <w:sz w:val="18"/>
                <w:szCs w:val="18"/>
                <w:color w:val="auto"/>
              </w:rPr>
              <w:t>Wholesale</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5,695</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7,032</w:t>
            </w: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8,075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tcPr>
          <w:p>
            <w:pPr>
              <w:spacing w:after="0"/>
              <w:rPr>
                <w:sz w:val="20"/>
                <w:szCs w:val="20"/>
                <w:color w:val="auto"/>
              </w:rPr>
            </w:pPr>
            <w:r>
              <w:rPr>
                <w:rFonts w:ascii="Arial" w:cs="Arial" w:eastAsia="Arial" w:hAnsi="Arial"/>
                <w:sz w:val="18"/>
                <w:szCs w:val="18"/>
                <w:color w:val="auto"/>
              </w:rPr>
              <w:t>Retail</w:t>
            </w:r>
          </w:p>
        </w:tc>
        <w:tc>
          <w:tcPr>
            <w:tcW w:w="160" w:type="dxa"/>
            <w:vAlign w:val="bottom"/>
          </w:tcPr>
          <w:p>
            <w:pPr>
              <w:spacing w:after="0"/>
              <w:rPr>
                <w:sz w:val="18"/>
                <w:szCs w:val="18"/>
                <w:color w:val="auto"/>
              </w:rPr>
            </w:pPr>
          </w:p>
        </w:tc>
        <w:tc>
          <w:tcPr>
            <w:tcW w:w="1040" w:type="dxa"/>
            <w:vAlign w:val="bottom"/>
            <w:gridSpan w:val="2"/>
          </w:tcPr>
          <w:p>
            <w:pPr>
              <w:jc w:val="right"/>
              <w:ind w:right="400"/>
              <w:spacing w:after="0"/>
              <w:rPr>
                <w:sz w:val="20"/>
                <w:szCs w:val="20"/>
                <w:color w:val="auto"/>
              </w:rPr>
            </w:pPr>
            <w:r>
              <w:rPr>
                <w:rFonts w:ascii="Arial" w:cs="Arial" w:eastAsia="Arial" w:hAnsi="Arial"/>
                <w:sz w:val="18"/>
                <w:szCs w:val="18"/>
                <w:color w:val="auto"/>
              </w:rPr>
              <w:t>1,793</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1,442</w:t>
            </w: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1,114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shd w:val="clear" w:color="auto" w:fill="CCEEFF"/>
          </w:tcPr>
          <w:p>
            <w:pPr>
              <w:spacing w:after="0"/>
              <w:rPr>
                <w:sz w:val="20"/>
                <w:szCs w:val="20"/>
                <w:color w:val="auto"/>
              </w:rPr>
            </w:pPr>
            <w:r>
              <w:rPr>
                <w:rFonts w:ascii="Arial" w:cs="Arial" w:eastAsia="Arial" w:hAnsi="Arial"/>
                <w:sz w:val="18"/>
                <w:szCs w:val="18"/>
                <w:color w:val="auto"/>
              </w:rPr>
              <w:t>Investments and real estate</w:t>
            </w: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1,765</w:t>
            </w: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1,200</w:t>
            </w: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140" w:type="dxa"/>
            <w:vAlign w:val="bottom"/>
            <w:gridSpan w:val="2"/>
            <w:vMerge w:val="restart"/>
          </w:tcPr>
          <w:p>
            <w:pPr>
              <w:spacing w:after="0"/>
              <w:rPr>
                <w:sz w:val="20"/>
                <w:szCs w:val="20"/>
                <w:color w:val="auto"/>
              </w:rPr>
            </w:pPr>
            <w:r>
              <w:rPr>
                <w:rFonts w:ascii="Arial" w:cs="Arial" w:eastAsia="Arial" w:hAnsi="Arial"/>
                <w:sz w:val="18"/>
                <w:szCs w:val="18"/>
                <w:color w:val="auto"/>
              </w:rPr>
              <w:t>Consolidated</w:t>
            </w:r>
          </w:p>
        </w:tc>
        <w:tc>
          <w:tcPr>
            <w:tcW w:w="16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8140" w:type="dxa"/>
            <w:vAlign w:val="bottom"/>
            <w:gridSpan w:val="2"/>
            <w:vMerge w:val="continue"/>
          </w:tcPr>
          <w:p>
            <w:pPr>
              <w:spacing w:after="0"/>
              <w:rPr>
                <w:sz w:val="19"/>
                <w:szCs w:val="19"/>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400"/>
              <w:spacing w:after="0"/>
              <w:rPr>
                <w:sz w:val="20"/>
                <w:szCs w:val="20"/>
                <w:color w:val="auto"/>
              </w:rPr>
            </w:pPr>
            <w:r>
              <w:rPr>
                <w:rFonts w:ascii="Arial" w:cs="Arial" w:eastAsia="Arial" w:hAnsi="Arial"/>
                <w:sz w:val="18"/>
                <w:szCs w:val="18"/>
                <w:color w:val="auto"/>
              </w:rPr>
              <w:t>9,253</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9,674</w:t>
            </w:r>
          </w:p>
        </w:tc>
        <w:tc>
          <w:tcPr>
            <w:tcW w:w="380" w:type="dxa"/>
            <w:vAlign w:val="bottom"/>
          </w:tcPr>
          <w:p>
            <w:pPr>
              <w:spacing w:after="0"/>
              <w:rPr>
                <w:sz w:val="19"/>
                <w:szCs w:val="19"/>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10,151</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81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Capital Expenditures</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tcPr>
          <w:p>
            <w:pPr>
              <w:spacing w:after="0"/>
              <w:rPr>
                <w:sz w:val="20"/>
                <w:szCs w:val="20"/>
                <w:color w:val="auto"/>
              </w:rPr>
            </w:pPr>
            <w:r>
              <w:rPr>
                <w:rFonts w:ascii="Arial" w:cs="Arial" w:eastAsia="Arial" w:hAnsi="Arial"/>
                <w:sz w:val="18"/>
                <w:szCs w:val="18"/>
                <w:color w:val="auto"/>
              </w:rPr>
              <w:t>Wholesale</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400"/>
              <w:spacing w:after="0"/>
              <w:rPr>
                <w:sz w:val="20"/>
                <w:szCs w:val="20"/>
                <w:color w:val="auto"/>
              </w:rPr>
            </w:pPr>
            <w:r>
              <w:rPr>
                <w:rFonts w:ascii="Arial" w:cs="Arial" w:eastAsia="Arial" w:hAnsi="Arial"/>
                <w:sz w:val="18"/>
                <w:szCs w:val="18"/>
                <w:color w:val="auto"/>
              </w:rPr>
              <w:t>2,829</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3,722</w:t>
            </w:r>
          </w:p>
        </w:tc>
        <w:tc>
          <w:tcPr>
            <w:tcW w:w="380" w:type="dxa"/>
            <w:vAlign w:val="bottom"/>
          </w:tcPr>
          <w:p>
            <w:pPr>
              <w:spacing w:after="0"/>
              <w:rPr>
                <w:sz w:val="18"/>
                <w:szCs w:val="18"/>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3,674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shd w:val="clear" w:color="auto" w:fill="CCEEFF"/>
          </w:tcPr>
          <w:p>
            <w:pPr>
              <w:spacing w:after="0"/>
              <w:rPr>
                <w:sz w:val="20"/>
                <w:szCs w:val="20"/>
                <w:color w:val="auto"/>
              </w:rPr>
            </w:pPr>
            <w:r>
              <w:rPr>
                <w:rFonts w:ascii="Arial" w:cs="Arial" w:eastAsia="Arial" w:hAnsi="Arial"/>
                <w:sz w:val="18"/>
                <w:szCs w:val="18"/>
                <w:color w:val="auto"/>
              </w:rPr>
              <w:t>Retail</w:t>
            </w:r>
          </w:p>
        </w:tc>
        <w:tc>
          <w:tcPr>
            <w:tcW w:w="1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522</w:t>
            </w: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1,082</w:t>
            </w: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4,192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tcPr>
          <w:p>
            <w:pPr>
              <w:spacing w:after="0"/>
              <w:rPr>
                <w:sz w:val="20"/>
                <w:szCs w:val="20"/>
                <w:color w:val="auto"/>
              </w:rPr>
            </w:pPr>
            <w:r>
              <w:rPr>
                <w:rFonts w:ascii="Arial" w:cs="Arial" w:eastAsia="Arial" w:hAnsi="Arial"/>
                <w:sz w:val="18"/>
                <w:szCs w:val="18"/>
                <w:color w:val="auto"/>
              </w:rPr>
              <w:t>Investments and real estate</w:t>
            </w:r>
          </w:p>
        </w:tc>
        <w:tc>
          <w:tcPr>
            <w:tcW w:w="160" w:type="dxa"/>
            <w:vAlign w:val="bottom"/>
          </w:tcPr>
          <w:p>
            <w:pPr>
              <w:spacing w:after="0"/>
              <w:rPr>
                <w:sz w:val="18"/>
                <w:szCs w:val="18"/>
                <w:color w:val="auto"/>
              </w:rPr>
            </w:pPr>
          </w:p>
        </w:tc>
        <w:tc>
          <w:tcPr>
            <w:tcW w:w="1040" w:type="dxa"/>
            <w:vAlign w:val="bottom"/>
            <w:gridSpan w:val="2"/>
          </w:tcPr>
          <w:p>
            <w:pPr>
              <w:jc w:val="right"/>
              <w:ind w:right="400"/>
              <w:spacing w:after="0"/>
              <w:rPr>
                <w:sz w:val="20"/>
                <w:szCs w:val="20"/>
                <w:color w:val="auto"/>
              </w:rPr>
            </w:pPr>
            <w:r>
              <w:rPr>
                <w:rFonts w:ascii="Arial" w:cs="Arial" w:eastAsia="Arial" w:hAnsi="Arial"/>
                <w:sz w:val="18"/>
                <w:szCs w:val="18"/>
                <w:color w:val="auto"/>
              </w:rPr>
              <w:t>3,587</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6,286</w:t>
            </w: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3,177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1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20" w:type="dxa"/>
            <w:vAlign w:val="bottom"/>
            <w:shd w:val="clear" w:color="auto" w:fill="CCEEFF"/>
          </w:tcPr>
          <w:p>
            <w:pPr>
              <w:spacing w:after="0"/>
              <w:rPr>
                <w:sz w:val="20"/>
                <w:szCs w:val="20"/>
                <w:color w:val="auto"/>
              </w:rPr>
            </w:pPr>
            <w:r>
              <w:rPr>
                <w:rFonts w:ascii="Arial" w:cs="Arial" w:eastAsia="Arial" w:hAnsi="Arial"/>
                <w:sz w:val="18"/>
                <w:szCs w:val="18"/>
                <w:color w:val="auto"/>
              </w:rPr>
              <w:t>Consolidated</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6,938</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11,090</w:t>
            </w: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11,043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A breakdown of wholesale sales by product category for each of the last three fiscal years is provided below:</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140" w:type="dxa"/>
            <w:vAlign w:val="bottom"/>
          </w:tcPr>
          <w:p>
            <w:pPr>
              <w:spacing w:after="0"/>
              <w:rPr>
                <w:sz w:val="14"/>
                <w:szCs w:val="14"/>
                <w:color w:val="auto"/>
              </w:rPr>
            </w:pPr>
          </w:p>
        </w:tc>
        <w:tc>
          <w:tcPr>
            <w:tcW w:w="2660" w:type="dxa"/>
            <w:vAlign w:val="bottom"/>
          </w:tcPr>
          <w:p>
            <w:pPr>
              <w:spacing w:after="0"/>
              <w:rPr>
                <w:sz w:val="14"/>
                <w:szCs w:val="14"/>
                <w:color w:val="auto"/>
              </w:rPr>
            </w:pPr>
          </w:p>
        </w:tc>
        <w:tc>
          <w:tcPr>
            <w:tcW w:w="2180" w:type="dxa"/>
            <w:vAlign w:val="bottom"/>
            <w:gridSpan w:val="2"/>
          </w:tcPr>
          <w:p>
            <w:pPr>
              <w:jc w:val="right"/>
              <w:ind w:right="1080"/>
              <w:spacing w:after="0"/>
              <w:rPr>
                <w:sz w:val="20"/>
                <w:szCs w:val="20"/>
                <w:color w:val="auto"/>
              </w:rPr>
            </w:pPr>
            <w:r>
              <w:rPr>
                <w:rFonts w:ascii="Arial" w:cs="Arial" w:eastAsia="Arial" w:hAnsi="Arial"/>
                <w:sz w:val="14"/>
                <w:szCs w:val="14"/>
                <w:b w:val="1"/>
                <w:bCs w:val="1"/>
                <w:color w:val="auto"/>
                <w:w w:val="85"/>
              </w:rPr>
              <w:t>November 25, 2006</w:t>
            </w:r>
          </w:p>
        </w:tc>
        <w:tc>
          <w:tcPr>
            <w:tcW w:w="2180" w:type="dxa"/>
            <w:vAlign w:val="bottom"/>
            <w:gridSpan w:val="2"/>
          </w:tcPr>
          <w:p>
            <w:pPr>
              <w:jc w:val="right"/>
              <w:ind w:right="1080"/>
              <w:spacing w:after="0"/>
              <w:rPr>
                <w:sz w:val="20"/>
                <w:szCs w:val="20"/>
                <w:color w:val="auto"/>
              </w:rPr>
            </w:pPr>
            <w:r>
              <w:rPr>
                <w:rFonts w:ascii="Arial" w:cs="Arial" w:eastAsia="Arial" w:hAnsi="Arial"/>
                <w:sz w:val="14"/>
                <w:szCs w:val="14"/>
                <w:b w:val="1"/>
                <w:bCs w:val="1"/>
                <w:color w:val="auto"/>
                <w:w w:val="85"/>
              </w:rPr>
              <w:t>November 26, 2005</w:t>
            </w:r>
          </w:p>
        </w:tc>
        <w:tc>
          <w:tcPr>
            <w:tcW w:w="126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w w:val="85"/>
              </w:rPr>
              <w:t>November 27, 2004</w:t>
            </w:r>
          </w:p>
        </w:tc>
      </w:tr>
      <w:tr>
        <w:trPr>
          <w:trHeight w:val="20"/>
        </w:trPr>
        <w:tc>
          <w:tcPr>
            <w:tcW w:w="3140" w:type="dxa"/>
            <w:vAlign w:val="bottom"/>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210"/>
        </w:trPr>
        <w:tc>
          <w:tcPr>
            <w:tcW w:w="3140" w:type="dxa"/>
            <w:vAlign w:val="bottom"/>
            <w:shd w:val="clear" w:color="auto" w:fill="CCEEFF"/>
          </w:tcPr>
          <w:p>
            <w:pPr>
              <w:spacing w:after="0"/>
              <w:rPr>
                <w:sz w:val="20"/>
                <w:szCs w:val="20"/>
                <w:color w:val="auto"/>
              </w:rPr>
            </w:pPr>
            <w:r>
              <w:rPr>
                <w:rFonts w:ascii="Arial" w:cs="Arial" w:eastAsia="Arial" w:hAnsi="Arial"/>
                <w:sz w:val="18"/>
                <w:szCs w:val="18"/>
                <w:color w:val="auto"/>
              </w:rPr>
              <w:t>Wood</w:t>
            </w:r>
          </w:p>
        </w:tc>
        <w:tc>
          <w:tcPr>
            <w:tcW w:w="2660" w:type="dxa"/>
            <w:vAlign w:val="bottom"/>
            <w:shd w:val="clear" w:color="auto" w:fill="CCEEFF"/>
          </w:tcPr>
          <w:p>
            <w:pPr>
              <w:spacing w:after="0"/>
              <w:rPr>
                <w:sz w:val="18"/>
                <w:szCs w:val="18"/>
                <w:color w:val="auto"/>
              </w:rPr>
            </w:pPr>
          </w:p>
        </w:tc>
        <w:tc>
          <w:tcPr>
            <w:tcW w:w="2180" w:type="dxa"/>
            <w:vAlign w:val="bottom"/>
            <w:gridSpan w:val="2"/>
            <w:shd w:val="clear" w:color="auto" w:fill="CCEEFF"/>
          </w:tcPr>
          <w:p>
            <w:pPr>
              <w:jc w:val="right"/>
              <w:ind w:right="920"/>
              <w:spacing w:after="0"/>
              <w:rPr>
                <w:sz w:val="20"/>
                <w:szCs w:val="20"/>
                <w:color w:val="auto"/>
              </w:rPr>
            </w:pPr>
            <w:r>
              <w:rPr>
                <w:rFonts w:ascii="Arial" w:cs="Arial" w:eastAsia="Arial" w:hAnsi="Arial"/>
                <w:sz w:val="18"/>
                <w:szCs w:val="18"/>
                <w:color w:val="auto"/>
              </w:rPr>
              <w:t>58%</w:t>
            </w:r>
          </w:p>
        </w:tc>
        <w:tc>
          <w:tcPr>
            <w:tcW w:w="2180" w:type="dxa"/>
            <w:vAlign w:val="bottom"/>
            <w:gridSpan w:val="2"/>
            <w:shd w:val="clear" w:color="auto" w:fill="CCEEFF"/>
          </w:tcPr>
          <w:p>
            <w:pPr>
              <w:jc w:val="right"/>
              <w:ind w:right="940"/>
              <w:spacing w:after="0"/>
              <w:rPr>
                <w:sz w:val="20"/>
                <w:szCs w:val="20"/>
                <w:color w:val="auto"/>
              </w:rPr>
            </w:pPr>
            <w:r>
              <w:rPr>
                <w:rFonts w:ascii="Arial" w:cs="Arial" w:eastAsia="Arial" w:hAnsi="Arial"/>
                <w:sz w:val="18"/>
                <w:szCs w:val="18"/>
                <w:color w:val="auto"/>
              </w:rPr>
              <w:t>60%</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62%</w:t>
            </w:r>
          </w:p>
        </w:tc>
      </w:tr>
      <w:tr>
        <w:trPr>
          <w:trHeight w:val="216"/>
        </w:trPr>
        <w:tc>
          <w:tcPr>
            <w:tcW w:w="3140" w:type="dxa"/>
            <w:vAlign w:val="bottom"/>
          </w:tcPr>
          <w:p>
            <w:pPr>
              <w:spacing w:after="0"/>
              <w:rPr>
                <w:sz w:val="20"/>
                <w:szCs w:val="20"/>
                <w:color w:val="auto"/>
              </w:rPr>
            </w:pPr>
            <w:r>
              <w:rPr>
                <w:rFonts w:ascii="Arial" w:cs="Arial" w:eastAsia="Arial" w:hAnsi="Arial"/>
                <w:sz w:val="18"/>
                <w:szCs w:val="18"/>
                <w:color w:val="auto"/>
              </w:rPr>
              <w:t>Upholstery</w:t>
            </w:r>
          </w:p>
        </w:tc>
        <w:tc>
          <w:tcPr>
            <w:tcW w:w="2660" w:type="dxa"/>
            <w:vAlign w:val="bottom"/>
          </w:tcPr>
          <w:p>
            <w:pPr>
              <w:spacing w:after="0"/>
              <w:rPr>
                <w:sz w:val="18"/>
                <w:szCs w:val="18"/>
                <w:color w:val="auto"/>
              </w:rPr>
            </w:pPr>
          </w:p>
        </w:tc>
        <w:tc>
          <w:tcPr>
            <w:tcW w:w="2180" w:type="dxa"/>
            <w:vAlign w:val="bottom"/>
            <w:gridSpan w:val="2"/>
          </w:tcPr>
          <w:p>
            <w:pPr>
              <w:jc w:val="right"/>
              <w:ind w:right="920"/>
              <w:spacing w:after="0"/>
              <w:rPr>
                <w:sz w:val="20"/>
                <w:szCs w:val="20"/>
                <w:color w:val="auto"/>
              </w:rPr>
            </w:pPr>
            <w:r>
              <w:rPr>
                <w:rFonts w:ascii="Arial" w:cs="Arial" w:eastAsia="Arial" w:hAnsi="Arial"/>
                <w:sz w:val="18"/>
                <w:szCs w:val="18"/>
                <w:color w:val="auto"/>
              </w:rPr>
              <w:t>42%</w:t>
            </w:r>
          </w:p>
        </w:tc>
        <w:tc>
          <w:tcPr>
            <w:tcW w:w="2180" w:type="dxa"/>
            <w:vAlign w:val="bottom"/>
            <w:gridSpan w:val="2"/>
          </w:tcPr>
          <w:p>
            <w:pPr>
              <w:jc w:val="right"/>
              <w:ind w:right="940"/>
              <w:spacing w:after="0"/>
              <w:rPr>
                <w:sz w:val="20"/>
                <w:szCs w:val="20"/>
                <w:color w:val="auto"/>
              </w:rPr>
            </w:pPr>
            <w:r>
              <w:rPr>
                <w:rFonts w:ascii="Arial" w:cs="Arial" w:eastAsia="Arial" w:hAnsi="Arial"/>
                <w:sz w:val="18"/>
                <w:szCs w:val="18"/>
                <w:color w:val="auto"/>
              </w:rPr>
              <w:t>40%</w:t>
            </w:r>
          </w:p>
        </w:tc>
        <w:tc>
          <w:tcPr>
            <w:tcW w:w="1260" w:type="dxa"/>
            <w:vAlign w:val="bottom"/>
            <w:gridSpan w:val="2"/>
          </w:tcPr>
          <w:p>
            <w:pPr>
              <w:jc w:val="right"/>
              <w:spacing w:after="0"/>
              <w:rPr>
                <w:sz w:val="20"/>
                <w:szCs w:val="20"/>
                <w:color w:val="auto"/>
              </w:rPr>
            </w:pPr>
            <w:r>
              <w:rPr>
                <w:rFonts w:ascii="Arial" w:cs="Arial" w:eastAsia="Arial" w:hAnsi="Arial"/>
                <w:sz w:val="18"/>
                <w:szCs w:val="18"/>
                <w:color w:val="auto"/>
              </w:rPr>
              <w:t>38%</w:t>
            </w:r>
          </w:p>
        </w:tc>
      </w:tr>
      <w:tr>
        <w:trPr>
          <w:trHeight w:val="27"/>
        </w:trPr>
        <w:tc>
          <w:tcPr>
            <w:tcW w:w="3140" w:type="dxa"/>
            <w:vAlign w:val="bottom"/>
          </w:tcPr>
          <w:p>
            <w:pPr>
              <w:spacing w:after="0"/>
              <w:rPr>
                <w:sz w:val="2"/>
                <w:szCs w:val="2"/>
                <w:color w:val="auto"/>
              </w:rPr>
            </w:pPr>
          </w:p>
        </w:tc>
        <w:tc>
          <w:tcPr>
            <w:tcW w:w="2660" w:type="dxa"/>
            <w:vAlign w:val="bottom"/>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1080" w:type="dxa"/>
            <w:vAlign w:val="bottom"/>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1080" w:type="dxa"/>
            <w:vAlign w:val="bottom"/>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r>
      <w:tr>
        <w:trPr>
          <w:trHeight w:val="216"/>
        </w:trPr>
        <w:tc>
          <w:tcPr>
            <w:tcW w:w="3140" w:type="dxa"/>
            <w:vAlign w:val="bottom"/>
            <w:shd w:val="clear" w:color="auto" w:fill="CCEEFF"/>
          </w:tcPr>
          <w:p>
            <w:pPr>
              <w:spacing w:after="0"/>
              <w:rPr>
                <w:sz w:val="18"/>
                <w:szCs w:val="18"/>
                <w:color w:val="auto"/>
              </w:rPr>
            </w:pPr>
          </w:p>
        </w:tc>
        <w:tc>
          <w:tcPr>
            <w:tcW w:w="2660" w:type="dxa"/>
            <w:vAlign w:val="bottom"/>
            <w:shd w:val="clear" w:color="auto" w:fill="CCEEFF"/>
          </w:tcPr>
          <w:p>
            <w:pPr>
              <w:spacing w:after="0"/>
              <w:rPr>
                <w:sz w:val="18"/>
                <w:szCs w:val="18"/>
                <w:color w:val="auto"/>
              </w:rPr>
            </w:pPr>
          </w:p>
        </w:tc>
        <w:tc>
          <w:tcPr>
            <w:tcW w:w="2180" w:type="dxa"/>
            <w:vAlign w:val="bottom"/>
            <w:gridSpan w:val="2"/>
            <w:shd w:val="clear" w:color="auto" w:fill="CCEEFF"/>
          </w:tcPr>
          <w:p>
            <w:pPr>
              <w:jc w:val="right"/>
              <w:ind w:right="920"/>
              <w:spacing w:after="0"/>
              <w:rPr>
                <w:sz w:val="20"/>
                <w:szCs w:val="20"/>
                <w:color w:val="auto"/>
              </w:rPr>
            </w:pPr>
            <w:r>
              <w:rPr>
                <w:rFonts w:ascii="Arial" w:cs="Arial" w:eastAsia="Arial" w:hAnsi="Arial"/>
                <w:sz w:val="18"/>
                <w:szCs w:val="18"/>
                <w:color w:val="auto"/>
              </w:rPr>
              <w:t>100%</w:t>
            </w:r>
          </w:p>
        </w:tc>
        <w:tc>
          <w:tcPr>
            <w:tcW w:w="2180" w:type="dxa"/>
            <w:vAlign w:val="bottom"/>
            <w:gridSpan w:val="2"/>
            <w:shd w:val="clear" w:color="auto" w:fill="CCEEFF"/>
          </w:tcPr>
          <w:p>
            <w:pPr>
              <w:jc w:val="right"/>
              <w:ind w:right="940"/>
              <w:spacing w:after="0"/>
              <w:rPr>
                <w:sz w:val="20"/>
                <w:szCs w:val="20"/>
                <w:color w:val="auto"/>
              </w:rPr>
            </w:pPr>
            <w:r>
              <w:rPr>
                <w:rFonts w:ascii="Arial" w:cs="Arial" w:eastAsia="Arial" w:hAnsi="Arial"/>
                <w:sz w:val="18"/>
                <w:szCs w:val="18"/>
                <w:color w:val="auto"/>
              </w:rPr>
              <w:t>100%</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w:t>
            </w:r>
          </w:p>
        </w:tc>
      </w:tr>
      <w:tr>
        <w:trPr>
          <w:trHeight w:val="20"/>
        </w:trPr>
        <w:tc>
          <w:tcPr>
            <w:tcW w:w="3140" w:type="dxa"/>
            <w:vAlign w:val="bottom"/>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357"/>
        </w:trPr>
        <w:tc>
          <w:tcPr>
            <w:tcW w:w="3140" w:type="dxa"/>
            <w:vAlign w:val="bottom"/>
          </w:tcPr>
          <w:p>
            <w:pPr>
              <w:spacing w:after="0"/>
              <w:rPr>
                <w:sz w:val="24"/>
                <w:szCs w:val="24"/>
                <w:color w:val="auto"/>
              </w:rPr>
            </w:pPr>
          </w:p>
        </w:tc>
        <w:tc>
          <w:tcPr>
            <w:tcW w:w="4840" w:type="dxa"/>
            <w:vAlign w:val="bottom"/>
            <w:gridSpan w:val="3"/>
          </w:tcPr>
          <w:p>
            <w:pPr>
              <w:jc w:val="right"/>
              <w:ind w:right="2060"/>
              <w:spacing w:after="0"/>
              <w:rPr>
                <w:sz w:val="20"/>
                <w:szCs w:val="20"/>
                <w:color w:val="auto"/>
              </w:rPr>
            </w:pPr>
            <w:r>
              <w:rPr>
                <w:rFonts w:ascii="Arial" w:cs="Arial" w:eastAsia="Arial" w:hAnsi="Arial"/>
                <w:sz w:val="18"/>
                <w:szCs w:val="18"/>
                <w:color w:val="auto"/>
              </w:rPr>
              <w:t>F - 44</w:t>
            </w:r>
          </w:p>
        </w:tc>
        <w:tc>
          <w:tcPr>
            <w:tcW w:w="11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40" w:type="dxa"/>
            <w:vAlign w:val="bottom"/>
          </w:tcPr>
          <w:p>
            <w:pPr>
              <w:spacing w:after="0"/>
              <w:rPr>
                <w:sz w:val="24"/>
                <w:szCs w:val="24"/>
                <w:color w:val="auto"/>
              </w:rPr>
            </w:pPr>
          </w:p>
        </w:tc>
      </w:tr>
    </w:tbl>
    <w:p>
      <w:pPr>
        <w:sectPr>
          <w:pgSz w:w="11900" w:h="16838" w:orient="portrait"/>
          <w:cols w:equalWidth="0" w:num="1">
            <w:col w:w="11420"/>
          </w:cols>
          <w:pgMar w:left="240" w:top="459" w:right="239" w:bottom="1440" w:gutter="0" w:footer="0" w:header="0"/>
        </w:sectPr>
      </w:pPr>
    </w:p>
    <w:bookmarkStart w:id="63" w:name="page64"/>
    <w:bookmarkEnd w:id="6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 Quarterly Results of Operations and Restatements (unaudited)</w:t>
      </w:r>
    </w:p>
    <w:p>
      <w:pPr>
        <w:spacing w:after="0" w:line="96" w:lineRule="exact"/>
        <w:rPr>
          <w:sz w:val="20"/>
          <w:szCs w:val="20"/>
          <w:color w:val="auto"/>
        </w:rPr>
      </w:pPr>
    </w:p>
    <w:p>
      <w:pPr>
        <w:ind w:right="40"/>
        <w:spacing w:after="0" w:line="256" w:lineRule="auto"/>
        <w:rPr>
          <w:sz w:val="20"/>
          <w:szCs w:val="20"/>
          <w:color w:val="auto"/>
        </w:rPr>
      </w:pPr>
      <w:r>
        <w:rPr>
          <w:rFonts w:ascii="Arial" w:cs="Arial" w:eastAsia="Arial" w:hAnsi="Arial"/>
          <w:sz w:val="18"/>
          <w:szCs w:val="18"/>
          <w:color w:val="auto"/>
        </w:rPr>
        <w:t>As discussed more fully in Note 2, the Staff of the Securities and Exchange Commission conducted a review of our 2005 Annual Report on Form 10-K. The Staff recommended changes to our accounting treatment associated with our acquisitions of three retail licensee operations in fiscal 2005. Upon further review, we concurred with the accounting treatment recommended by the Staff. The following table provides quarterly information on both a restated basis and as previously reported for fiscal 2006 and 2005.</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60" w:type="dxa"/>
            <w:vAlign w:val="bottom"/>
          </w:tcPr>
          <w:p>
            <w:pPr>
              <w:spacing w:after="0"/>
              <w:rPr>
                <w:sz w:val="14"/>
                <w:szCs w:val="14"/>
                <w:color w:val="auto"/>
              </w:rPr>
            </w:pPr>
          </w:p>
        </w:tc>
        <w:tc>
          <w:tcPr>
            <w:tcW w:w="4300" w:type="dxa"/>
            <w:vAlign w:val="bottom"/>
          </w:tcPr>
          <w:p>
            <w:pPr>
              <w:spacing w:after="0"/>
              <w:rPr>
                <w:sz w:val="14"/>
                <w:szCs w:val="14"/>
                <w:color w:val="auto"/>
              </w:rPr>
            </w:pPr>
          </w:p>
        </w:tc>
        <w:tc>
          <w:tcPr>
            <w:tcW w:w="2980" w:type="dxa"/>
            <w:vAlign w:val="bottom"/>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b w:val="1"/>
                <w:bCs w:val="1"/>
                <w:color w:val="auto"/>
                <w:w w:val="87"/>
              </w:rPr>
              <w:t>2006 Restated</w:t>
            </w:r>
          </w:p>
        </w:tc>
        <w:tc>
          <w:tcPr>
            <w:tcW w:w="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42"/>
        </w:trPr>
        <w:tc>
          <w:tcPr>
            <w:tcW w:w="960" w:type="dxa"/>
            <w:vAlign w:val="bottom"/>
          </w:tcPr>
          <w:p>
            <w:pPr>
              <w:spacing w:after="0"/>
              <w:rPr>
                <w:sz w:val="12"/>
                <w:szCs w:val="12"/>
                <w:color w:val="auto"/>
              </w:rPr>
            </w:pPr>
          </w:p>
        </w:tc>
        <w:tc>
          <w:tcPr>
            <w:tcW w:w="4300" w:type="dxa"/>
            <w:vAlign w:val="bottom"/>
          </w:tcPr>
          <w:p>
            <w:pPr>
              <w:spacing w:after="0"/>
              <w:rPr>
                <w:sz w:val="12"/>
                <w:szCs w:val="12"/>
                <w:color w:val="auto"/>
              </w:rPr>
            </w:pPr>
          </w:p>
        </w:tc>
        <w:tc>
          <w:tcPr>
            <w:tcW w:w="2980" w:type="dxa"/>
            <w:vAlign w:val="bottom"/>
          </w:tcPr>
          <w:p>
            <w:pPr>
              <w:spacing w:after="0"/>
              <w:rPr>
                <w:sz w:val="12"/>
                <w:szCs w:val="12"/>
                <w:color w:val="auto"/>
              </w:rPr>
            </w:pPr>
          </w:p>
        </w:tc>
        <w:tc>
          <w:tcPr>
            <w:tcW w:w="58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3"/>
              </w:rPr>
              <w:t>First (a)</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83"/>
              </w:rPr>
              <w:t>Second (a)</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2"/>
              </w:rPr>
              <w:t>Third (a)</w:t>
            </w: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6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rPr>
              <w:t>Fourth (1)</w:t>
            </w:r>
          </w:p>
        </w:tc>
        <w:tc>
          <w:tcPr>
            <w:tcW w:w="20" w:type="dxa"/>
            <w:vAlign w:val="bottom"/>
          </w:tcPr>
          <w:p>
            <w:pPr>
              <w:spacing w:after="0"/>
              <w:rPr>
                <w:sz w:val="12"/>
                <w:szCs w:val="12"/>
                <w:color w:val="auto"/>
              </w:rPr>
            </w:pPr>
          </w:p>
        </w:tc>
      </w:tr>
      <w:tr>
        <w:trPr>
          <w:trHeight w:val="210"/>
        </w:trPr>
        <w:tc>
          <w:tcPr>
            <w:tcW w:w="5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sales</w:t>
            </w:r>
          </w:p>
        </w:tc>
        <w:tc>
          <w:tcPr>
            <w:tcW w:w="36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$86,489</w:t>
            </w:r>
          </w:p>
        </w:tc>
        <w:tc>
          <w:tcPr>
            <w:tcW w:w="8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w w:val="99"/>
              </w:rPr>
              <w:t>$ 87,663</w:t>
            </w:r>
          </w:p>
        </w:tc>
        <w:tc>
          <w:tcPr>
            <w:tcW w:w="8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$77,560</w:t>
            </w:r>
          </w:p>
        </w:tc>
        <w:tc>
          <w:tcPr>
            <w:tcW w:w="18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76,502</w:t>
            </w:r>
          </w:p>
        </w:tc>
        <w:tc>
          <w:tcPr>
            <w:tcW w:w="20" w:type="dxa"/>
            <w:vAlign w:val="bottom"/>
          </w:tcPr>
          <w:p>
            <w:pPr>
              <w:spacing w:after="0"/>
              <w:rPr>
                <w:sz w:val="18"/>
                <w:szCs w:val="18"/>
                <w:color w:val="auto"/>
              </w:rPr>
            </w:pPr>
          </w:p>
        </w:tc>
      </w:tr>
      <w:tr>
        <w:trPr>
          <w:trHeight w:val="216"/>
        </w:trPr>
        <w:tc>
          <w:tcPr>
            <w:tcW w:w="5260" w:type="dxa"/>
            <w:vAlign w:val="bottom"/>
            <w:gridSpan w:val="2"/>
          </w:tcPr>
          <w:p>
            <w:pPr>
              <w:spacing w:after="0"/>
              <w:rPr>
                <w:sz w:val="20"/>
                <w:szCs w:val="20"/>
                <w:color w:val="auto"/>
              </w:rPr>
            </w:pPr>
            <w:r>
              <w:rPr>
                <w:rFonts w:ascii="Arial" w:cs="Arial" w:eastAsia="Arial" w:hAnsi="Arial"/>
                <w:sz w:val="18"/>
                <w:szCs w:val="18"/>
                <w:color w:val="auto"/>
              </w:rPr>
              <w:t>Gross profit</w:t>
            </w:r>
          </w:p>
        </w:tc>
        <w:tc>
          <w:tcPr>
            <w:tcW w:w="3680" w:type="dxa"/>
            <w:vAlign w:val="bottom"/>
            <w:gridSpan w:val="3"/>
          </w:tcPr>
          <w:p>
            <w:pPr>
              <w:jc w:val="right"/>
              <w:ind w:right="120"/>
              <w:spacing w:after="0"/>
              <w:rPr>
                <w:sz w:val="20"/>
                <w:szCs w:val="20"/>
                <w:color w:val="auto"/>
              </w:rPr>
            </w:pPr>
            <w:r>
              <w:rPr>
                <w:rFonts w:ascii="Arial" w:cs="Arial" w:eastAsia="Arial" w:hAnsi="Arial"/>
                <w:sz w:val="18"/>
                <w:szCs w:val="18"/>
                <w:color w:val="auto"/>
              </w:rPr>
              <w:t>27,338</w:t>
            </w:r>
          </w:p>
        </w:tc>
        <w:tc>
          <w:tcPr>
            <w:tcW w:w="820" w:type="dxa"/>
            <w:vAlign w:val="bottom"/>
            <w:gridSpan w:val="3"/>
          </w:tcPr>
          <w:p>
            <w:pPr>
              <w:jc w:val="right"/>
              <w:ind w:right="100"/>
              <w:spacing w:after="0"/>
              <w:rPr>
                <w:sz w:val="20"/>
                <w:szCs w:val="20"/>
                <w:color w:val="auto"/>
              </w:rPr>
            </w:pPr>
            <w:r>
              <w:rPr>
                <w:rFonts w:ascii="Arial" w:cs="Arial" w:eastAsia="Arial" w:hAnsi="Arial"/>
                <w:sz w:val="18"/>
                <w:szCs w:val="18"/>
                <w:color w:val="auto"/>
              </w:rPr>
              <w:t>27,776</w:t>
            </w:r>
          </w:p>
        </w:tc>
        <w:tc>
          <w:tcPr>
            <w:tcW w:w="860" w:type="dxa"/>
            <w:vAlign w:val="bottom"/>
            <w:gridSpan w:val="3"/>
          </w:tcPr>
          <w:p>
            <w:pPr>
              <w:jc w:val="right"/>
              <w:ind w:right="180"/>
              <w:spacing w:after="0"/>
              <w:rPr>
                <w:sz w:val="20"/>
                <w:szCs w:val="20"/>
                <w:color w:val="auto"/>
              </w:rPr>
            </w:pPr>
            <w:r>
              <w:rPr>
                <w:rFonts w:ascii="Arial" w:cs="Arial" w:eastAsia="Arial" w:hAnsi="Arial"/>
                <w:sz w:val="18"/>
                <w:szCs w:val="18"/>
                <w:color w:val="auto"/>
              </w:rPr>
              <w:t>23,334</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24,447</w:t>
            </w:r>
          </w:p>
        </w:tc>
        <w:tc>
          <w:tcPr>
            <w:tcW w:w="20" w:type="dxa"/>
            <w:vAlign w:val="bottom"/>
          </w:tcPr>
          <w:p>
            <w:pPr>
              <w:spacing w:after="0"/>
              <w:rPr>
                <w:sz w:val="18"/>
                <w:szCs w:val="18"/>
                <w:color w:val="auto"/>
              </w:rPr>
            </w:pPr>
          </w:p>
        </w:tc>
      </w:tr>
      <w:tr>
        <w:trPr>
          <w:trHeight w:val="216"/>
        </w:trPr>
        <w:tc>
          <w:tcPr>
            <w:tcW w:w="5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w:t>
            </w:r>
          </w:p>
        </w:tc>
        <w:tc>
          <w:tcPr>
            <w:tcW w:w="36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2,180</w:t>
            </w:r>
          </w:p>
        </w:tc>
        <w:tc>
          <w:tcPr>
            <w:tcW w:w="8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2,833</w:t>
            </w:r>
          </w:p>
        </w:tc>
        <w:tc>
          <w:tcPr>
            <w:tcW w:w="8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57</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359</w:t>
            </w:r>
          </w:p>
        </w:tc>
        <w:tc>
          <w:tcPr>
            <w:tcW w:w="20" w:type="dxa"/>
            <w:vAlign w:val="bottom"/>
          </w:tcPr>
          <w:p>
            <w:pPr>
              <w:spacing w:after="0"/>
              <w:rPr>
                <w:sz w:val="18"/>
                <w:szCs w:val="18"/>
                <w:color w:val="auto"/>
              </w:rPr>
            </w:pPr>
          </w:p>
        </w:tc>
      </w:tr>
      <w:tr>
        <w:trPr>
          <w:trHeight w:val="216"/>
        </w:trPr>
        <w:tc>
          <w:tcPr>
            <w:tcW w:w="5260" w:type="dxa"/>
            <w:vAlign w:val="bottom"/>
            <w:gridSpan w:val="2"/>
          </w:tcPr>
          <w:p>
            <w:pPr>
              <w:ind w:left="440"/>
              <w:spacing w:after="0"/>
              <w:rPr>
                <w:sz w:val="20"/>
                <w:szCs w:val="20"/>
                <w:color w:val="auto"/>
              </w:rPr>
            </w:pPr>
            <w:r>
              <w:rPr>
                <w:rFonts w:ascii="Arial" w:cs="Arial" w:eastAsia="Arial" w:hAnsi="Arial"/>
                <w:sz w:val="18"/>
                <w:szCs w:val="18"/>
                <w:color w:val="auto"/>
              </w:rPr>
              <w:t>Basic earnings per share</w:t>
            </w:r>
          </w:p>
        </w:tc>
        <w:tc>
          <w:tcPr>
            <w:tcW w:w="3680" w:type="dxa"/>
            <w:vAlign w:val="bottom"/>
            <w:gridSpan w:val="3"/>
          </w:tcPr>
          <w:p>
            <w:pPr>
              <w:jc w:val="right"/>
              <w:ind w:right="120"/>
              <w:spacing w:after="0"/>
              <w:rPr>
                <w:sz w:val="20"/>
                <w:szCs w:val="20"/>
                <w:color w:val="auto"/>
              </w:rPr>
            </w:pPr>
            <w:r>
              <w:rPr>
                <w:rFonts w:ascii="Arial" w:cs="Arial" w:eastAsia="Arial" w:hAnsi="Arial"/>
                <w:sz w:val="18"/>
                <w:szCs w:val="18"/>
                <w:color w:val="auto"/>
              </w:rPr>
              <w:t>0.18</w:t>
            </w:r>
          </w:p>
        </w:tc>
        <w:tc>
          <w:tcPr>
            <w:tcW w:w="820" w:type="dxa"/>
            <w:vAlign w:val="bottom"/>
            <w:gridSpan w:val="3"/>
          </w:tcPr>
          <w:p>
            <w:pPr>
              <w:jc w:val="right"/>
              <w:ind w:right="100"/>
              <w:spacing w:after="0"/>
              <w:rPr>
                <w:sz w:val="20"/>
                <w:szCs w:val="20"/>
                <w:color w:val="auto"/>
              </w:rPr>
            </w:pPr>
            <w:r>
              <w:rPr>
                <w:rFonts w:ascii="Arial" w:cs="Arial" w:eastAsia="Arial" w:hAnsi="Arial"/>
                <w:sz w:val="18"/>
                <w:szCs w:val="18"/>
                <w:color w:val="auto"/>
              </w:rPr>
              <w:t>0.24</w:t>
            </w:r>
          </w:p>
        </w:tc>
        <w:tc>
          <w:tcPr>
            <w:tcW w:w="860" w:type="dxa"/>
            <w:vAlign w:val="bottom"/>
            <w:gridSpan w:val="3"/>
          </w:tcPr>
          <w:p>
            <w:pPr>
              <w:jc w:val="right"/>
              <w:ind w:right="180"/>
              <w:spacing w:after="0"/>
              <w:rPr>
                <w:sz w:val="20"/>
                <w:szCs w:val="20"/>
                <w:color w:val="auto"/>
              </w:rPr>
            </w:pPr>
            <w:r>
              <w:rPr>
                <w:rFonts w:ascii="Arial" w:cs="Arial" w:eastAsia="Arial" w:hAnsi="Arial"/>
                <w:sz w:val="18"/>
                <w:szCs w:val="18"/>
                <w:color w:val="auto"/>
              </w:rPr>
              <w:t>0.01</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0.03</w:t>
            </w:r>
          </w:p>
        </w:tc>
        <w:tc>
          <w:tcPr>
            <w:tcW w:w="20" w:type="dxa"/>
            <w:vAlign w:val="bottom"/>
          </w:tcPr>
          <w:p>
            <w:pPr>
              <w:spacing w:after="0"/>
              <w:rPr>
                <w:sz w:val="18"/>
                <w:szCs w:val="18"/>
                <w:color w:val="auto"/>
              </w:rPr>
            </w:pPr>
          </w:p>
        </w:tc>
      </w:tr>
      <w:tr>
        <w:trPr>
          <w:trHeight w:val="216"/>
        </w:trPr>
        <w:tc>
          <w:tcPr>
            <w:tcW w:w="52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Diluted earnings per share</w:t>
            </w:r>
          </w:p>
        </w:tc>
        <w:tc>
          <w:tcPr>
            <w:tcW w:w="36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0.18</w:t>
            </w:r>
          </w:p>
        </w:tc>
        <w:tc>
          <w:tcPr>
            <w:tcW w:w="8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0.24</w:t>
            </w:r>
          </w:p>
        </w:tc>
        <w:tc>
          <w:tcPr>
            <w:tcW w:w="8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0.01</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0.03</w:t>
            </w:r>
          </w:p>
        </w:tc>
        <w:tc>
          <w:tcPr>
            <w:tcW w:w="20" w:type="dxa"/>
            <w:vAlign w:val="bottom"/>
          </w:tcPr>
          <w:p>
            <w:pPr>
              <w:spacing w:after="0"/>
              <w:rPr>
                <w:sz w:val="18"/>
                <w:szCs w:val="18"/>
                <w:color w:val="auto"/>
              </w:rPr>
            </w:pPr>
          </w:p>
        </w:tc>
      </w:tr>
      <w:tr>
        <w:trPr>
          <w:trHeight w:val="365"/>
        </w:trPr>
        <w:tc>
          <w:tcPr>
            <w:tcW w:w="960" w:type="dxa"/>
            <w:vAlign w:val="bottom"/>
          </w:tcPr>
          <w:p>
            <w:pPr>
              <w:spacing w:after="0"/>
              <w:rPr>
                <w:sz w:val="24"/>
                <w:szCs w:val="24"/>
                <w:color w:val="auto"/>
              </w:rPr>
            </w:pPr>
          </w:p>
        </w:tc>
        <w:tc>
          <w:tcPr>
            <w:tcW w:w="430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b w:val="1"/>
                <w:bCs w:val="1"/>
                <w:color w:val="auto"/>
                <w:w w:val="87"/>
              </w:rPr>
              <w:t>2005 Restated</w:t>
            </w:r>
          </w:p>
        </w:tc>
        <w:tc>
          <w:tcPr>
            <w:tcW w:w="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r>
      <w:tr>
        <w:trPr>
          <w:trHeight w:val="142"/>
        </w:trPr>
        <w:tc>
          <w:tcPr>
            <w:tcW w:w="960" w:type="dxa"/>
            <w:vAlign w:val="bottom"/>
          </w:tcPr>
          <w:p>
            <w:pPr>
              <w:spacing w:after="0"/>
              <w:rPr>
                <w:sz w:val="12"/>
                <w:szCs w:val="12"/>
                <w:color w:val="auto"/>
              </w:rPr>
            </w:pPr>
          </w:p>
        </w:tc>
        <w:tc>
          <w:tcPr>
            <w:tcW w:w="4300" w:type="dxa"/>
            <w:vAlign w:val="bottom"/>
          </w:tcPr>
          <w:p>
            <w:pPr>
              <w:spacing w:after="0"/>
              <w:rPr>
                <w:sz w:val="12"/>
                <w:szCs w:val="12"/>
                <w:color w:val="auto"/>
              </w:rPr>
            </w:pPr>
          </w:p>
        </w:tc>
        <w:tc>
          <w:tcPr>
            <w:tcW w:w="2980" w:type="dxa"/>
            <w:vAlign w:val="bottom"/>
          </w:tcPr>
          <w:p>
            <w:pPr>
              <w:spacing w:after="0"/>
              <w:rPr>
                <w:sz w:val="12"/>
                <w:szCs w:val="12"/>
                <w:color w:val="auto"/>
              </w:rPr>
            </w:pPr>
          </w:p>
        </w:tc>
        <w:tc>
          <w:tcPr>
            <w:tcW w:w="58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2"/>
              </w:rPr>
              <w:t>First</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83"/>
              </w:rPr>
              <w:t>Second (a)</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2"/>
              </w:rPr>
              <w:t>Third (a)</w:t>
            </w: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60" w:type="dxa"/>
            <w:vAlign w:val="bottom"/>
            <w:tcBorders>
              <w:bottom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89"/>
              </w:rPr>
              <w:t>Fourth (a)(2)</w:t>
            </w:r>
          </w:p>
        </w:tc>
        <w:tc>
          <w:tcPr>
            <w:tcW w:w="20" w:type="dxa"/>
            <w:vAlign w:val="bottom"/>
          </w:tcPr>
          <w:p>
            <w:pPr>
              <w:spacing w:after="0"/>
              <w:rPr>
                <w:sz w:val="12"/>
                <w:szCs w:val="12"/>
                <w:color w:val="auto"/>
              </w:rPr>
            </w:pPr>
          </w:p>
        </w:tc>
      </w:tr>
      <w:tr>
        <w:trPr>
          <w:trHeight w:val="210"/>
        </w:trPr>
        <w:tc>
          <w:tcPr>
            <w:tcW w:w="5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sales</w:t>
            </w:r>
          </w:p>
        </w:tc>
        <w:tc>
          <w:tcPr>
            <w:tcW w:w="36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$80,752</w:t>
            </w:r>
          </w:p>
        </w:tc>
        <w:tc>
          <w:tcPr>
            <w:tcW w:w="8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w w:val="99"/>
              </w:rPr>
              <w:t>$ 83,063</w:t>
            </w:r>
          </w:p>
        </w:tc>
        <w:tc>
          <w:tcPr>
            <w:tcW w:w="8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$82,743</w:t>
            </w:r>
          </w:p>
        </w:tc>
        <w:tc>
          <w:tcPr>
            <w:tcW w:w="18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88,649</w:t>
            </w:r>
          </w:p>
        </w:tc>
        <w:tc>
          <w:tcPr>
            <w:tcW w:w="20" w:type="dxa"/>
            <w:vAlign w:val="bottom"/>
          </w:tcPr>
          <w:p>
            <w:pPr>
              <w:spacing w:after="0"/>
              <w:rPr>
                <w:sz w:val="18"/>
                <w:szCs w:val="18"/>
                <w:color w:val="auto"/>
              </w:rPr>
            </w:pPr>
          </w:p>
        </w:tc>
      </w:tr>
      <w:tr>
        <w:trPr>
          <w:trHeight w:val="216"/>
        </w:trPr>
        <w:tc>
          <w:tcPr>
            <w:tcW w:w="5260" w:type="dxa"/>
            <w:vAlign w:val="bottom"/>
            <w:gridSpan w:val="2"/>
          </w:tcPr>
          <w:p>
            <w:pPr>
              <w:spacing w:after="0"/>
              <w:rPr>
                <w:sz w:val="20"/>
                <w:szCs w:val="20"/>
                <w:color w:val="auto"/>
              </w:rPr>
            </w:pPr>
            <w:r>
              <w:rPr>
                <w:rFonts w:ascii="Arial" w:cs="Arial" w:eastAsia="Arial" w:hAnsi="Arial"/>
                <w:sz w:val="18"/>
                <w:szCs w:val="18"/>
                <w:color w:val="auto"/>
              </w:rPr>
              <w:t>Gross profit</w:t>
            </w:r>
          </w:p>
        </w:tc>
        <w:tc>
          <w:tcPr>
            <w:tcW w:w="3680" w:type="dxa"/>
            <w:vAlign w:val="bottom"/>
            <w:gridSpan w:val="3"/>
          </w:tcPr>
          <w:p>
            <w:pPr>
              <w:jc w:val="right"/>
              <w:ind w:right="120"/>
              <w:spacing w:after="0"/>
              <w:rPr>
                <w:sz w:val="20"/>
                <w:szCs w:val="20"/>
                <w:color w:val="auto"/>
              </w:rPr>
            </w:pPr>
            <w:r>
              <w:rPr>
                <w:rFonts w:ascii="Arial" w:cs="Arial" w:eastAsia="Arial" w:hAnsi="Arial"/>
                <w:sz w:val="18"/>
                <w:szCs w:val="18"/>
                <w:color w:val="auto"/>
              </w:rPr>
              <w:t>21,296</w:t>
            </w:r>
          </w:p>
        </w:tc>
        <w:tc>
          <w:tcPr>
            <w:tcW w:w="820" w:type="dxa"/>
            <w:vAlign w:val="bottom"/>
            <w:gridSpan w:val="3"/>
          </w:tcPr>
          <w:p>
            <w:pPr>
              <w:jc w:val="right"/>
              <w:ind w:right="100"/>
              <w:spacing w:after="0"/>
              <w:rPr>
                <w:sz w:val="20"/>
                <w:szCs w:val="20"/>
                <w:color w:val="auto"/>
              </w:rPr>
            </w:pPr>
            <w:r>
              <w:rPr>
                <w:rFonts w:ascii="Arial" w:cs="Arial" w:eastAsia="Arial" w:hAnsi="Arial"/>
                <w:sz w:val="18"/>
                <w:szCs w:val="18"/>
                <w:color w:val="auto"/>
              </w:rPr>
              <w:t>22,150</w:t>
            </w:r>
          </w:p>
        </w:tc>
        <w:tc>
          <w:tcPr>
            <w:tcW w:w="860" w:type="dxa"/>
            <w:vAlign w:val="bottom"/>
            <w:gridSpan w:val="3"/>
          </w:tcPr>
          <w:p>
            <w:pPr>
              <w:jc w:val="right"/>
              <w:ind w:right="180"/>
              <w:spacing w:after="0"/>
              <w:rPr>
                <w:sz w:val="20"/>
                <w:szCs w:val="20"/>
                <w:color w:val="auto"/>
              </w:rPr>
            </w:pPr>
            <w:r>
              <w:rPr>
                <w:rFonts w:ascii="Arial" w:cs="Arial" w:eastAsia="Arial" w:hAnsi="Arial"/>
                <w:sz w:val="18"/>
                <w:szCs w:val="18"/>
                <w:color w:val="auto"/>
              </w:rPr>
              <w:t>25,346</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29,572</w:t>
            </w:r>
          </w:p>
        </w:tc>
        <w:tc>
          <w:tcPr>
            <w:tcW w:w="20" w:type="dxa"/>
            <w:vAlign w:val="bottom"/>
          </w:tcPr>
          <w:p>
            <w:pPr>
              <w:spacing w:after="0"/>
              <w:rPr>
                <w:sz w:val="18"/>
                <w:szCs w:val="18"/>
                <w:color w:val="auto"/>
              </w:rPr>
            </w:pPr>
          </w:p>
        </w:tc>
      </w:tr>
      <w:tr>
        <w:trPr>
          <w:trHeight w:val="216"/>
        </w:trPr>
        <w:tc>
          <w:tcPr>
            <w:tcW w:w="5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w:t>
            </w:r>
          </w:p>
        </w:tc>
        <w:tc>
          <w:tcPr>
            <w:tcW w:w="36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2,364</w:t>
            </w:r>
          </w:p>
        </w:tc>
        <w:tc>
          <w:tcPr>
            <w:tcW w:w="8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2,526</w:t>
            </w:r>
          </w:p>
        </w:tc>
        <w:tc>
          <w:tcPr>
            <w:tcW w:w="8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2,857</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2,067</w:t>
            </w:r>
          </w:p>
        </w:tc>
        <w:tc>
          <w:tcPr>
            <w:tcW w:w="20" w:type="dxa"/>
            <w:vAlign w:val="bottom"/>
          </w:tcPr>
          <w:p>
            <w:pPr>
              <w:spacing w:after="0"/>
              <w:rPr>
                <w:sz w:val="18"/>
                <w:szCs w:val="18"/>
                <w:color w:val="auto"/>
              </w:rPr>
            </w:pPr>
          </w:p>
        </w:tc>
      </w:tr>
      <w:tr>
        <w:trPr>
          <w:trHeight w:val="216"/>
        </w:trPr>
        <w:tc>
          <w:tcPr>
            <w:tcW w:w="5260" w:type="dxa"/>
            <w:vAlign w:val="bottom"/>
            <w:gridSpan w:val="2"/>
          </w:tcPr>
          <w:p>
            <w:pPr>
              <w:ind w:left="440"/>
              <w:spacing w:after="0"/>
              <w:rPr>
                <w:sz w:val="20"/>
                <w:szCs w:val="20"/>
                <w:color w:val="auto"/>
              </w:rPr>
            </w:pPr>
            <w:r>
              <w:rPr>
                <w:rFonts w:ascii="Arial" w:cs="Arial" w:eastAsia="Arial" w:hAnsi="Arial"/>
                <w:sz w:val="18"/>
                <w:szCs w:val="18"/>
                <w:color w:val="auto"/>
              </w:rPr>
              <w:t>Basic earnings per share</w:t>
            </w:r>
          </w:p>
        </w:tc>
        <w:tc>
          <w:tcPr>
            <w:tcW w:w="3680" w:type="dxa"/>
            <w:vAlign w:val="bottom"/>
            <w:gridSpan w:val="3"/>
          </w:tcPr>
          <w:p>
            <w:pPr>
              <w:jc w:val="right"/>
              <w:ind w:right="120"/>
              <w:spacing w:after="0"/>
              <w:rPr>
                <w:sz w:val="20"/>
                <w:szCs w:val="20"/>
                <w:color w:val="auto"/>
              </w:rPr>
            </w:pPr>
            <w:r>
              <w:rPr>
                <w:rFonts w:ascii="Arial" w:cs="Arial" w:eastAsia="Arial" w:hAnsi="Arial"/>
                <w:sz w:val="18"/>
                <w:szCs w:val="18"/>
                <w:color w:val="auto"/>
              </w:rPr>
              <w:t>0.20</w:t>
            </w:r>
          </w:p>
        </w:tc>
        <w:tc>
          <w:tcPr>
            <w:tcW w:w="820" w:type="dxa"/>
            <w:vAlign w:val="bottom"/>
            <w:gridSpan w:val="3"/>
          </w:tcPr>
          <w:p>
            <w:pPr>
              <w:jc w:val="right"/>
              <w:ind w:right="100"/>
              <w:spacing w:after="0"/>
              <w:rPr>
                <w:sz w:val="20"/>
                <w:szCs w:val="20"/>
                <w:color w:val="auto"/>
              </w:rPr>
            </w:pPr>
            <w:r>
              <w:rPr>
                <w:rFonts w:ascii="Arial" w:cs="Arial" w:eastAsia="Arial" w:hAnsi="Arial"/>
                <w:sz w:val="18"/>
                <w:szCs w:val="18"/>
                <w:color w:val="auto"/>
              </w:rPr>
              <w:t>0.21</w:t>
            </w:r>
          </w:p>
        </w:tc>
        <w:tc>
          <w:tcPr>
            <w:tcW w:w="860" w:type="dxa"/>
            <w:vAlign w:val="bottom"/>
            <w:gridSpan w:val="3"/>
          </w:tcPr>
          <w:p>
            <w:pPr>
              <w:jc w:val="right"/>
              <w:ind w:right="180"/>
              <w:spacing w:after="0"/>
              <w:rPr>
                <w:sz w:val="20"/>
                <w:szCs w:val="20"/>
                <w:color w:val="auto"/>
              </w:rPr>
            </w:pPr>
            <w:r>
              <w:rPr>
                <w:rFonts w:ascii="Arial" w:cs="Arial" w:eastAsia="Arial" w:hAnsi="Arial"/>
                <w:sz w:val="18"/>
                <w:szCs w:val="18"/>
                <w:color w:val="auto"/>
              </w:rPr>
              <w:t>0.24</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0.18</w:t>
            </w:r>
          </w:p>
        </w:tc>
        <w:tc>
          <w:tcPr>
            <w:tcW w:w="20" w:type="dxa"/>
            <w:vAlign w:val="bottom"/>
          </w:tcPr>
          <w:p>
            <w:pPr>
              <w:spacing w:after="0"/>
              <w:rPr>
                <w:sz w:val="18"/>
                <w:szCs w:val="18"/>
                <w:color w:val="auto"/>
              </w:rPr>
            </w:pPr>
          </w:p>
        </w:tc>
      </w:tr>
      <w:tr>
        <w:trPr>
          <w:trHeight w:val="216"/>
        </w:trPr>
        <w:tc>
          <w:tcPr>
            <w:tcW w:w="52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Diluted earnings per share</w:t>
            </w:r>
          </w:p>
        </w:tc>
        <w:tc>
          <w:tcPr>
            <w:tcW w:w="36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0.20</w:t>
            </w:r>
          </w:p>
        </w:tc>
        <w:tc>
          <w:tcPr>
            <w:tcW w:w="8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0.21</w:t>
            </w:r>
          </w:p>
        </w:tc>
        <w:tc>
          <w:tcPr>
            <w:tcW w:w="8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0.24</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0.18</w:t>
            </w:r>
          </w:p>
        </w:tc>
        <w:tc>
          <w:tcPr>
            <w:tcW w:w="20" w:type="dxa"/>
            <w:vAlign w:val="bottom"/>
          </w:tcPr>
          <w:p>
            <w:pPr>
              <w:spacing w:after="0"/>
              <w:rPr>
                <w:sz w:val="18"/>
                <w:szCs w:val="18"/>
                <w:color w:val="auto"/>
              </w:rPr>
            </w:pPr>
          </w:p>
        </w:tc>
      </w:tr>
      <w:tr>
        <w:trPr>
          <w:trHeight w:val="365"/>
        </w:trPr>
        <w:tc>
          <w:tcPr>
            <w:tcW w:w="960" w:type="dxa"/>
            <w:vAlign w:val="bottom"/>
          </w:tcPr>
          <w:p>
            <w:pPr>
              <w:spacing w:after="0"/>
              <w:rPr>
                <w:sz w:val="24"/>
                <w:szCs w:val="24"/>
                <w:color w:val="auto"/>
              </w:rPr>
            </w:pPr>
          </w:p>
        </w:tc>
        <w:tc>
          <w:tcPr>
            <w:tcW w:w="430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b w:val="1"/>
                <w:bCs w:val="1"/>
                <w:color w:val="auto"/>
                <w:w w:val="86"/>
              </w:rPr>
              <w:t>2006 Previously Reported</w:t>
            </w:r>
          </w:p>
        </w:tc>
        <w:tc>
          <w:tcPr>
            <w:tcW w:w="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r>
      <w:tr>
        <w:trPr>
          <w:trHeight w:val="142"/>
        </w:trPr>
        <w:tc>
          <w:tcPr>
            <w:tcW w:w="960" w:type="dxa"/>
            <w:vAlign w:val="bottom"/>
          </w:tcPr>
          <w:p>
            <w:pPr>
              <w:spacing w:after="0"/>
              <w:rPr>
                <w:sz w:val="12"/>
                <w:szCs w:val="12"/>
                <w:color w:val="auto"/>
              </w:rPr>
            </w:pPr>
          </w:p>
        </w:tc>
        <w:tc>
          <w:tcPr>
            <w:tcW w:w="4300" w:type="dxa"/>
            <w:vAlign w:val="bottom"/>
          </w:tcPr>
          <w:p>
            <w:pPr>
              <w:spacing w:after="0"/>
              <w:rPr>
                <w:sz w:val="12"/>
                <w:szCs w:val="12"/>
                <w:color w:val="auto"/>
              </w:rPr>
            </w:pPr>
          </w:p>
        </w:tc>
        <w:tc>
          <w:tcPr>
            <w:tcW w:w="2980" w:type="dxa"/>
            <w:vAlign w:val="bottom"/>
          </w:tcPr>
          <w:p>
            <w:pPr>
              <w:spacing w:after="0"/>
              <w:rPr>
                <w:sz w:val="12"/>
                <w:szCs w:val="12"/>
                <w:color w:val="auto"/>
              </w:rPr>
            </w:pPr>
          </w:p>
        </w:tc>
        <w:tc>
          <w:tcPr>
            <w:tcW w:w="58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2"/>
              </w:rPr>
              <w:t>First</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82"/>
              </w:rPr>
              <w:t>Second</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7"/>
              </w:rPr>
              <w:t>Third</w:t>
            </w: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94"/>
              <w:spacing w:after="0" w:line="142" w:lineRule="exact"/>
              <w:rPr>
                <w:sz w:val="20"/>
                <w:szCs w:val="20"/>
                <w:color w:val="auto"/>
              </w:rPr>
            </w:pPr>
            <w:r>
              <w:rPr>
                <w:rFonts w:ascii="Arial" w:cs="Arial" w:eastAsia="Arial" w:hAnsi="Arial"/>
                <w:sz w:val="14"/>
                <w:szCs w:val="14"/>
                <w:b w:val="1"/>
                <w:bCs w:val="1"/>
                <w:color w:val="auto"/>
                <w:w w:val="94"/>
              </w:rPr>
              <w:t>Fourth</w:t>
            </w:r>
          </w:p>
        </w:tc>
        <w:tc>
          <w:tcPr>
            <w:tcW w:w="20" w:type="dxa"/>
            <w:vAlign w:val="bottom"/>
          </w:tcPr>
          <w:p>
            <w:pPr>
              <w:spacing w:after="0"/>
              <w:rPr>
                <w:sz w:val="12"/>
                <w:szCs w:val="12"/>
                <w:color w:val="auto"/>
              </w:rPr>
            </w:pPr>
          </w:p>
        </w:tc>
      </w:tr>
      <w:tr>
        <w:trPr>
          <w:trHeight w:val="210"/>
        </w:trPr>
        <w:tc>
          <w:tcPr>
            <w:tcW w:w="5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sales</w:t>
            </w:r>
          </w:p>
        </w:tc>
        <w:tc>
          <w:tcPr>
            <w:tcW w:w="36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$86,489</w:t>
            </w:r>
          </w:p>
        </w:tc>
        <w:tc>
          <w:tcPr>
            <w:tcW w:w="8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w w:val="99"/>
              </w:rPr>
              <w:t>$ 87,663</w:t>
            </w:r>
          </w:p>
        </w:tc>
        <w:tc>
          <w:tcPr>
            <w:tcW w:w="8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$77,560</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N/A</w:t>
            </w:r>
          </w:p>
        </w:tc>
        <w:tc>
          <w:tcPr>
            <w:tcW w:w="20" w:type="dxa"/>
            <w:vAlign w:val="bottom"/>
          </w:tcPr>
          <w:p>
            <w:pPr>
              <w:spacing w:after="0"/>
              <w:rPr>
                <w:sz w:val="18"/>
                <w:szCs w:val="18"/>
                <w:color w:val="auto"/>
              </w:rPr>
            </w:pPr>
          </w:p>
        </w:tc>
      </w:tr>
      <w:tr>
        <w:trPr>
          <w:trHeight w:val="216"/>
        </w:trPr>
        <w:tc>
          <w:tcPr>
            <w:tcW w:w="5260" w:type="dxa"/>
            <w:vAlign w:val="bottom"/>
            <w:gridSpan w:val="2"/>
          </w:tcPr>
          <w:p>
            <w:pPr>
              <w:spacing w:after="0"/>
              <w:rPr>
                <w:sz w:val="20"/>
                <w:szCs w:val="20"/>
                <w:color w:val="auto"/>
              </w:rPr>
            </w:pPr>
            <w:r>
              <w:rPr>
                <w:rFonts w:ascii="Arial" w:cs="Arial" w:eastAsia="Arial" w:hAnsi="Arial"/>
                <w:sz w:val="18"/>
                <w:szCs w:val="18"/>
                <w:color w:val="auto"/>
              </w:rPr>
              <w:t>Gross profit</w:t>
            </w:r>
          </w:p>
        </w:tc>
        <w:tc>
          <w:tcPr>
            <w:tcW w:w="3680" w:type="dxa"/>
            <w:vAlign w:val="bottom"/>
            <w:gridSpan w:val="3"/>
          </w:tcPr>
          <w:p>
            <w:pPr>
              <w:jc w:val="right"/>
              <w:ind w:right="120"/>
              <w:spacing w:after="0"/>
              <w:rPr>
                <w:sz w:val="20"/>
                <w:szCs w:val="20"/>
                <w:color w:val="auto"/>
              </w:rPr>
            </w:pPr>
            <w:r>
              <w:rPr>
                <w:rFonts w:ascii="Arial" w:cs="Arial" w:eastAsia="Arial" w:hAnsi="Arial"/>
                <w:sz w:val="18"/>
                <w:szCs w:val="18"/>
                <w:color w:val="auto"/>
              </w:rPr>
              <w:t>27,675</w:t>
            </w:r>
          </w:p>
        </w:tc>
        <w:tc>
          <w:tcPr>
            <w:tcW w:w="820" w:type="dxa"/>
            <w:vAlign w:val="bottom"/>
            <w:gridSpan w:val="3"/>
          </w:tcPr>
          <w:p>
            <w:pPr>
              <w:jc w:val="right"/>
              <w:ind w:right="100"/>
              <w:spacing w:after="0"/>
              <w:rPr>
                <w:sz w:val="20"/>
                <w:szCs w:val="20"/>
                <w:color w:val="auto"/>
              </w:rPr>
            </w:pPr>
            <w:r>
              <w:rPr>
                <w:rFonts w:ascii="Arial" w:cs="Arial" w:eastAsia="Arial" w:hAnsi="Arial"/>
                <w:sz w:val="18"/>
                <w:szCs w:val="18"/>
                <w:color w:val="auto"/>
              </w:rPr>
              <w:t>27,988</w:t>
            </w:r>
          </w:p>
        </w:tc>
        <w:tc>
          <w:tcPr>
            <w:tcW w:w="860" w:type="dxa"/>
            <w:vAlign w:val="bottom"/>
            <w:gridSpan w:val="3"/>
          </w:tcPr>
          <w:p>
            <w:pPr>
              <w:jc w:val="right"/>
              <w:ind w:right="180"/>
              <w:spacing w:after="0"/>
              <w:rPr>
                <w:sz w:val="20"/>
                <w:szCs w:val="20"/>
                <w:color w:val="auto"/>
              </w:rPr>
            </w:pPr>
            <w:r>
              <w:rPr>
                <w:rFonts w:ascii="Arial" w:cs="Arial" w:eastAsia="Arial" w:hAnsi="Arial"/>
                <w:sz w:val="18"/>
                <w:szCs w:val="18"/>
                <w:color w:val="auto"/>
              </w:rPr>
              <w:t>23,961</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N/A</w:t>
            </w:r>
          </w:p>
        </w:tc>
        <w:tc>
          <w:tcPr>
            <w:tcW w:w="20" w:type="dxa"/>
            <w:vAlign w:val="bottom"/>
          </w:tcPr>
          <w:p>
            <w:pPr>
              <w:spacing w:after="0"/>
              <w:rPr>
                <w:sz w:val="18"/>
                <w:szCs w:val="18"/>
                <w:color w:val="auto"/>
              </w:rPr>
            </w:pPr>
          </w:p>
        </w:tc>
      </w:tr>
      <w:tr>
        <w:trPr>
          <w:trHeight w:val="216"/>
        </w:trPr>
        <w:tc>
          <w:tcPr>
            <w:tcW w:w="5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w:t>
            </w:r>
          </w:p>
        </w:tc>
        <w:tc>
          <w:tcPr>
            <w:tcW w:w="36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2,310</w:t>
            </w:r>
          </w:p>
        </w:tc>
        <w:tc>
          <w:tcPr>
            <w:tcW w:w="8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2,885</w:t>
            </w:r>
          </w:p>
        </w:tc>
        <w:tc>
          <w:tcPr>
            <w:tcW w:w="8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433</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N/A</w:t>
            </w:r>
          </w:p>
        </w:tc>
        <w:tc>
          <w:tcPr>
            <w:tcW w:w="20" w:type="dxa"/>
            <w:vAlign w:val="bottom"/>
          </w:tcPr>
          <w:p>
            <w:pPr>
              <w:spacing w:after="0"/>
              <w:rPr>
                <w:sz w:val="18"/>
                <w:szCs w:val="18"/>
                <w:color w:val="auto"/>
              </w:rPr>
            </w:pPr>
          </w:p>
        </w:tc>
      </w:tr>
      <w:tr>
        <w:trPr>
          <w:trHeight w:val="216"/>
        </w:trPr>
        <w:tc>
          <w:tcPr>
            <w:tcW w:w="5260" w:type="dxa"/>
            <w:vAlign w:val="bottom"/>
            <w:gridSpan w:val="2"/>
          </w:tcPr>
          <w:p>
            <w:pPr>
              <w:ind w:left="440"/>
              <w:spacing w:after="0"/>
              <w:rPr>
                <w:sz w:val="20"/>
                <w:szCs w:val="20"/>
                <w:color w:val="auto"/>
              </w:rPr>
            </w:pPr>
            <w:r>
              <w:rPr>
                <w:rFonts w:ascii="Arial" w:cs="Arial" w:eastAsia="Arial" w:hAnsi="Arial"/>
                <w:sz w:val="18"/>
                <w:szCs w:val="18"/>
                <w:color w:val="auto"/>
              </w:rPr>
              <w:t>Basic earnings per share</w:t>
            </w:r>
          </w:p>
        </w:tc>
        <w:tc>
          <w:tcPr>
            <w:tcW w:w="3680" w:type="dxa"/>
            <w:vAlign w:val="bottom"/>
            <w:gridSpan w:val="3"/>
          </w:tcPr>
          <w:p>
            <w:pPr>
              <w:jc w:val="right"/>
              <w:ind w:right="120"/>
              <w:spacing w:after="0"/>
              <w:rPr>
                <w:sz w:val="20"/>
                <w:szCs w:val="20"/>
                <w:color w:val="auto"/>
              </w:rPr>
            </w:pPr>
            <w:r>
              <w:rPr>
                <w:rFonts w:ascii="Arial" w:cs="Arial" w:eastAsia="Arial" w:hAnsi="Arial"/>
                <w:sz w:val="18"/>
                <w:szCs w:val="18"/>
                <w:color w:val="auto"/>
              </w:rPr>
              <w:t>0.20</w:t>
            </w:r>
          </w:p>
        </w:tc>
        <w:tc>
          <w:tcPr>
            <w:tcW w:w="820" w:type="dxa"/>
            <w:vAlign w:val="bottom"/>
            <w:gridSpan w:val="3"/>
          </w:tcPr>
          <w:p>
            <w:pPr>
              <w:jc w:val="right"/>
              <w:ind w:right="100"/>
              <w:spacing w:after="0"/>
              <w:rPr>
                <w:sz w:val="20"/>
                <w:szCs w:val="20"/>
                <w:color w:val="auto"/>
              </w:rPr>
            </w:pPr>
            <w:r>
              <w:rPr>
                <w:rFonts w:ascii="Arial" w:cs="Arial" w:eastAsia="Arial" w:hAnsi="Arial"/>
                <w:sz w:val="18"/>
                <w:szCs w:val="18"/>
                <w:color w:val="auto"/>
              </w:rPr>
              <w:t>0.24</w:t>
            </w:r>
          </w:p>
        </w:tc>
        <w:tc>
          <w:tcPr>
            <w:tcW w:w="860" w:type="dxa"/>
            <w:vAlign w:val="bottom"/>
            <w:gridSpan w:val="3"/>
          </w:tcPr>
          <w:p>
            <w:pPr>
              <w:jc w:val="right"/>
              <w:ind w:right="180"/>
              <w:spacing w:after="0"/>
              <w:rPr>
                <w:sz w:val="20"/>
                <w:szCs w:val="20"/>
                <w:color w:val="auto"/>
              </w:rPr>
            </w:pPr>
            <w:r>
              <w:rPr>
                <w:rFonts w:ascii="Arial" w:cs="Arial" w:eastAsia="Arial" w:hAnsi="Arial"/>
                <w:sz w:val="18"/>
                <w:szCs w:val="18"/>
                <w:color w:val="auto"/>
              </w:rPr>
              <w:t>0.04</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N/A</w:t>
            </w:r>
          </w:p>
        </w:tc>
        <w:tc>
          <w:tcPr>
            <w:tcW w:w="20" w:type="dxa"/>
            <w:vAlign w:val="bottom"/>
          </w:tcPr>
          <w:p>
            <w:pPr>
              <w:spacing w:after="0"/>
              <w:rPr>
                <w:sz w:val="18"/>
                <w:szCs w:val="18"/>
                <w:color w:val="auto"/>
              </w:rPr>
            </w:pPr>
          </w:p>
        </w:tc>
      </w:tr>
      <w:tr>
        <w:trPr>
          <w:trHeight w:val="216"/>
        </w:trPr>
        <w:tc>
          <w:tcPr>
            <w:tcW w:w="52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Diluted earnings per share</w:t>
            </w:r>
          </w:p>
        </w:tc>
        <w:tc>
          <w:tcPr>
            <w:tcW w:w="36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0.19</w:t>
            </w:r>
          </w:p>
        </w:tc>
        <w:tc>
          <w:tcPr>
            <w:tcW w:w="8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0.24</w:t>
            </w:r>
          </w:p>
        </w:tc>
        <w:tc>
          <w:tcPr>
            <w:tcW w:w="8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0.04</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N/A</w:t>
            </w:r>
          </w:p>
        </w:tc>
        <w:tc>
          <w:tcPr>
            <w:tcW w:w="20" w:type="dxa"/>
            <w:vAlign w:val="bottom"/>
          </w:tcPr>
          <w:p>
            <w:pPr>
              <w:spacing w:after="0"/>
              <w:rPr>
                <w:sz w:val="18"/>
                <w:szCs w:val="18"/>
                <w:color w:val="auto"/>
              </w:rPr>
            </w:pPr>
          </w:p>
        </w:tc>
      </w:tr>
      <w:tr>
        <w:trPr>
          <w:trHeight w:val="365"/>
        </w:trPr>
        <w:tc>
          <w:tcPr>
            <w:tcW w:w="960" w:type="dxa"/>
            <w:vAlign w:val="bottom"/>
          </w:tcPr>
          <w:p>
            <w:pPr>
              <w:spacing w:after="0"/>
              <w:rPr>
                <w:sz w:val="24"/>
                <w:szCs w:val="24"/>
                <w:color w:val="auto"/>
              </w:rPr>
            </w:pPr>
          </w:p>
        </w:tc>
        <w:tc>
          <w:tcPr>
            <w:tcW w:w="430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b w:val="1"/>
                <w:bCs w:val="1"/>
                <w:color w:val="auto"/>
                <w:w w:val="86"/>
              </w:rPr>
              <w:t>2005 Previously Reported</w:t>
            </w:r>
          </w:p>
        </w:tc>
        <w:tc>
          <w:tcPr>
            <w:tcW w:w="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r>
      <w:tr>
        <w:trPr>
          <w:trHeight w:val="142"/>
        </w:trPr>
        <w:tc>
          <w:tcPr>
            <w:tcW w:w="960" w:type="dxa"/>
            <w:vAlign w:val="bottom"/>
          </w:tcPr>
          <w:p>
            <w:pPr>
              <w:spacing w:after="0"/>
              <w:rPr>
                <w:sz w:val="12"/>
                <w:szCs w:val="12"/>
                <w:color w:val="auto"/>
              </w:rPr>
            </w:pPr>
          </w:p>
        </w:tc>
        <w:tc>
          <w:tcPr>
            <w:tcW w:w="4300" w:type="dxa"/>
            <w:vAlign w:val="bottom"/>
          </w:tcPr>
          <w:p>
            <w:pPr>
              <w:spacing w:after="0"/>
              <w:rPr>
                <w:sz w:val="12"/>
                <w:szCs w:val="12"/>
                <w:color w:val="auto"/>
              </w:rPr>
            </w:pPr>
          </w:p>
        </w:tc>
        <w:tc>
          <w:tcPr>
            <w:tcW w:w="2980" w:type="dxa"/>
            <w:vAlign w:val="bottom"/>
          </w:tcPr>
          <w:p>
            <w:pPr>
              <w:spacing w:after="0"/>
              <w:rPr>
                <w:sz w:val="12"/>
                <w:szCs w:val="12"/>
                <w:color w:val="auto"/>
              </w:rPr>
            </w:pPr>
          </w:p>
        </w:tc>
        <w:tc>
          <w:tcPr>
            <w:tcW w:w="58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2"/>
              </w:rPr>
              <w:t>First</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82"/>
              </w:rPr>
              <w:t>Second</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7"/>
              </w:rPr>
              <w:t>Third</w:t>
            </w: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94"/>
              <w:spacing w:after="0" w:line="142" w:lineRule="exact"/>
              <w:rPr>
                <w:sz w:val="20"/>
                <w:szCs w:val="20"/>
                <w:color w:val="auto"/>
              </w:rPr>
            </w:pPr>
            <w:r>
              <w:rPr>
                <w:rFonts w:ascii="Arial" w:cs="Arial" w:eastAsia="Arial" w:hAnsi="Arial"/>
                <w:sz w:val="14"/>
                <w:szCs w:val="14"/>
                <w:b w:val="1"/>
                <w:bCs w:val="1"/>
                <w:color w:val="auto"/>
                <w:w w:val="94"/>
              </w:rPr>
              <w:t>Fourth</w:t>
            </w:r>
          </w:p>
        </w:tc>
        <w:tc>
          <w:tcPr>
            <w:tcW w:w="20" w:type="dxa"/>
            <w:vAlign w:val="bottom"/>
          </w:tcPr>
          <w:p>
            <w:pPr>
              <w:spacing w:after="0"/>
              <w:rPr>
                <w:sz w:val="12"/>
                <w:szCs w:val="12"/>
                <w:color w:val="auto"/>
              </w:rPr>
            </w:pPr>
          </w:p>
        </w:tc>
      </w:tr>
      <w:tr>
        <w:trPr>
          <w:trHeight w:val="210"/>
        </w:trPr>
        <w:tc>
          <w:tcPr>
            <w:tcW w:w="5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sales</w:t>
            </w:r>
          </w:p>
        </w:tc>
        <w:tc>
          <w:tcPr>
            <w:tcW w:w="36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$80,752</w:t>
            </w:r>
          </w:p>
        </w:tc>
        <w:tc>
          <w:tcPr>
            <w:tcW w:w="8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w w:val="99"/>
              </w:rPr>
              <w:t>$ 83,063</w:t>
            </w:r>
          </w:p>
        </w:tc>
        <w:tc>
          <w:tcPr>
            <w:tcW w:w="8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$82,743</w:t>
            </w:r>
          </w:p>
        </w:tc>
        <w:tc>
          <w:tcPr>
            <w:tcW w:w="18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88,649</w:t>
            </w:r>
          </w:p>
        </w:tc>
        <w:tc>
          <w:tcPr>
            <w:tcW w:w="20" w:type="dxa"/>
            <w:vAlign w:val="bottom"/>
          </w:tcPr>
          <w:p>
            <w:pPr>
              <w:spacing w:after="0"/>
              <w:rPr>
                <w:sz w:val="18"/>
                <w:szCs w:val="18"/>
                <w:color w:val="auto"/>
              </w:rPr>
            </w:pPr>
          </w:p>
        </w:tc>
      </w:tr>
      <w:tr>
        <w:trPr>
          <w:trHeight w:val="216"/>
        </w:trPr>
        <w:tc>
          <w:tcPr>
            <w:tcW w:w="5260" w:type="dxa"/>
            <w:vAlign w:val="bottom"/>
            <w:gridSpan w:val="2"/>
          </w:tcPr>
          <w:p>
            <w:pPr>
              <w:spacing w:after="0"/>
              <w:rPr>
                <w:sz w:val="20"/>
                <w:szCs w:val="20"/>
                <w:color w:val="auto"/>
              </w:rPr>
            </w:pPr>
            <w:r>
              <w:rPr>
                <w:rFonts w:ascii="Arial" w:cs="Arial" w:eastAsia="Arial" w:hAnsi="Arial"/>
                <w:sz w:val="18"/>
                <w:szCs w:val="18"/>
                <w:color w:val="auto"/>
              </w:rPr>
              <w:t>Gross profit</w:t>
            </w:r>
          </w:p>
        </w:tc>
        <w:tc>
          <w:tcPr>
            <w:tcW w:w="3680" w:type="dxa"/>
            <w:vAlign w:val="bottom"/>
            <w:gridSpan w:val="3"/>
          </w:tcPr>
          <w:p>
            <w:pPr>
              <w:jc w:val="right"/>
              <w:ind w:right="120"/>
              <w:spacing w:after="0"/>
              <w:rPr>
                <w:sz w:val="20"/>
                <w:szCs w:val="20"/>
                <w:color w:val="auto"/>
              </w:rPr>
            </w:pPr>
            <w:r>
              <w:rPr>
                <w:rFonts w:ascii="Arial" w:cs="Arial" w:eastAsia="Arial" w:hAnsi="Arial"/>
                <w:sz w:val="18"/>
                <w:szCs w:val="18"/>
                <w:color w:val="auto"/>
              </w:rPr>
              <w:t>21,296</w:t>
            </w:r>
          </w:p>
        </w:tc>
        <w:tc>
          <w:tcPr>
            <w:tcW w:w="820" w:type="dxa"/>
            <w:vAlign w:val="bottom"/>
            <w:gridSpan w:val="3"/>
          </w:tcPr>
          <w:p>
            <w:pPr>
              <w:jc w:val="right"/>
              <w:ind w:right="100"/>
              <w:spacing w:after="0"/>
              <w:rPr>
                <w:sz w:val="20"/>
                <w:szCs w:val="20"/>
                <w:color w:val="auto"/>
              </w:rPr>
            </w:pPr>
            <w:r>
              <w:rPr>
                <w:rFonts w:ascii="Arial" w:cs="Arial" w:eastAsia="Arial" w:hAnsi="Arial"/>
                <w:sz w:val="18"/>
                <w:szCs w:val="18"/>
                <w:color w:val="auto"/>
              </w:rPr>
              <w:t>22,150</w:t>
            </w:r>
          </w:p>
        </w:tc>
        <w:tc>
          <w:tcPr>
            <w:tcW w:w="860" w:type="dxa"/>
            <w:vAlign w:val="bottom"/>
            <w:gridSpan w:val="3"/>
          </w:tcPr>
          <w:p>
            <w:pPr>
              <w:jc w:val="right"/>
              <w:ind w:right="180"/>
              <w:spacing w:after="0"/>
              <w:rPr>
                <w:sz w:val="20"/>
                <w:szCs w:val="20"/>
                <w:color w:val="auto"/>
              </w:rPr>
            </w:pPr>
            <w:r>
              <w:rPr>
                <w:rFonts w:ascii="Arial" w:cs="Arial" w:eastAsia="Arial" w:hAnsi="Arial"/>
                <w:sz w:val="18"/>
                <w:szCs w:val="18"/>
                <w:color w:val="auto"/>
              </w:rPr>
              <w:t>25,467</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29,904</w:t>
            </w:r>
          </w:p>
        </w:tc>
        <w:tc>
          <w:tcPr>
            <w:tcW w:w="20" w:type="dxa"/>
            <w:vAlign w:val="bottom"/>
          </w:tcPr>
          <w:p>
            <w:pPr>
              <w:spacing w:after="0"/>
              <w:rPr>
                <w:sz w:val="18"/>
                <w:szCs w:val="18"/>
                <w:color w:val="auto"/>
              </w:rPr>
            </w:pPr>
          </w:p>
        </w:tc>
      </w:tr>
      <w:tr>
        <w:trPr>
          <w:trHeight w:val="216"/>
        </w:trPr>
        <w:tc>
          <w:tcPr>
            <w:tcW w:w="5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w:t>
            </w:r>
          </w:p>
        </w:tc>
        <w:tc>
          <w:tcPr>
            <w:tcW w:w="36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2,364</w:t>
            </w:r>
          </w:p>
        </w:tc>
        <w:tc>
          <w:tcPr>
            <w:tcW w:w="8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1,047</w:t>
            </w:r>
          </w:p>
        </w:tc>
        <w:tc>
          <w:tcPr>
            <w:tcW w:w="8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1,886</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2,266</w:t>
            </w:r>
          </w:p>
        </w:tc>
        <w:tc>
          <w:tcPr>
            <w:tcW w:w="20" w:type="dxa"/>
            <w:vAlign w:val="bottom"/>
          </w:tcPr>
          <w:p>
            <w:pPr>
              <w:spacing w:after="0"/>
              <w:rPr>
                <w:sz w:val="18"/>
                <w:szCs w:val="18"/>
                <w:color w:val="auto"/>
              </w:rPr>
            </w:pPr>
          </w:p>
        </w:tc>
      </w:tr>
      <w:tr>
        <w:trPr>
          <w:trHeight w:val="216"/>
        </w:trPr>
        <w:tc>
          <w:tcPr>
            <w:tcW w:w="5260" w:type="dxa"/>
            <w:vAlign w:val="bottom"/>
            <w:gridSpan w:val="2"/>
          </w:tcPr>
          <w:p>
            <w:pPr>
              <w:ind w:left="440"/>
              <w:spacing w:after="0"/>
              <w:rPr>
                <w:sz w:val="20"/>
                <w:szCs w:val="20"/>
                <w:color w:val="auto"/>
              </w:rPr>
            </w:pPr>
            <w:r>
              <w:rPr>
                <w:rFonts w:ascii="Arial" w:cs="Arial" w:eastAsia="Arial" w:hAnsi="Arial"/>
                <w:sz w:val="18"/>
                <w:szCs w:val="18"/>
                <w:color w:val="auto"/>
              </w:rPr>
              <w:t>Basic earnings per share</w:t>
            </w:r>
          </w:p>
        </w:tc>
        <w:tc>
          <w:tcPr>
            <w:tcW w:w="3680" w:type="dxa"/>
            <w:vAlign w:val="bottom"/>
            <w:gridSpan w:val="3"/>
          </w:tcPr>
          <w:p>
            <w:pPr>
              <w:jc w:val="right"/>
              <w:ind w:right="120"/>
              <w:spacing w:after="0"/>
              <w:rPr>
                <w:sz w:val="20"/>
                <w:szCs w:val="20"/>
                <w:color w:val="auto"/>
              </w:rPr>
            </w:pPr>
            <w:r>
              <w:rPr>
                <w:rFonts w:ascii="Arial" w:cs="Arial" w:eastAsia="Arial" w:hAnsi="Arial"/>
                <w:sz w:val="18"/>
                <w:szCs w:val="18"/>
                <w:color w:val="auto"/>
              </w:rPr>
              <w:t>0.20</w:t>
            </w:r>
          </w:p>
        </w:tc>
        <w:tc>
          <w:tcPr>
            <w:tcW w:w="820" w:type="dxa"/>
            <w:vAlign w:val="bottom"/>
            <w:gridSpan w:val="3"/>
          </w:tcPr>
          <w:p>
            <w:pPr>
              <w:jc w:val="right"/>
              <w:ind w:right="100"/>
              <w:spacing w:after="0"/>
              <w:rPr>
                <w:sz w:val="20"/>
                <w:szCs w:val="20"/>
                <w:color w:val="auto"/>
              </w:rPr>
            </w:pPr>
            <w:r>
              <w:rPr>
                <w:rFonts w:ascii="Arial" w:cs="Arial" w:eastAsia="Arial" w:hAnsi="Arial"/>
                <w:sz w:val="18"/>
                <w:szCs w:val="18"/>
                <w:color w:val="auto"/>
              </w:rPr>
              <w:t>0.09</w:t>
            </w:r>
          </w:p>
        </w:tc>
        <w:tc>
          <w:tcPr>
            <w:tcW w:w="860" w:type="dxa"/>
            <w:vAlign w:val="bottom"/>
            <w:gridSpan w:val="3"/>
          </w:tcPr>
          <w:p>
            <w:pPr>
              <w:jc w:val="right"/>
              <w:ind w:right="180"/>
              <w:spacing w:after="0"/>
              <w:rPr>
                <w:sz w:val="20"/>
                <w:szCs w:val="20"/>
                <w:color w:val="auto"/>
              </w:rPr>
            </w:pPr>
            <w:r>
              <w:rPr>
                <w:rFonts w:ascii="Arial" w:cs="Arial" w:eastAsia="Arial" w:hAnsi="Arial"/>
                <w:sz w:val="18"/>
                <w:szCs w:val="18"/>
                <w:color w:val="auto"/>
              </w:rPr>
              <w:t>0.16</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0.19</w:t>
            </w:r>
          </w:p>
        </w:tc>
        <w:tc>
          <w:tcPr>
            <w:tcW w:w="20" w:type="dxa"/>
            <w:vAlign w:val="bottom"/>
          </w:tcPr>
          <w:p>
            <w:pPr>
              <w:spacing w:after="0"/>
              <w:rPr>
                <w:sz w:val="18"/>
                <w:szCs w:val="18"/>
                <w:color w:val="auto"/>
              </w:rPr>
            </w:pPr>
          </w:p>
        </w:tc>
      </w:tr>
      <w:tr>
        <w:trPr>
          <w:trHeight w:val="216"/>
        </w:trPr>
        <w:tc>
          <w:tcPr>
            <w:tcW w:w="52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Diluted earnings per share</w:t>
            </w:r>
          </w:p>
        </w:tc>
        <w:tc>
          <w:tcPr>
            <w:tcW w:w="36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0.20</w:t>
            </w:r>
          </w:p>
        </w:tc>
        <w:tc>
          <w:tcPr>
            <w:tcW w:w="8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0.09</w:t>
            </w:r>
          </w:p>
        </w:tc>
        <w:tc>
          <w:tcPr>
            <w:tcW w:w="8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0.16</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0.18</w:t>
            </w:r>
          </w:p>
        </w:tc>
        <w:tc>
          <w:tcPr>
            <w:tcW w:w="20" w:type="dxa"/>
            <w:vAlign w:val="bottom"/>
          </w:tcPr>
          <w:p>
            <w:pPr>
              <w:spacing w:after="0"/>
              <w:rPr>
                <w:sz w:val="18"/>
                <w:szCs w:val="18"/>
                <w:color w:val="auto"/>
              </w:rPr>
            </w:pPr>
          </w:p>
        </w:tc>
      </w:tr>
      <w:tr>
        <w:trPr>
          <w:trHeight w:val="108"/>
        </w:trPr>
        <w:tc>
          <w:tcPr>
            <w:tcW w:w="960" w:type="dxa"/>
            <w:vAlign w:val="bottom"/>
            <w:tcBorders>
              <w:bottom w:val="single" w:sz="8" w:color="auto"/>
            </w:tcBorders>
          </w:tcPr>
          <w:p>
            <w:pPr>
              <w:spacing w:after="0"/>
              <w:rPr>
                <w:sz w:val="9"/>
                <w:szCs w:val="9"/>
                <w:color w:val="auto"/>
              </w:rPr>
            </w:pPr>
          </w:p>
        </w:tc>
        <w:tc>
          <w:tcPr>
            <w:tcW w:w="4300" w:type="dxa"/>
            <w:vAlign w:val="bottom"/>
          </w:tcPr>
          <w:p>
            <w:pPr>
              <w:spacing w:after="0"/>
              <w:rPr>
                <w:sz w:val="9"/>
                <w:szCs w:val="9"/>
                <w:color w:val="auto"/>
              </w:rPr>
            </w:pPr>
          </w:p>
        </w:tc>
        <w:tc>
          <w:tcPr>
            <w:tcW w:w="298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tcPr>
          <w:p>
            <w:pPr>
              <w:spacing w:after="0"/>
              <w:rPr>
                <w:sz w:val="9"/>
                <w:szCs w:val="9"/>
                <w:color w:val="auto"/>
              </w:rPr>
            </w:pPr>
          </w:p>
        </w:tc>
        <w:tc>
          <w:tcPr>
            <w:tcW w:w="18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20" w:type="dxa"/>
            <w:vAlign w:val="bottom"/>
          </w:tcPr>
          <w:p>
            <w:pPr>
              <w:spacing w:after="0"/>
              <w:rPr>
                <w:sz w:val="9"/>
                <w:szCs w:val="9"/>
                <w:color w:val="auto"/>
              </w:rPr>
            </w:pPr>
          </w:p>
        </w:tc>
        <w:tc>
          <w:tcPr>
            <w:tcW w:w="20" w:type="dxa"/>
            <w:vAlign w:val="bottom"/>
          </w:tcPr>
          <w:p>
            <w:pPr>
              <w:spacing w:after="0"/>
              <w:rPr>
                <w:sz w:val="9"/>
                <w:szCs w:val="9"/>
                <w:color w:val="auto"/>
              </w:rPr>
            </w:pPr>
          </w:p>
        </w:tc>
      </w:tr>
    </w:tbl>
    <w:p>
      <w:pPr>
        <w:spacing w:after="0" w:line="100" w:lineRule="exact"/>
        <w:rPr>
          <w:sz w:val="20"/>
          <w:szCs w:val="20"/>
          <w:color w:val="auto"/>
        </w:rPr>
      </w:pPr>
    </w:p>
    <w:p>
      <w:pPr>
        <w:ind w:left="460" w:hanging="452"/>
        <w:spacing w:after="0"/>
        <w:tabs>
          <w:tab w:leader="none" w:pos="4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following table summarizes the restatement adjustments by quarter. Please refer to Note 2 for further details of the adjustments.</w:t>
      </w:r>
    </w:p>
    <w:p>
      <w:pPr>
        <w:spacing w:after="0" w:line="15" w:lineRule="exact"/>
        <w:rPr>
          <w:sz w:val="20"/>
          <w:szCs w:val="20"/>
          <w:color w:val="auto"/>
        </w:rPr>
      </w:pPr>
    </w:p>
    <w:p>
      <w:pPr>
        <w:ind w:left="460" w:right="160" w:hanging="452"/>
        <w:spacing w:after="0" w:line="281" w:lineRule="auto"/>
        <w:tabs>
          <w:tab w:leader="none" w:pos="460" w:val="left"/>
        </w:tabs>
        <w:numPr>
          <w:ilvl w:val="0"/>
          <w:numId w:val="27"/>
        </w:numPr>
        <w:rPr>
          <w:rFonts w:ascii="Arial" w:cs="Arial" w:eastAsia="Arial" w:hAnsi="Arial"/>
          <w:sz w:val="16"/>
          <w:szCs w:val="16"/>
          <w:color w:val="auto"/>
        </w:rPr>
      </w:pPr>
      <w:r>
        <w:rPr>
          <w:rFonts w:ascii="Arial" w:cs="Arial" w:eastAsia="Arial" w:hAnsi="Arial"/>
          <w:sz w:val="16"/>
          <w:szCs w:val="16"/>
          <w:color w:val="auto"/>
        </w:rPr>
        <w:t>Includes a liquidation of LIFO inventories that increased gross profit by $1,958 (See Note 4), a $1,359 impairment charge associated with the write-off of goodwill (See Note 8) and $1,549 of income associated with the Continued Dumping &amp; Subsidy Offset Act (See Note 7).</w:t>
      </w:r>
    </w:p>
    <w:p>
      <w:pPr>
        <w:spacing w:after="0" w:line="1" w:lineRule="exact"/>
        <w:rPr>
          <w:rFonts w:ascii="Arial" w:cs="Arial" w:eastAsia="Arial" w:hAnsi="Arial"/>
          <w:sz w:val="16"/>
          <w:szCs w:val="16"/>
          <w:color w:val="auto"/>
        </w:rPr>
      </w:pPr>
    </w:p>
    <w:p>
      <w:pPr>
        <w:ind w:left="460" w:hanging="452"/>
        <w:spacing w:after="0"/>
        <w:tabs>
          <w:tab w:leader="none" w:pos="4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Includes a liquidation of LIFO inventories that increased gross profit by $1,679 (See Note 4).</w:t>
      </w:r>
    </w:p>
    <w:p>
      <w:pPr>
        <w:spacing w:after="0" w:line="1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- 45</w:t>
      </w:r>
    </w:p>
    <w:p>
      <w:pPr>
        <w:sectPr>
          <w:pgSz w:w="11900" w:h="16838" w:orient="portrait"/>
          <w:cols w:equalWidth="0" w:num="1">
            <w:col w:w="11420"/>
          </w:cols>
          <w:pgMar w:left="240" w:top="459" w:right="239" w:bottom="1440" w:gutter="0" w:footer="0" w:header="0"/>
        </w:sectPr>
      </w:pPr>
    </w:p>
    <w:bookmarkStart w:id="64" w:name="page65"/>
    <w:bookmarkEnd w:id="6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Notes to Consolidated Financial Statements - </w:t>
      </w:r>
      <w:r>
        <w:rPr>
          <w:rFonts w:ascii="Arial" w:cs="Arial" w:eastAsia="Arial" w:hAnsi="Arial"/>
          <w:sz w:val="18"/>
          <w:szCs w:val="18"/>
          <w:color w:val="auto"/>
        </w:rPr>
        <w:t>Continued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188"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328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9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5"/>
              </w:rPr>
              <w:t>Increased</w:t>
            </w:r>
          </w:p>
        </w:tc>
        <w:tc>
          <w:tcPr>
            <w:tcW w:w="260" w:type="dxa"/>
            <w:vAlign w:val="bottom"/>
          </w:tcPr>
          <w:p>
            <w:pPr>
              <w:spacing w:after="0"/>
              <w:rPr>
                <w:sz w:val="14"/>
                <w:szCs w:val="14"/>
                <w:color w:val="auto"/>
              </w:rPr>
            </w:pPr>
          </w:p>
        </w:tc>
        <w:tc>
          <w:tcPr>
            <w:tcW w:w="700" w:type="dxa"/>
            <w:vAlign w:val="bottom"/>
            <w:gridSpan w:val="2"/>
          </w:tcPr>
          <w:p>
            <w:pPr>
              <w:jc w:val="center"/>
              <w:spacing w:after="0"/>
              <w:rPr>
                <w:sz w:val="20"/>
                <w:szCs w:val="20"/>
                <w:color w:val="auto"/>
              </w:rPr>
            </w:pPr>
            <w:r>
              <w:rPr>
                <w:rFonts w:ascii="Arial" w:cs="Arial" w:eastAsia="Arial" w:hAnsi="Arial"/>
                <w:sz w:val="14"/>
                <w:szCs w:val="14"/>
                <w:b w:val="1"/>
                <w:bCs w:val="1"/>
                <w:color w:val="auto"/>
                <w:w w:val="87"/>
              </w:rPr>
              <w:t>Reversal of</w:t>
            </w:r>
          </w:p>
        </w:tc>
        <w:tc>
          <w:tcPr>
            <w:tcW w:w="5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149"/>
        </w:trPr>
        <w:tc>
          <w:tcPr>
            <w:tcW w:w="328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9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2"/>
              </w:rPr>
              <w:t>Cost of</w:t>
            </w:r>
          </w:p>
        </w:tc>
        <w:tc>
          <w:tcPr>
            <w:tcW w:w="260" w:type="dxa"/>
            <w:vAlign w:val="bottom"/>
          </w:tcPr>
          <w:p>
            <w:pPr>
              <w:spacing w:after="0"/>
              <w:rPr>
                <w:sz w:val="12"/>
                <w:szCs w:val="12"/>
                <w:color w:val="auto"/>
              </w:rPr>
            </w:pPr>
          </w:p>
        </w:tc>
        <w:tc>
          <w:tcPr>
            <w:tcW w:w="7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2"/>
              </w:rPr>
              <w:t>Impairment</w:t>
            </w:r>
          </w:p>
        </w:tc>
        <w:tc>
          <w:tcPr>
            <w:tcW w:w="540" w:type="dxa"/>
            <w:vAlign w:val="bottom"/>
          </w:tcPr>
          <w:p>
            <w:pPr>
              <w:spacing w:after="0"/>
              <w:rPr>
                <w:sz w:val="12"/>
                <w:szCs w:val="12"/>
                <w:color w:val="auto"/>
              </w:rPr>
            </w:pPr>
          </w:p>
        </w:tc>
        <w:tc>
          <w:tcPr>
            <w:tcW w:w="1020" w:type="dxa"/>
            <w:vAlign w:val="bottom"/>
            <w:gridSpan w:val="2"/>
          </w:tcPr>
          <w:p>
            <w:pPr>
              <w:jc w:val="center"/>
              <w:ind w:right="600"/>
              <w:spacing w:after="0" w:line="149" w:lineRule="exact"/>
              <w:rPr>
                <w:sz w:val="20"/>
                <w:szCs w:val="20"/>
                <w:color w:val="auto"/>
              </w:rPr>
            </w:pPr>
            <w:r>
              <w:rPr>
                <w:rFonts w:ascii="Arial" w:cs="Arial" w:eastAsia="Arial" w:hAnsi="Arial"/>
                <w:sz w:val="14"/>
                <w:szCs w:val="14"/>
                <w:b w:val="1"/>
                <w:bCs w:val="1"/>
                <w:color w:val="auto"/>
                <w:w w:val="90"/>
              </w:rPr>
              <w:t>Tax</w:t>
            </w:r>
          </w:p>
        </w:tc>
        <w:tc>
          <w:tcPr>
            <w:tcW w:w="740" w:type="dxa"/>
            <w:vAlign w:val="bottom"/>
            <w:gridSpan w:val="3"/>
          </w:tcPr>
          <w:p>
            <w:pPr>
              <w:jc w:val="right"/>
              <w:ind w:right="140"/>
              <w:spacing w:after="0" w:line="149" w:lineRule="exact"/>
              <w:rPr>
                <w:sz w:val="20"/>
                <w:szCs w:val="20"/>
                <w:color w:val="auto"/>
              </w:rPr>
            </w:pPr>
            <w:r>
              <w:rPr>
                <w:rFonts w:ascii="Arial" w:cs="Arial" w:eastAsia="Arial" w:hAnsi="Arial"/>
                <w:sz w:val="14"/>
                <w:szCs w:val="14"/>
                <w:b w:val="1"/>
                <w:bCs w:val="1"/>
                <w:color w:val="auto"/>
                <w:w w:val="96"/>
              </w:rPr>
              <w:t>Effect on</w:t>
            </w:r>
          </w:p>
        </w:tc>
      </w:tr>
      <w:tr>
        <w:trPr>
          <w:trHeight w:val="161"/>
        </w:trPr>
        <w:tc>
          <w:tcPr>
            <w:tcW w:w="328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5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1"/>
              </w:rPr>
              <w:t>Sales</w:t>
            </w:r>
          </w:p>
        </w:tc>
        <w:tc>
          <w:tcPr>
            <w:tcW w:w="3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Charges</w:t>
            </w:r>
          </w:p>
        </w:tc>
        <w:tc>
          <w:tcPr>
            <w:tcW w:w="540" w:type="dxa"/>
            <w:vAlign w:val="bottom"/>
          </w:tcPr>
          <w:p>
            <w:pPr>
              <w:spacing w:after="0"/>
              <w:rPr>
                <w:sz w:val="14"/>
                <w:szCs w:val="14"/>
                <w:color w:val="auto"/>
              </w:rPr>
            </w:pPr>
          </w:p>
        </w:tc>
        <w:tc>
          <w:tcPr>
            <w:tcW w:w="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Effect</w:t>
            </w:r>
          </w:p>
        </w:tc>
        <w:tc>
          <w:tcPr>
            <w:tcW w:w="600" w:type="dxa"/>
            <w:vAlign w:val="bottom"/>
          </w:tcPr>
          <w:p>
            <w:pPr>
              <w:spacing w:after="0"/>
              <w:rPr>
                <w:sz w:val="14"/>
                <w:szCs w:val="14"/>
                <w:color w:val="auto"/>
              </w:rPr>
            </w:pPr>
          </w:p>
        </w:tc>
        <w:tc>
          <w:tcPr>
            <w:tcW w:w="68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7"/>
              </w:rPr>
              <w:t>Net Income</w:t>
            </w:r>
          </w:p>
        </w:tc>
        <w:tc>
          <w:tcPr>
            <w:tcW w:w="60" w:type="dxa"/>
            <w:vAlign w:val="bottom"/>
          </w:tcPr>
          <w:p>
            <w:pPr>
              <w:spacing w:after="0"/>
              <w:rPr>
                <w:sz w:val="14"/>
                <w:szCs w:val="14"/>
                <w:color w:val="auto"/>
              </w:rPr>
            </w:pPr>
          </w:p>
        </w:tc>
      </w:tr>
      <w:tr>
        <w:trPr>
          <w:trHeight w:val="210"/>
        </w:trPr>
        <w:tc>
          <w:tcPr>
            <w:tcW w:w="3280" w:type="dxa"/>
            <w:vAlign w:val="bottom"/>
            <w:shd w:val="clear" w:color="auto" w:fill="CCEEFF"/>
          </w:tcPr>
          <w:p>
            <w:pPr>
              <w:spacing w:after="0"/>
              <w:rPr>
                <w:sz w:val="20"/>
                <w:szCs w:val="20"/>
                <w:color w:val="auto"/>
              </w:rPr>
            </w:pPr>
            <w:r>
              <w:rPr>
                <w:rFonts w:ascii="Arial" w:cs="Arial" w:eastAsia="Arial" w:hAnsi="Arial"/>
                <w:sz w:val="18"/>
                <w:szCs w:val="18"/>
                <w:color w:val="auto"/>
              </w:rPr>
              <w:t>First Quarter 2006</w:t>
            </w:r>
          </w:p>
        </w:tc>
        <w:tc>
          <w:tcPr>
            <w:tcW w:w="396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  (337)</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w:t>
            </w:r>
          </w:p>
        </w:tc>
        <w:tc>
          <w:tcPr>
            <w:tcW w:w="156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  87</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(130)</w:t>
            </w:r>
          </w:p>
        </w:tc>
      </w:tr>
      <w:tr>
        <w:trPr>
          <w:trHeight w:val="216"/>
        </w:trPr>
        <w:tc>
          <w:tcPr>
            <w:tcW w:w="3280" w:type="dxa"/>
            <w:vAlign w:val="bottom"/>
          </w:tcPr>
          <w:p>
            <w:pPr>
              <w:spacing w:after="0"/>
              <w:rPr>
                <w:sz w:val="20"/>
                <w:szCs w:val="20"/>
                <w:color w:val="auto"/>
              </w:rPr>
            </w:pPr>
            <w:r>
              <w:rPr>
                <w:rFonts w:ascii="Arial" w:cs="Arial" w:eastAsia="Arial" w:hAnsi="Arial"/>
                <w:sz w:val="18"/>
                <w:szCs w:val="18"/>
                <w:color w:val="auto"/>
              </w:rPr>
              <w:t>Second Quarter 2006</w:t>
            </w:r>
          </w:p>
        </w:tc>
        <w:tc>
          <w:tcPr>
            <w:tcW w:w="3960" w:type="dxa"/>
            <w:vAlign w:val="bottom"/>
            <w:gridSpan w:val="3"/>
          </w:tcPr>
          <w:p>
            <w:pPr>
              <w:jc w:val="right"/>
              <w:ind w:right="280"/>
              <w:spacing w:after="0"/>
              <w:rPr>
                <w:sz w:val="20"/>
                <w:szCs w:val="20"/>
                <w:color w:val="auto"/>
              </w:rPr>
            </w:pPr>
            <w:r>
              <w:rPr>
                <w:rFonts w:ascii="Arial" w:cs="Arial" w:eastAsia="Arial" w:hAnsi="Arial"/>
                <w:sz w:val="18"/>
                <w:szCs w:val="18"/>
                <w:color w:val="auto"/>
              </w:rPr>
              <w:t>(212)</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127</w:t>
            </w:r>
          </w:p>
        </w:tc>
        <w:tc>
          <w:tcPr>
            <w:tcW w:w="1560" w:type="dxa"/>
            <w:vAlign w:val="bottom"/>
            <w:gridSpan w:val="3"/>
          </w:tcPr>
          <w:p>
            <w:pPr>
              <w:jc w:val="right"/>
              <w:ind w:right="600"/>
              <w:spacing w:after="0"/>
              <w:rPr>
                <w:sz w:val="20"/>
                <w:szCs w:val="20"/>
                <w:color w:val="auto"/>
              </w:rPr>
            </w:pPr>
            <w:r>
              <w:rPr>
                <w:rFonts w:ascii="Arial" w:cs="Arial" w:eastAsia="Arial" w:hAnsi="Arial"/>
                <w:sz w:val="18"/>
                <w:szCs w:val="18"/>
                <w:color w:val="auto"/>
              </w:rPr>
              <w:t>33</w:t>
            </w:r>
          </w:p>
        </w:tc>
        <w:tc>
          <w:tcPr>
            <w:tcW w:w="180" w:type="dxa"/>
            <w:vAlign w:val="bottom"/>
          </w:tcPr>
          <w:p>
            <w:pPr>
              <w:spacing w:after="0"/>
              <w:rPr>
                <w:sz w:val="18"/>
                <w:szCs w:val="18"/>
                <w:color w:val="auto"/>
              </w:rPr>
            </w:pP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(52)</w:t>
            </w:r>
          </w:p>
        </w:tc>
      </w:tr>
      <w:tr>
        <w:trPr>
          <w:trHeight w:val="216"/>
        </w:trPr>
        <w:tc>
          <w:tcPr>
            <w:tcW w:w="3280" w:type="dxa"/>
            <w:vAlign w:val="bottom"/>
            <w:shd w:val="clear" w:color="auto" w:fill="CCEEFF"/>
          </w:tcPr>
          <w:p>
            <w:pPr>
              <w:spacing w:after="0"/>
              <w:rPr>
                <w:sz w:val="20"/>
                <w:szCs w:val="20"/>
                <w:color w:val="auto"/>
              </w:rPr>
            </w:pPr>
            <w:r>
              <w:rPr>
                <w:rFonts w:ascii="Arial" w:cs="Arial" w:eastAsia="Arial" w:hAnsi="Arial"/>
                <w:sz w:val="18"/>
                <w:szCs w:val="18"/>
                <w:color w:val="auto"/>
              </w:rPr>
              <w:t>Third Quarter 2006</w:t>
            </w:r>
          </w:p>
        </w:tc>
        <w:tc>
          <w:tcPr>
            <w:tcW w:w="396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(627)</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6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251</w:t>
            </w:r>
          </w:p>
        </w:tc>
        <w:tc>
          <w:tcPr>
            <w:tcW w:w="18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(376)</w:t>
            </w:r>
          </w:p>
        </w:tc>
      </w:tr>
      <w:tr>
        <w:trPr>
          <w:trHeight w:val="322"/>
        </w:trPr>
        <w:tc>
          <w:tcPr>
            <w:tcW w:w="3280" w:type="dxa"/>
            <w:vAlign w:val="bottom"/>
          </w:tcPr>
          <w:p>
            <w:pPr>
              <w:spacing w:after="0"/>
              <w:rPr>
                <w:sz w:val="20"/>
                <w:szCs w:val="20"/>
                <w:color w:val="auto"/>
              </w:rPr>
            </w:pPr>
            <w:r>
              <w:rPr>
                <w:rFonts w:ascii="Arial" w:cs="Arial" w:eastAsia="Arial" w:hAnsi="Arial"/>
                <w:sz w:val="18"/>
                <w:szCs w:val="18"/>
                <w:color w:val="auto"/>
              </w:rPr>
              <w:t>Second Quarter 2005</w:t>
            </w:r>
          </w:p>
        </w:tc>
        <w:tc>
          <w:tcPr>
            <w:tcW w:w="3060" w:type="dxa"/>
            <w:vAlign w:val="bottom"/>
          </w:tcPr>
          <w:p>
            <w:pPr>
              <w:spacing w:after="0"/>
              <w:rPr>
                <w:sz w:val="24"/>
                <w:szCs w:val="24"/>
                <w:color w:val="auto"/>
              </w:rPr>
            </w:pPr>
          </w:p>
        </w:tc>
        <w:tc>
          <w:tcPr>
            <w:tcW w:w="90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2,465</w:t>
            </w:r>
          </w:p>
        </w:tc>
        <w:tc>
          <w:tcPr>
            <w:tcW w:w="1560" w:type="dxa"/>
            <w:vAlign w:val="bottom"/>
            <w:gridSpan w:val="3"/>
          </w:tcPr>
          <w:p>
            <w:pPr>
              <w:jc w:val="right"/>
              <w:ind w:right="540"/>
              <w:spacing w:after="0"/>
              <w:rPr>
                <w:sz w:val="20"/>
                <w:szCs w:val="20"/>
                <w:color w:val="auto"/>
              </w:rPr>
            </w:pPr>
            <w:r>
              <w:rPr>
                <w:rFonts w:ascii="Arial" w:cs="Arial" w:eastAsia="Arial" w:hAnsi="Arial"/>
                <w:sz w:val="18"/>
                <w:szCs w:val="18"/>
                <w:color w:val="auto"/>
              </w:rPr>
              <w:t>(986)</w:t>
            </w:r>
          </w:p>
        </w:tc>
        <w:tc>
          <w:tcPr>
            <w:tcW w:w="180" w:type="dxa"/>
            <w:vAlign w:val="bottom"/>
          </w:tcPr>
          <w:p>
            <w:pPr>
              <w:spacing w:after="0"/>
              <w:rPr>
                <w:sz w:val="24"/>
                <w:szCs w:val="24"/>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1,479</w:t>
            </w:r>
          </w:p>
        </w:tc>
        <w:tc>
          <w:tcPr>
            <w:tcW w:w="60" w:type="dxa"/>
            <w:vAlign w:val="bottom"/>
          </w:tcPr>
          <w:p>
            <w:pPr>
              <w:spacing w:after="0"/>
              <w:rPr>
                <w:sz w:val="24"/>
                <w:szCs w:val="24"/>
                <w:color w:val="auto"/>
              </w:rPr>
            </w:pPr>
          </w:p>
        </w:tc>
      </w:tr>
      <w:tr>
        <w:trPr>
          <w:trHeight w:val="218"/>
        </w:trPr>
        <w:tc>
          <w:tcPr>
            <w:tcW w:w="3280" w:type="dxa"/>
            <w:vAlign w:val="bottom"/>
            <w:shd w:val="clear" w:color="auto" w:fill="CCEEFF"/>
          </w:tcPr>
          <w:p>
            <w:pPr>
              <w:spacing w:after="0"/>
              <w:rPr>
                <w:sz w:val="20"/>
                <w:szCs w:val="20"/>
                <w:color w:val="auto"/>
              </w:rPr>
            </w:pPr>
            <w:r>
              <w:rPr>
                <w:rFonts w:ascii="Arial" w:cs="Arial" w:eastAsia="Arial" w:hAnsi="Arial"/>
                <w:sz w:val="18"/>
                <w:szCs w:val="18"/>
                <w:color w:val="auto"/>
              </w:rPr>
              <w:t>Third Quarter 2005</w:t>
            </w:r>
          </w:p>
        </w:tc>
        <w:tc>
          <w:tcPr>
            <w:tcW w:w="396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(121)</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1,739</w:t>
            </w:r>
          </w:p>
        </w:tc>
        <w:tc>
          <w:tcPr>
            <w:tcW w:w="156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(647)</w:t>
            </w:r>
          </w:p>
        </w:tc>
        <w:tc>
          <w:tcPr>
            <w:tcW w:w="1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971</w:t>
            </w:r>
          </w:p>
        </w:tc>
        <w:tc>
          <w:tcPr>
            <w:tcW w:w="60" w:type="dxa"/>
            <w:vAlign w:val="bottom"/>
            <w:shd w:val="clear" w:color="auto" w:fill="CCEEFF"/>
          </w:tcPr>
          <w:p>
            <w:pPr>
              <w:spacing w:after="0"/>
              <w:rPr>
                <w:sz w:val="18"/>
                <w:szCs w:val="18"/>
                <w:color w:val="auto"/>
              </w:rPr>
            </w:pPr>
          </w:p>
        </w:tc>
      </w:tr>
      <w:tr>
        <w:trPr>
          <w:trHeight w:val="222"/>
        </w:trPr>
        <w:tc>
          <w:tcPr>
            <w:tcW w:w="3280" w:type="dxa"/>
            <w:vAlign w:val="bottom"/>
          </w:tcPr>
          <w:p>
            <w:pPr>
              <w:spacing w:after="0"/>
              <w:rPr>
                <w:sz w:val="20"/>
                <w:szCs w:val="20"/>
                <w:color w:val="auto"/>
              </w:rPr>
            </w:pPr>
            <w:r>
              <w:rPr>
                <w:rFonts w:ascii="Arial" w:cs="Arial" w:eastAsia="Arial" w:hAnsi="Arial"/>
                <w:sz w:val="18"/>
                <w:szCs w:val="18"/>
                <w:color w:val="auto"/>
              </w:rPr>
              <w:t>Fourth Quarter 2005</w:t>
            </w:r>
          </w:p>
        </w:tc>
        <w:tc>
          <w:tcPr>
            <w:tcW w:w="3960" w:type="dxa"/>
            <w:vAlign w:val="bottom"/>
            <w:gridSpan w:val="3"/>
          </w:tcPr>
          <w:p>
            <w:pPr>
              <w:jc w:val="right"/>
              <w:ind w:right="280"/>
              <w:spacing w:after="0"/>
              <w:rPr>
                <w:sz w:val="20"/>
                <w:szCs w:val="20"/>
                <w:color w:val="auto"/>
              </w:rPr>
            </w:pPr>
            <w:r>
              <w:rPr>
                <w:rFonts w:ascii="Arial" w:cs="Arial" w:eastAsia="Arial" w:hAnsi="Arial"/>
                <w:sz w:val="18"/>
                <w:szCs w:val="18"/>
                <w:color w:val="auto"/>
              </w:rPr>
              <w:t>(332)</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560" w:type="dxa"/>
            <w:vAlign w:val="bottom"/>
            <w:gridSpan w:val="3"/>
          </w:tcPr>
          <w:p>
            <w:pPr>
              <w:jc w:val="right"/>
              <w:ind w:right="600"/>
              <w:spacing w:after="0"/>
              <w:rPr>
                <w:sz w:val="20"/>
                <w:szCs w:val="20"/>
                <w:color w:val="auto"/>
              </w:rPr>
            </w:pPr>
            <w:r>
              <w:rPr>
                <w:rFonts w:ascii="Arial" w:cs="Arial" w:eastAsia="Arial" w:hAnsi="Arial"/>
                <w:sz w:val="18"/>
                <w:szCs w:val="18"/>
                <w:color w:val="auto"/>
              </w:rPr>
              <w:t>133</w:t>
            </w:r>
          </w:p>
        </w:tc>
        <w:tc>
          <w:tcPr>
            <w:tcW w:w="180" w:type="dxa"/>
            <w:vAlign w:val="bottom"/>
          </w:tcPr>
          <w:p>
            <w:pPr>
              <w:spacing w:after="0"/>
              <w:rPr>
                <w:sz w:val="19"/>
                <w:szCs w:val="19"/>
                <w:color w:val="auto"/>
              </w:rPr>
            </w:pP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(199)</w:t>
            </w:r>
          </w:p>
        </w:tc>
      </w:tr>
      <w:tr>
        <w:trPr>
          <w:trHeight w:val="356"/>
        </w:trPr>
        <w:tc>
          <w:tcPr>
            <w:tcW w:w="3280" w:type="dxa"/>
            <w:vAlign w:val="bottom"/>
          </w:tcPr>
          <w:p>
            <w:pPr>
              <w:spacing w:after="0"/>
              <w:rPr>
                <w:sz w:val="24"/>
                <w:szCs w:val="24"/>
                <w:color w:val="auto"/>
              </w:rPr>
            </w:pPr>
          </w:p>
        </w:tc>
        <w:tc>
          <w:tcPr>
            <w:tcW w:w="3960" w:type="dxa"/>
            <w:vAlign w:val="bottom"/>
            <w:gridSpan w:val="3"/>
          </w:tcPr>
          <w:p>
            <w:pPr>
              <w:jc w:val="right"/>
              <w:ind w:right="1780"/>
              <w:spacing w:after="0"/>
              <w:rPr>
                <w:sz w:val="20"/>
                <w:szCs w:val="20"/>
                <w:color w:val="auto"/>
              </w:rPr>
            </w:pPr>
            <w:r>
              <w:rPr>
                <w:rFonts w:ascii="Arial" w:cs="Arial" w:eastAsia="Arial" w:hAnsi="Arial"/>
                <w:sz w:val="18"/>
                <w:szCs w:val="18"/>
                <w:color w:val="auto"/>
              </w:rPr>
              <w:t>F - 46</w:t>
            </w: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r>
    </w:tbl>
    <w:p>
      <w:pPr>
        <w:sectPr>
          <w:pgSz w:w="11900" w:h="16838" w:orient="portrait"/>
          <w:cols w:equalWidth="0" w:num="1">
            <w:col w:w="10960"/>
          </w:cols>
          <w:pgMar w:left="240" w:top="459" w:right="699" w:bottom="1440" w:gutter="0" w:footer="0" w:header="0"/>
        </w:sectPr>
      </w:pPr>
    </w:p>
    <w:bookmarkStart w:id="65" w:name="page66"/>
    <w:bookmarkEnd w:id="6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Business Data</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Bassett Furniture Industries, Incorporated and Subsidiaries</w:t>
      </w:r>
    </w:p>
    <w:p>
      <w:pPr>
        <w:spacing w:after="0" w:line="84" w:lineRule="exact"/>
        <w:rPr>
          <w:sz w:val="20"/>
          <w:szCs w:val="20"/>
          <w:color w:val="auto"/>
        </w:rPr>
      </w:pPr>
    </w:p>
    <w:p>
      <w:pPr>
        <w:spacing w:after="0"/>
        <w:rPr>
          <w:sz w:val="20"/>
          <w:szCs w:val="20"/>
          <w:color w:val="auto"/>
        </w:rPr>
      </w:pPr>
      <w:r>
        <w:rPr>
          <w:rFonts w:ascii="Arial" w:cs="Arial" w:eastAsia="Arial" w:hAnsi="Arial"/>
          <w:sz w:val="18"/>
          <w:szCs w:val="18"/>
          <w:color w:val="auto"/>
        </w:rPr>
        <w:t>(dollars in thousands except share and per share data)</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color w:val="auto"/>
        </w:rPr>
        <w:t>Selected Financial Data</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60" w:type="dxa"/>
            <w:vAlign w:val="bottom"/>
          </w:tcPr>
          <w:p>
            <w:pPr>
              <w:spacing w:after="0"/>
              <w:rPr>
                <w:sz w:val="14"/>
                <w:szCs w:val="14"/>
                <w:color w:val="auto"/>
              </w:rPr>
            </w:pPr>
          </w:p>
        </w:tc>
        <w:tc>
          <w:tcPr>
            <w:tcW w:w="31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w w:val="86"/>
              </w:rPr>
              <w:t>As restated (a)</w:t>
            </w:r>
          </w:p>
        </w:tc>
        <w:tc>
          <w:tcPr>
            <w:tcW w:w="200" w:type="dxa"/>
            <w:vAlign w:val="bottom"/>
          </w:tcPr>
          <w:p>
            <w:pPr>
              <w:spacing w:after="0"/>
              <w:rPr>
                <w:sz w:val="14"/>
                <w:szCs w:val="14"/>
                <w:color w:val="auto"/>
              </w:rPr>
            </w:pPr>
          </w:p>
        </w:tc>
        <w:tc>
          <w:tcPr>
            <w:tcW w:w="130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86"/>
              </w:rPr>
              <w:t>As restated (a)</w:t>
            </w:r>
          </w:p>
        </w:tc>
        <w:tc>
          <w:tcPr>
            <w:tcW w:w="200" w:type="dxa"/>
            <w:vAlign w:val="bottom"/>
          </w:tcPr>
          <w:p>
            <w:pPr>
              <w:spacing w:after="0"/>
              <w:rPr>
                <w:sz w:val="14"/>
                <w:szCs w:val="14"/>
                <w:color w:val="auto"/>
              </w:rPr>
            </w:pPr>
          </w:p>
        </w:tc>
        <w:tc>
          <w:tcPr>
            <w:tcW w:w="1620" w:type="dxa"/>
            <w:vAlign w:val="bottom"/>
            <w:gridSpan w:val="2"/>
          </w:tcPr>
          <w:p>
            <w:pPr>
              <w:jc w:val="right"/>
              <w:ind w:right="760"/>
              <w:spacing w:after="0"/>
              <w:rPr>
                <w:sz w:val="20"/>
                <w:szCs w:val="20"/>
                <w:color w:val="auto"/>
              </w:rPr>
            </w:pPr>
            <w:r>
              <w:rPr>
                <w:rFonts w:ascii="Arial" w:cs="Arial" w:eastAsia="Arial" w:hAnsi="Arial"/>
                <w:sz w:val="14"/>
                <w:szCs w:val="14"/>
                <w:b w:val="1"/>
                <w:bCs w:val="1"/>
                <w:color w:val="auto"/>
                <w:w w:val="86"/>
              </w:rPr>
              <w:t>As restated (a)</w:t>
            </w:r>
          </w:p>
        </w:tc>
        <w:tc>
          <w:tcPr>
            <w:tcW w:w="110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86"/>
              </w:rPr>
              <w:t>As restated (a)</w:t>
            </w:r>
          </w:p>
        </w:tc>
      </w:tr>
      <w:tr>
        <w:trPr>
          <w:trHeight w:val="161"/>
        </w:trPr>
        <w:tc>
          <w:tcPr>
            <w:tcW w:w="960" w:type="dxa"/>
            <w:vAlign w:val="bottom"/>
          </w:tcPr>
          <w:p>
            <w:pPr>
              <w:spacing w:after="0"/>
              <w:rPr>
                <w:sz w:val="14"/>
                <w:szCs w:val="14"/>
                <w:color w:val="auto"/>
              </w:rPr>
            </w:pPr>
          </w:p>
        </w:tc>
        <w:tc>
          <w:tcPr>
            <w:tcW w:w="3140" w:type="dxa"/>
            <w:vAlign w:val="bottom"/>
          </w:tcPr>
          <w:p>
            <w:pPr>
              <w:spacing w:after="0"/>
              <w:rPr>
                <w:sz w:val="14"/>
                <w:szCs w:val="14"/>
                <w:color w:val="auto"/>
              </w:rPr>
            </w:pPr>
          </w:p>
        </w:tc>
        <w:tc>
          <w:tcPr>
            <w:tcW w:w="900" w:type="dxa"/>
            <w:vAlign w:val="bottom"/>
            <w:tcBorders>
              <w:bottom w:val="single" w:sz="8" w:color="auto"/>
            </w:tcBorders>
          </w:tcPr>
          <w:p>
            <w:pPr>
              <w:jc w:val="right"/>
              <w:ind w:right="233"/>
              <w:spacing w:after="0"/>
              <w:rPr>
                <w:sz w:val="20"/>
                <w:szCs w:val="20"/>
                <w:color w:val="auto"/>
              </w:rPr>
            </w:pPr>
            <w:r>
              <w:rPr>
                <w:rFonts w:ascii="Arial" w:cs="Arial" w:eastAsia="Arial" w:hAnsi="Arial"/>
                <w:sz w:val="14"/>
                <w:szCs w:val="14"/>
                <w:b w:val="1"/>
                <w:bCs w:val="1"/>
                <w:color w:val="auto"/>
              </w:rPr>
              <w:t>2006</w:t>
            </w:r>
          </w:p>
        </w:tc>
        <w:tc>
          <w:tcPr>
            <w:tcW w:w="700" w:type="dxa"/>
            <w:vAlign w:val="bottom"/>
          </w:tcPr>
          <w:p>
            <w:pPr>
              <w:spacing w:after="0"/>
              <w:rPr>
                <w:sz w:val="14"/>
                <w:szCs w:val="14"/>
                <w:color w:val="auto"/>
              </w:rPr>
            </w:pPr>
          </w:p>
        </w:tc>
        <w:tc>
          <w:tcPr>
            <w:tcW w:w="880" w:type="dxa"/>
            <w:vAlign w:val="bottom"/>
            <w:tcBorders>
              <w:bottom w:val="single" w:sz="8" w:color="auto"/>
            </w:tcBorders>
          </w:tcPr>
          <w:p>
            <w:pPr>
              <w:jc w:val="right"/>
              <w:ind w:right="215"/>
              <w:spacing w:after="0"/>
              <w:rPr>
                <w:sz w:val="20"/>
                <w:szCs w:val="20"/>
                <w:color w:val="auto"/>
              </w:rPr>
            </w:pPr>
            <w:r>
              <w:rPr>
                <w:rFonts w:ascii="Arial" w:cs="Arial" w:eastAsia="Arial" w:hAnsi="Arial"/>
                <w:sz w:val="14"/>
                <w:szCs w:val="14"/>
                <w:b w:val="1"/>
                <w:bCs w:val="1"/>
                <w:color w:val="auto"/>
              </w:rPr>
              <w:t>2005</w:t>
            </w:r>
          </w:p>
        </w:tc>
        <w:tc>
          <w:tcPr>
            <w:tcW w:w="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Borders>
              <w:bottom w:val="single" w:sz="8" w:color="auto"/>
            </w:tcBorders>
          </w:tcPr>
          <w:p>
            <w:pPr>
              <w:jc w:val="right"/>
              <w:ind w:right="226"/>
              <w:spacing w:after="0"/>
              <w:rPr>
                <w:sz w:val="20"/>
                <w:szCs w:val="20"/>
                <w:color w:val="auto"/>
              </w:rPr>
            </w:pPr>
            <w:r>
              <w:rPr>
                <w:rFonts w:ascii="Arial" w:cs="Arial" w:eastAsia="Arial" w:hAnsi="Arial"/>
                <w:sz w:val="14"/>
                <w:szCs w:val="14"/>
                <w:b w:val="1"/>
                <w:bCs w:val="1"/>
                <w:color w:val="auto"/>
              </w:rPr>
              <w:t>2004</w:t>
            </w:r>
          </w:p>
        </w:tc>
        <w:tc>
          <w:tcPr>
            <w:tcW w:w="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00" w:type="dxa"/>
            <w:vAlign w:val="bottom"/>
            <w:tcBorders>
              <w:bottom w:val="single" w:sz="8" w:color="auto"/>
            </w:tcBorders>
          </w:tcPr>
          <w:p>
            <w:pPr>
              <w:jc w:val="right"/>
              <w:ind w:right="242"/>
              <w:spacing w:after="0"/>
              <w:rPr>
                <w:sz w:val="20"/>
                <w:szCs w:val="20"/>
                <w:color w:val="auto"/>
              </w:rPr>
            </w:pPr>
            <w:r>
              <w:rPr>
                <w:rFonts w:ascii="Arial" w:cs="Arial" w:eastAsia="Arial" w:hAnsi="Arial"/>
                <w:sz w:val="14"/>
                <w:szCs w:val="14"/>
                <w:b w:val="1"/>
                <w:bCs w:val="1"/>
                <w:color w:val="auto"/>
              </w:rPr>
              <w:t>2003</w:t>
            </w:r>
          </w:p>
        </w:tc>
        <w:tc>
          <w:tcPr>
            <w:tcW w:w="720" w:type="dxa"/>
            <w:vAlign w:val="bottom"/>
          </w:tcPr>
          <w:p>
            <w:pPr>
              <w:spacing w:after="0"/>
              <w:rPr>
                <w:sz w:val="14"/>
                <w:szCs w:val="14"/>
                <w:color w:val="auto"/>
              </w:rPr>
            </w:pPr>
          </w:p>
        </w:tc>
        <w:tc>
          <w:tcPr>
            <w:tcW w:w="880" w:type="dxa"/>
            <w:vAlign w:val="bottom"/>
            <w:tcBorders>
              <w:bottom w:val="single" w:sz="8" w:color="auto"/>
            </w:tcBorders>
          </w:tcPr>
          <w:p>
            <w:pPr>
              <w:jc w:val="right"/>
              <w:ind w:right="215"/>
              <w:spacing w:after="0"/>
              <w:rPr>
                <w:sz w:val="20"/>
                <w:szCs w:val="20"/>
                <w:color w:val="auto"/>
              </w:rPr>
            </w:pPr>
            <w:r>
              <w:rPr>
                <w:rFonts w:ascii="Arial" w:cs="Arial" w:eastAsia="Arial" w:hAnsi="Arial"/>
                <w:sz w:val="14"/>
                <w:szCs w:val="14"/>
                <w:b w:val="1"/>
                <w:bCs w:val="1"/>
                <w:color w:val="auto"/>
              </w:rPr>
              <w:t>2002</w:t>
            </w:r>
          </w:p>
        </w:tc>
        <w:tc>
          <w:tcPr>
            <w:tcW w:w="220" w:type="dxa"/>
            <w:vAlign w:val="bottom"/>
          </w:tcPr>
          <w:p>
            <w:pPr>
              <w:spacing w:after="0"/>
              <w:rPr>
                <w:sz w:val="14"/>
                <w:szCs w:val="14"/>
                <w:color w:val="auto"/>
              </w:rPr>
            </w:pPr>
          </w:p>
        </w:tc>
      </w:tr>
      <w:tr>
        <w:trPr>
          <w:trHeight w:val="210"/>
        </w:trPr>
        <w:tc>
          <w:tcPr>
            <w:tcW w:w="4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sales</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   328,214</w:t>
            </w:r>
          </w:p>
        </w:tc>
        <w:tc>
          <w:tcPr>
            <w:tcW w:w="7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   335,207</w:t>
            </w:r>
          </w:p>
        </w:tc>
        <w:tc>
          <w:tcPr>
            <w:tcW w:w="420" w:type="dxa"/>
            <w:vAlign w:val="bottom"/>
            <w:shd w:val="clear" w:color="auto" w:fill="CCEEFF"/>
          </w:tcPr>
          <w:p>
            <w:pPr>
              <w:spacing w:after="0"/>
              <w:rPr>
                <w:sz w:val="18"/>
                <w:szCs w:val="18"/>
                <w:color w:val="auto"/>
              </w:rPr>
            </w:pPr>
          </w:p>
        </w:tc>
        <w:tc>
          <w:tcPr>
            <w:tcW w:w="1500" w:type="dxa"/>
            <w:vAlign w:val="bottom"/>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   315,654</w:t>
            </w:r>
          </w:p>
        </w:tc>
        <w:tc>
          <w:tcPr>
            <w:tcW w:w="1820" w:type="dxa"/>
            <w:vAlign w:val="bottom"/>
            <w:gridSpan w:val="3"/>
            <w:shd w:val="clear" w:color="auto" w:fill="CCEEFF"/>
          </w:tcPr>
          <w:p>
            <w:pPr>
              <w:jc w:val="right"/>
              <w:ind w:right="720"/>
              <w:spacing w:after="0"/>
              <w:rPr>
                <w:sz w:val="20"/>
                <w:szCs w:val="20"/>
                <w:color w:val="auto"/>
              </w:rPr>
            </w:pPr>
            <w:r>
              <w:rPr>
                <w:rFonts w:ascii="Arial" w:cs="Arial" w:eastAsia="Arial" w:hAnsi="Arial"/>
                <w:sz w:val="18"/>
                <w:szCs w:val="18"/>
                <w:color w:val="auto"/>
              </w:rPr>
              <w:t>$   316,857</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   323,487</w:t>
            </w:r>
          </w:p>
        </w:tc>
        <w:tc>
          <w:tcPr>
            <w:tcW w:w="220" w:type="dxa"/>
            <w:vAlign w:val="bottom"/>
            <w:shd w:val="clear" w:color="auto" w:fill="CCEEFF"/>
          </w:tcPr>
          <w:p>
            <w:pPr>
              <w:spacing w:after="0"/>
              <w:rPr>
                <w:sz w:val="18"/>
                <w:szCs w:val="18"/>
                <w:color w:val="auto"/>
              </w:rPr>
            </w:pPr>
          </w:p>
        </w:tc>
      </w:tr>
      <w:tr>
        <w:trPr>
          <w:trHeight w:val="216"/>
        </w:trPr>
        <w:tc>
          <w:tcPr>
            <w:tcW w:w="4100" w:type="dxa"/>
            <w:vAlign w:val="bottom"/>
            <w:gridSpan w:val="2"/>
          </w:tcPr>
          <w:p>
            <w:pPr>
              <w:spacing w:after="0"/>
              <w:rPr>
                <w:sz w:val="20"/>
                <w:szCs w:val="20"/>
                <w:color w:val="auto"/>
              </w:rPr>
            </w:pPr>
            <w:r>
              <w:rPr>
                <w:rFonts w:ascii="Arial" w:cs="Arial" w:eastAsia="Arial" w:hAnsi="Arial"/>
                <w:sz w:val="18"/>
                <w:szCs w:val="18"/>
                <w:color w:val="auto"/>
              </w:rPr>
              <w:t>Cost of sales</w:t>
            </w:r>
          </w:p>
        </w:tc>
        <w:tc>
          <w:tcPr>
            <w:tcW w:w="900" w:type="dxa"/>
            <w:vAlign w:val="bottom"/>
          </w:tcPr>
          <w:p>
            <w:pPr>
              <w:jc w:val="right"/>
              <w:spacing w:after="0"/>
              <w:rPr>
                <w:sz w:val="20"/>
                <w:szCs w:val="20"/>
                <w:color w:val="auto"/>
              </w:rPr>
            </w:pPr>
            <w:r>
              <w:rPr>
                <w:rFonts w:ascii="Arial" w:cs="Arial" w:eastAsia="Arial" w:hAnsi="Arial"/>
                <w:sz w:val="18"/>
                <w:szCs w:val="18"/>
                <w:color w:val="auto"/>
              </w:rPr>
              <w:t>225,319</w:t>
            </w:r>
          </w:p>
        </w:tc>
        <w:tc>
          <w:tcPr>
            <w:tcW w:w="7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236,843</w:t>
            </w:r>
          </w:p>
        </w:tc>
        <w:tc>
          <w:tcPr>
            <w:tcW w:w="420" w:type="dxa"/>
            <w:vAlign w:val="bottom"/>
          </w:tcPr>
          <w:p>
            <w:pPr>
              <w:spacing w:after="0"/>
              <w:rPr>
                <w:sz w:val="18"/>
                <w:szCs w:val="18"/>
                <w:color w:val="auto"/>
              </w:rPr>
            </w:pPr>
          </w:p>
        </w:tc>
        <w:tc>
          <w:tcPr>
            <w:tcW w:w="1500" w:type="dxa"/>
            <w:vAlign w:val="bottom"/>
            <w:gridSpan w:val="3"/>
          </w:tcPr>
          <w:p>
            <w:pPr>
              <w:jc w:val="right"/>
              <w:ind w:right="420"/>
              <w:spacing w:after="0"/>
              <w:rPr>
                <w:sz w:val="20"/>
                <w:szCs w:val="20"/>
                <w:color w:val="auto"/>
              </w:rPr>
            </w:pPr>
            <w:r>
              <w:rPr>
                <w:rFonts w:ascii="Arial" w:cs="Arial" w:eastAsia="Arial" w:hAnsi="Arial"/>
                <w:sz w:val="18"/>
                <w:szCs w:val="18"/>
                <w:color w:val="auto"/>
              </w:rPr>
              <w:t>234,612</w:t>
            </w:r>
          </w:p>
        </w:tc>
        <w:tc>
          <w:tcPr>
            <w:tcW w:w="1820" w:type="dxa"/>
            <w:vAlign w:val="bottom"/>
            <w:gridSpan w:val="3"/>
          </w:tcPr>
          <w:p>
            <w:pPr>
              <w:jc w:val="right"/>
              <w:ind w:right="720"/>
              <w:spacing w:after="0"/>
              <w:rPr>
                <w:sz w:val="20"/>
                <w:szCs w:val="20"/>
                <w:color w:val="auto"/>
              </w:rPr>
            </w:pPr>
            <w:r>
              <w:rPr>
                <w:rFonts w:ascii="Arial" w:cs="Arial" w:eastAsia="Arial" w:hAnsi="Arial"/>
                <w:sz w:val="18"/>
                <w:szCs w:val="18"/>
                <w:color w:val="auto"/>
              </w:rPr>
              <w:t>234,861</w:t>
            </w:r>
          </w:p>
        </w:tc>
        <w:tc>
          <w:tcPr>
            <w:tcW w:w="880" w:type="dxa"/>
            <w:vAlign w:val="bottom"/>
          </w:tcPr>
          <w:p>
            <w:pPr>
              <w:jc w:val="right"/>
              <w:spacing w:after="0"/>
              <w:rPr>
                <w:sz w:val="20"/>
                <w:szCs w:val="20"/>
                <w:color w:val="auto"/>
              </w:rPr>
            </w:pPr>
            <w:r>
              <w:rPr>
                <w:rFonts w:ascii="Arial" w:cs="Arial" w:eastAsia="Arial" w:hAnsi="Arial"/>
                <w:sz w:val="18"/>
                <w:szCs w:val="18"/>
                <w:color w:val="auto"/>
              </w:rPr>
              <w:t>254,993</w:t>
            </w:r>
          </w:p>
        </w:tc>
        <w:tc>
          <w:tcPr>
            <w:tcW w:w="220" w:type="dxa"/>
            <w:vAlign w:val="bottom"/>
          </w:tcPr>
          <w:p>
            <w:pPr>
              <w:spacing w:after="0"/>
              <w:rPr>
                <w:sz w:val="18"/>
                <w:szCs w:val="18"/>
                <w:color w:val="auto"/>
              </w:rPr>
            </w:pPr>
          </w:p>
        </w:tc>
      </w:tr>
      <w:tr>
        <w:trPr>
          <w:trHeight w:val="216"/>
        </w:trPr>
        <w:tc>
          <w:tcPr>
            <w:tcW w:w="4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Operating profit (loss)</w:t>
            </w:r>
          </w:p>
        </w:tc>
        <w:tc>
          <w:tcPr>
            <w:tcW w:w="16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(466) (1)</w:t>
            </w:r>
          </w:p>
        </w:tc>
        <w:tc>
          <w:tcPr>
            <w:tcW w:w="13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5,134(2)</w:t>
            </w:r>
          </w:p>
        </w:tc>
        <w:tc>
          <w:tcPr>
            <w:tcW w:w="150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3,727(3)</w:t>
            </w:r>
          </w:p>
        </w:tc>
        <w:tc>
          <w:tcPr>
            <w:tcW w:w="1820" w:type="dxa"/>
            <w:vAlign w:val="bottom"/>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(1,230) (4)</w:t>
            </w: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6,256(5)</w:t>
            </w:r>
          </w:p>
        </w:tc>
      </w:tr>
      <w:tr>
        <w:trPr>
          <w:trHeight w:val="216"/>
        </w:trPr>
        <w:tc>
          <w:tcPr>
            <w:tcW w:w="4100" w:type="dxa"/>
            <w:vAlign w:val="bottom"/>
            <w:gridSpan w:val="2"/>
          </w:tcPr>
          <w:p>
            <w:pPr>
              <w:spacing w:after="0"/>
              <w:rPr>
                <w:sz w:val="20"/>
                <w:szCs w:val="20"/>
                <w:color w:val="auto"/>
              </w:rPr>
            </w:pPr>
            <w:r>
              <w:rPr>
                <w:rFonts w:ascii="Arial" w:cs="Arial" w:eastAsia="Arial" w:hAnsi="Arial"/>
                <w:sz w:val="18"/>
                <w:szCs w:val="18"/>
                <w:color w:val="auto"/>
              </w:rPr>
              <w:t>Other income, net</w:t>
            </w:r>
          </w:p>
        </w:tc>
        <w:tc>
          <w:tcPr>
            <w:tcW w:w="900" w:type="dxa"/>
            <w:vAlign w:val="bottom"/>
          </w:tcPr>
          <w:p>
            <w:pPr>
              <w:jc w:val="right"/>
              <w:spacing w:after="0"/>
              <w:rPr>
                <w:sz w:val="20"/>
                <w:szCs w:val="20"/>
                <w:color w:val="auto"/>
              </w:rPr>
            </w:pPr>
            <w:r>
              <w:rPr>
                <w:rFonts w:ascii="Arial" w:cs="Arial" w:eastAsia="Arial" w:hAnsi="Arial"/>
                <w:sz w:val="18"/>
                <w:szCs w:val="18"/>
                <w:color w:val="auto"/>
              </w:rPr>
              <w:t>6,921</w:t>
            </w:r>
          </w:p>
        </w:tc>
        <w:tc>
          <w:tcPr>
            <w:tcW w:w="7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8,061</w:t>
            </w:r>
          </w:p>
        </w:tc>
        <w:tc>
          <w:tcPr>
            <w:tcW w:w="420" w:type="dxa"/>
            <w:vAlign w:val="bottom"/>
          </w:tcPr>
          <w:p>
            <w:pPr>
              <w:spacing w:after="0"/>
              <w:rPr>
                <w:sz w:val="18"/>
                <w:szCs w:val="18"/>
                <w:color w:val="auto"/>
              </w:rPr>
            </w:pPr>
          </w:p>
        </w:tc>
        <w:tc>
          <w:tcPr>
            <w:tcW w:w="1500" w:type="dxa"/>
            <w:vAlign w:val="bottom"/>
            <w:gridSpan w:val="3"/>
          </w:tcPr>
          <w:p>
            <w:pPr>
              <w:jc w:val="right"/>
              <w:ind w:right="420"/>
              <w:spacing w:after="0"/>
              <w:rPr>
                <w:sz w:val="20"/>
                <w:szCs w:val="20"/>
                <w:color w:val="auto"/>
              </w:rPr>
            </w:pPr>
            <w:r>
              <w:rPr>
                <w:rFonts w:ascii="Arial" w:cs="Arial" w:eastAsia="Arial" w:hAnsi="Arial"/>
                <w:sz w:val="18"/>
                <w:szCs w:val="18"/>
                <w:color w:val="auto"/>
              </w:rPr>
              <w:t>7,123</w:t>
            </w:r>
          </w:p>
        </w:tc>
        <w:tc>
          <w:tcPr>
            <w:tcW w:w="1820" w:type="dxa"/>
            <w:vAlign w:val="bottom"/>
            <w:gridSpan w:val="3"/>
          </w:tcPr>
          <w:p>
            <w:pPr>
              <w:jc w:val="right"/>
              <w:ind w:right="720"/>
              <w:spacing w:after="0"/>
              <w:rPr>
                <w:sz w:val="20"/>
                <w:szCs w:val="20"/>
                <w:color w:val="auto"/>
              </w:rPr>
            </w:pPr>
            <w:r>
              <w:rPr>
                <w:rFonts w:ascii="Arial" w:cs="Arial" w:eastAsia="Arial" w:hAnsi="Arial"/>
                <w:sz w:val="18"/>
                <w:szCs w:val="18"/>
                <w:color w:val="auto"/>
              </w:rPr>
              <w:t>6,097</w:t>
            </w:r>
          </w:p>
        </w:tc>
        <w:tc>
          <w:tcPr>
            <w:tcW w:w="880" w:type="dxa"/>
            <w:vAlign w:val="bottom"/>
          </w:tcPr>
          <w:p>
            <w:pPr>
              <w:jc w:val="right"/>
              <w:spacing w:after="0"/>
              <w:rPr>
                <w:sz w:val="20"/>
                <w:szCs w:val="20"/>
                <w:color w:val="auto"/>
              </w:rPr>
            </w:pPr>
            <w:r>
              <w:rPr>
                <w:rFonts w:ascii="Arial" w:cs="Arial" w:eastAsia="Arial" w:hAnsi="Arial"/>
                <w:sz w:val="18"/>
                <w:szCs w:val="18"/>
                <w:color w:val="auto"/>
              </w:rPr>
              <w:t>2,854</w:t>
            </w:r>
          </w:p>
        </w:tc>
        <w:tc>
          <w:tcPr>
            <w:tcW w:w="220" w:type="dxa"/>
            <w:vAlign w:val="bottom"/>
          </w:tcPr>
          <w:p>
            <w:pPr>
              <w:spacing w:after="0"/>
              <w:rPr>
                <w:sz w:val="18"/>
                <w:szCs w:val="18"/>
                <w:color w:val="auto"/>
              </w:rPr>
            </w:pPr>
          </w:p>
        </w:tc>
      </w:tr>
      <w:tr>
        <w:trPr>
          <w:trHeight w:val="216"/>
        </w:trPr>
        <w:tc>
          <w:tcPr>
            <w:tcW w:w="4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before income taxes</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6,455</w:t>
            </w:r>
          </w:p>
        </w:tc>
        <w:tc>
          <w:tcPr>
            <w:tcW w:w="7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13,195</w:t>
            </w:r>
          </w:p>
        </w:tc>
        <w:tc>
          <w:tcPr>
            <w:tcW w:w="420" w:type="dxa"/>
            <w:vAlign w:val="bottom"/>
            <w:shd w:val="clear" w:color="auto" w:fill="CCEEFF"/>
          </w:tcPr>
          <w:p>
            <w:pPr>
              <w:spacing w:after="0"/>
              <w:rPr>
                <w:sz w:val="18"/>
                <w:szCs w:val="18"/>
                <w:color w:val="auto"/>
              </w:rPr>
            </w:pPr>
          </w:p>
        </w:tc>
        <w:tc>
          <w:tcPr>
            <w:tcW w:w="1500" w:type="dxa"/>
            <w:vAlign w:val="bottom"/>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10,850</w:t>
            </w:r>
          </w:p>
        </w:tc>
        <w:tc>
          <w:tcPr>
            <w:tcW w:w="1820" w:type="dxa"/>
            <w:vAlign w:val="bottom"/>
            <w:gridSpan w:val="3"/>
            <w:shd w:val="clear" w:color="auto" w:fill="CCEEFF"/>
          </w:tcPr>
          <w:p>
            <w:pPr>
              <w:jc w:val="right"/>
              <w:ind w:right="720"/>
              <w:spacing w:after="0"/>
              <w:rPr>
                <w:sz w:val="20"/>
                <w:szCs w:val="20"/>
                <w:color w:val="auto"/>
              </w:rPr>
            </w:pPr>
            <w:r>
              <w:rPr>
                <w:rFonts w:ascii="Arial" w:cs="Arial" w:eastAsia="Arial" w:hAnsi="Arial"/>
                <w:sz w:val="18"/>
                <w:szCs w:val="18"/>
                <w:color w:val="auto"/>
              </w:rPr>
              <w:t>4,867</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9,110</w:t>
            </w:r>
          </w:p>
        </w:tc>
        <w:tc>
          <w:tcPr>
            <w:tcW w:w="220" w:type="dxa"/>
            <w:vAlign w:val="bottom"/>
            <w:shd w:val="clear" w:color="auto" w:fill="CCEEFF"/>
          </w:tcPr>
          <w:p>
            <w:pPr>
              <w:spacing w:after="0"/>
              <w:rPr>
                <w:sz w:val="18"/>
                <w:szCs w:val="18"/>
                <w:color w:val="auto"/>
              </w:rPr>
            </w:pPr>
          </w:p>
        </w:tc>
      </w:tr>
      <w:tr>
        <w:trPr>
          <w:trHeight w:val="216"/>
        </w:trPr>
        <w:tc>
          <w:tcPr>
            <w:tcW w:w="4100" w:type="dxa"/>
            <w:vAlign w:val="bottom"/>
            <w:gridSpan w:val="2"/>
          </w:tcPr>
          <w:p>
            <w:pPr>
              <w:spacing w:after="0"/>
              <w:rPr>
                <w:sz w:val="20"/>
                <w:szCs w:val="20"/>
                <w:color w:val="auto"/>
              </w:rPr>
            </w:pPr>
            <w:r>
              <w:rPr>
                <w:rFonts w:ascii="Arial" w:cs="Arial" w:eastAsia="Arial" w:hAnsi="Arial"/>
                <w:sz w:val="18"/>
                <w:szCs w:val="18"/>
                <w:color w:val="auto"/>
              </w:rPr>
              <w:t>Income taxes</w:t>
            </w:r>
          </w:p>
        </w:tc>
        <w:tc>
          <w:tcPr>
            <w:tcW w:w="900" w:type="dxa"/>
            <w:vAlign w:val="bottom"/>
          </w:tcPr>
          <w:p>
            <w:pPr>
              <w:jc w:val="right"/>
              <w:spacing w:after="0"/>
              <w:rPr>
                <w:sz w:val="20"/>
                <w:szCs w:val="20"/>
                <w:color w:val="auto"/>
              </w:rPr>
            </w:pPr>
            <w:r>
              <w:rPr>
                <w:rFonts w:ascii="Arial" w:cs="Arial" w:eastAsia="Arial" w:hAnsi="Arial"/>
                <w:sz w:val="18"/>
                <w:szCs w:val="18"/>
                <w:color w:val="auto"/>
              </w:rPr>
              <w:t>1,026</w:t>
            </w:r>
          </w:p>
        </w:tc>
        <w:tc>
          <w:tcPr>
            <w:tcW w:w="7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3,381</w:t>
            </w:r>
          </w:p>
        </w:tc>
        <w:tc>
          <w:tcPr>
            <w:tcW w:w="420" w:type="dxa"/>
            <w:vAlign w:val="bottom"/>
          </w:tcPr>
          <w:p>
            <w:pPr>
              <w:spacing w:after="0"/>
              <w:rPr>
                <w:sz w:val="18"/>
                <w:szCs w:val="18"/>
                <w:color w:val="auto"/>
              </w:rPr>
            </w:pPr>
          </w:p>
        </w:tc>
        <w:tc>
          <w:tcPr>
            <w:tcW w:w="1500" w:type="dxa"/>
            <w:vAlign w:val="bottom"/>
            <w:gridSpan w:val="3"/>
          </w:tcPr>
          <w:p>
            <w:pPr>
              <w:jc w:val="right"/>
              <w:ind w:right="420"/>
              <w:spacing w:after="0"/>
              <w:rPr>
                <w:sz w:val="20"/>
                <w:szCs w:val="20"/>
                <w:color w:val="auto"/>
              </w:rPr>
            </w:pPr>
            <w:r>
              <w:rPr>
                <w:rFonts w:ascii="Arial" w:cs="Arial" w:eastAsia="Arial" w:hAnsi="Arial"/>
                <w:sz w:val="18"/>
                <w:szCs w:val="18"/>
                <w:color w:val="auto"/>
              </w:rPr>
              <w:t>2,641</w:t>
            </w:r>
          </w:p>
        </w:tc>
        <w:tc>
          <w:tcPr>
            <w:tcW w:w="1820" w:type="dxa"/>
            <w:vAlign w:val="bottom"/>
            <w:gridSpan w:val="3"/>
          </w:tcPr>
          <w:p>
            <w:pPr>
              <w:jc w:val="right"/>
              <w:ind w:right="720"/>
              <w:spacing w:after="0"/>
              <w:rPr>
                <w:sz w:val="20"/>
                <w:szCs w:val="20"/>
                <w:color w:val="auto"/>
              </w:rPr>
            </w:pPr>
            <w:r>
              <w:rPr>
                <w:rFonts w:ascii="Arial" w:cs="Arial" w:eastAsia="Arial" w:hAnsi="Arial"/>
                <w:sz w:val="18"/>
                <w:szCs w:val="18"/>
                <w:color w:val="auto"/>
              </w:rPr>
              <w:t>462</w:t>
            </w:r>
          </w:p>
        </w:tc>
        <w:tc>
          <w:tcPr>
            <w:tcW w:w="880" w:type="dxa"/>
            <w:vAlign w:val="bottom"/>
          </w:tcPr>
          <w:p>
            <w:pPr>
              <w:jc w:val="right"/>
              <w:spacing w:after="0"/>
              <w:rPr>
                <w:sz w:val="20"/>
                <w:szCs w:val="20"/>
                <w:color w:val="auto"/>
              </w:rPr>
            </w:pPr>
            <w:r>
              <w:rPr>
                <w:rFonts w:ascii="Arial" w:cs="Arial" w:eastAsia="Arial" w:hAnsi="Arial"/>
                <w:sz w:val="18"/>
                <w:szCs w:val="18"/>
                <w:color w:val="auto"/>
              </w:rPr>
              <w:t>2,369</w:t>
            </w:r>
          </w:p>
        </w:tc>
        <w:tc>
          <w:tcPr>
            <w:tcW w:w="220" w:type="dxa"/>
            <w:vAlign w:val="bottom"/>
          </w:tcPr>
          <w:p>
            <w:pPr>
              <w:spacing w:after="0"/>
              <w:rPr>
                <w:sz w:val="18"/>
                <w:szCs w:val="18"/>
                <w:color w:val="auto"/>
              </w:rPr>
            </w:pPr>
          </w:p>
        </w:tc>
      </w:tr>
      <w:tr>
        <w:trPr>
          <w:trHeight w:val="216"/>
        </w:trPr>
        <w:tc>
          <w:tcPr>
            <w:tcW w:w="4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5,429</w:t>
            </w:r>
          </w:p>
        </w:tc>
        <w:tc>
          <w:tcPr>
            <w:tcW w:w="7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9,814</w:t>
            </w:r>
          </w:p>
        </w:tc>
        <w:tc>
          <w:tcPr>
            <w:tcW w:w="420" w:type="dxa"/>
            <w:vAlign w:val="bottom"/>
            <w:shd w:val="clear" w:color="auto" w:fill="CCEEFF"/>
          </w:tcPr>
          <w:p>
            <w:pPr>
              <w:spacing w:after="0"/>
              <w:rPr>
                <w:sz w:val="18"/>
                <w:szCs w:val="18"/>
                <w:color w:val="auto"/>
              </w:rPr>
            </w:pPr>
          </w:p>
        </w:tc>
        <w:tc>
          <w:tcPr>
            <w:tcW w:w="1500" w:type="dxa"/>
            <w:vAlign w:val="bottom"/>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8,209</w:t>
            </w:r>
          </w:p>
        </w:tc>
        <w:tc>
          <w:tcPr>
            <w:tcW w:w="1820" w:type="dxa"/>
            <w:vAlign w:val="bottom"/>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(470) (6)</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6,741</w:t>
            </w:r>
          </w:p>
        </w:tc>
        <w:tc>
          <w:tcPr>
            <w:tcW w:w="220" w:type="dxa"/>
            <w:vAlign w:val="bottom"/>
            <w:shd w:val="clear" w:color="auto" w:fill="CCEEFF"/>
          </w:tcPr>
          <w:p>
            <w:pPr>
              <w:spacing w:after="0"/>
              <w:rPr>
                <w:sz w:val="18"/>
                <w:szCs w:val="18"/>
                <w:color w:val="auto"/>
              </w:rPr>
            </w:pPr>
          </w:p>
        </w:tc>
      </w:tr>
      <w:tr>
        <w:trPr>
          <w:trHeight w:val="216"/>
        </w:trPr>
        <w:tc>
          <w:tcPr>
            <w:tcW w:w="4100" w:type="dxa"/>
            <w:vAlign w:val="bottom"/>
            <w:gridSpan w:val="2"/>
          </w:tcPr>
          <w:p>
            <w:pPr>
              <w:spacing w:after="0"/>
              <w:rPr>
                <w:sz w:val="20"/>
                <w:szCs w:val="20"/>
                <w:color w:val="auto"/>
              </w:rPr>
            </w:pPr>
            <w:r>
              <w:rPr>
                <w:rFonts w:ascii="Arial" w:cs="Arial" w:eastAsia="Arial" w:hAnsi="Arial"/>
                <w:sz w:val="18"/>
                <w:szCs w:val="18"/>
                <w:color w:val="auto"/>
              </w:rPr>
              <w:t>Diluted earnings (loss) per share</w:t>
            </w:r>
          </w:p>
        </w:tc>
        <w:tc>
          <w:tcPr>
            <w:tcW w:w="900" w:type="dxa"/>
            <w:vAlign w:val="bottom"/>
          </w:tcPr>
          <w:p>
            <w:pPr>
              <w:jc w:val="right"/>
              <w:spacing w:after="0"/>
              <w:rPr>
                <w:sz w:val="20"/>
                <w:szCs w:val="20"/>
                <w:color w:val="auto"/>
              </w:rPr>
            </w:pPr>
            <w:r>
              <w:rPr>
                <w:rFonts w:ascii="Arial" w:cs="Arial" w:eastAsia="Arial" w:hAnsi="Arial"/>
                <w:sz w:val="18"/>
                <w:szCs w:val="18"/>
                <w:color w:val="auto"/>
              </w:rPr>
              <w:t>0.46</w:t>
            </w:r>
          </w:p>
        </w:tc>
        <w:tc>
          <w:tcPr>
            <w:tcW w:w="7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0.82</w:t>
            </w:r>
          </w:p>
        </w:tc>
        <w:tc>
          <w:tcPr>
            <w:tcW w:w="420" w:type="dxa"/>
            <w:vAlign w:val="bottom"/>
          </w:tcPr>
          <w:p>
            <w:pPr>
              <w:spacing w:after="0"/>
              <w:rPr>
                <w:sz w:val="18"/>
                <w:szCs w:val="18"/>
                <w:color w:val="auto"/>
              </w:rPr>
            </w:pPr>
          </w:p>
        </w:tc>
        <w:tc>
          <w:tcPr>
            <w:tcW w:w="1500" w:type="dxa"/>
            <w:vAlign w:val="bottom"/>
            <w:gridSpan w:val="3"/>
          </w:tcPr>
          <w:p>
            <w:pPr>
              <w:jc w:val="right"/>
              <w:ind w:right="420"/>
              <w:spacing w:after="0"/>
              <w:rPr>
                <w:sz w:val="20"/>
                <w:szCs w:val="20"/>
                <w:color w:val="auto"/>
              </w:rPr>
            </w:pPr>
            <w:r>
              <w:rPr>
                <w:rFonts w:ascii="Arial" w:cs="Arial" w:eastAsia="Arial" w:hAnsi="Arial"/>
                <w:sz w:val="18"/>
                <w:szCs w:val="18"/>
                <w:color w:val="auto"/>
              </w:rPr>
              <w:t>0.69</w:t>
            </w:r>
          </w:p>
        </w:tc>
        <w:tc>
          <w:tcPr>
            <w:tcW w:w="1820" w:type="dxa"/>
            <w:vAlign w:val="bottom"/>
            <w:gridSpan w:val="3"/>
          </w:tcPr>
          <w:p>
            <w:pPr>
              <w:jc w:val="right"/>
              <w:ind w:right="660"/>
              <w:spacing w:after="0"/>
              <w:rPr>
                <w:sz w:val="20"/>
                <w:szCs w:val="20"/>
                <w:color w:val="auto"/>
              </w:rPr>
            </w:pPr>
            <w:r>
              <w:rPr>
                <w:rFonts w:ascii="Arial" w:cs="Arial" w:eastAsia="Arial" w:hAnsi="Arial"/>
                <w:sz w:val="18"/>
                <w:szCs w:val="18"/>
                <w:color w:val="auto"/>
              </w:rPr>
              <w:t>(0.04)</w:t>
            </w:r>
          </w:p>
        </w:tc>
        <w:tc>
          <w:tcPr>
            <w:tcW w:w="880" w:type="dxa"/>
            <w:vAlign w:val="bottom"/>
          </w:tcPr>
          <w:p>
            <w:pPr>
              <w:jc w:val="right"/>
              <w:spacing w:after="0"/>
              <w:rPr>
                <w:sz w:val="20"/>
                <w:szCs w:val="20"/>
                <w:color w:val="auto"/>
              </w:rPr>
            </w:pPr>
            <w:r>
              <w:rPr>
                <w:rFonts w:ascii="Arial" w:cs="Arial" w:eastAsia="Arial" w:hAnsi="Arial"/>
                <w:sz w:val="18"/>
                <w:szCs w:val="18"/>
                <w:color w:val="auto"/>
              </w:rPr>
              <w:t>0.57</w:t>
            </w:r>
          </w:p>
        </w:tc>
        <w:tc>
          <w:tcPr>
            <w:tcW w:w="220" w:type="dxa"/>
            <w:vAlign w:val="bottom"/>
          </w:tcPr>
          <w:p>
            <w:pPr>
              <w:spacing w:after="0"/>
              <w:rPr>
                <w:sz w:val="18"/>
                <w:szCs w:val="18"/>
                <w:color w:val="auto"/>
              </w:rPr>
            </w:pPr>
          </w:p>
        </w:tc>
      </w:tr>
      <w:tr>
        <w:trPr>
          <w:trHeight w:val="216"/>
        </w:trPr>
        <w:tc>
          <w:tcPr>
            <w:tcW w:w="4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Cash dividends declared</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9,449</w:t>
            </w:r>
          </w:p>
        </w:tc>
        <w:tc>
          <w:tcPr>
            <w:tcW w:w="7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9,433</w:t>
            </w:r>
          </w:p>
        </w:tc>
        <w:tc>
          <w:tcPr>
            <w:tcW w:w="420" w:type="dxa"/>
            <w:vAlign w:val="bottom"/>
            <w:shd w:val="clear" w:color="auto" w:fill="CCEEFF"/>
          </w:tcPr>
          <w:p>
            <w:pPr>
              <w:spacing w:after="0"/>
              <w:rPr>
                <w:sz w:val="18"/>
                <w:szCs w:val="18"/>
                <w:color w:val="auto"/>
              </w:rPr>
            </w:pPr>
          </w:p>
        </w:tc>
        <w:tc>
          <w:tcPr>
            <w:tcW w:w="1500" w:type="dxa"/>
            <w:vAlign w:val="bottom"/>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9,355</w:t>
            </w:r>
          </w:p>
        </w:tc>
        <w:tc>
          <w:tcPr>
            <w:tcW w:w="1820" w:type="dxa"/>
            <w:vAlign w:val="bottom"/>
            <w:gridSpan w:val="3"/>
            <w:shd w:val="clear" w:color="auto" w:fill="CCEEFF"/>
          </w:tcPr>
          <w:p>
            <w:pPr>
              <w:jc w:val="right"/>
              <w:ind w:right="720"/>
              <w:spacing w:after="0"/>
              <w:rPr>
                <w:sz w:val="20"/>
                <w:szCs w:val="20"/>
                <w:color w:val="auto"/>
              </w:rPr>
            </w:pPr>
            <w:r>
              <w:rPr>
                <w:rFonts w:ascii="Arial" w:cs="Arial" w:eastAsia="Arial" w:hAnsi="Arial"/>
                <w:sz w:val="18"/>
                <w:szCs w:val="18"/>
                <w:color w:val="auto"/>
              </w:rPr>
              <w:t>9,261</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9,358</w:t>
            </w:r>
          </w:p>
        </w:tc>
        <w:tc>
          <w:tcPr>
            <w:tcW w:w="220" w:type="dxa"/>
            <w:vAlign w:val="bottom"/>
            <w:shd w:val="clear" w:color="auto" w:fill="CCEEFF"/>
          </w:tcPr>
          <w:p>
            <w:pPr>
              <w:spacing w:after="0"/>
              <w:rPr>
                <w:sz w:val="18"/>
                <w:szCs w:val="18"/>
                <w:color w:val="auto"/>
              </w:rPr>
            </w:pPr>
          </w:p>
        </w:tc>
      </w:tr>
      <w:tr>
        <w:trPr>
          <w:trHeight w:val="216"/>
        </w:trPr>
        <w:tc>
          <w:tcPr>
            <w:tcW w:w="4100" w:type="dxa"/>
            <w:vAlign w:val="bottom"/>
            <w:gridSpan w:val="2"/>
          </w:tcPr>
          <w:p>
            <w:pPr>
              <w:spacing w:after="0"/>
              <w:rPr>
                <w:sz w:val="20"/>
                <w:szCs w:val="20"/>
                <w:color w:val="auto"/>
              </w:rPr>
            </w:pPr>
            <w:r>
              <w:rPr>
                <w:rFonts w:ascii="Arial" w:cs="Arial" w:eastAsia="Arial" w:hAnsi="Arial"/>
                <w:sz w:val="18"/>
                <w:szCs w:val="18"/>
                <w:color w:val="auto"/>
              </w:rPr>
              <w:t>Cash dividends per share</w:t>
            </w:r>
          </w:p>
        </w:tc>
        <w:tc>
          <w:tcPr>
            <w:tcW w:w="900" w:type="dxa"/>
            <w:vAlign w:val="bottom"/>
          </w:tcPr>
          <w:p>
            <w:pPr>
              <w:jc w:val="right"/>
              <w:spacing w:after="0"/>
              <w:rPr>
                <w:sz w:val="20"/>
                <w:szCs w:val="20"/>
                <w:color w:val="auto"/>
              </w:rPr>
            </w:pPr>
            <w:r>
              <w:rPr>
                <w:rFonts w:ascii="Arial" w:cs="Arial" w:eastAsia="Arial" w:hAnsi="Arial"/>
                <w:sz w:val="18"/>
                <w:szCs w:val="18"/>
                <w:color w:val="auto"/>
              </w:rPr>
              <w:t>0.80</w:t>
            </w:r>
          </w:p>
        </w:tc>
        <w:tc>
          <w:tcPr>
            <w:tcW w:w="7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0.80</w:t>
            </w:r>
          </w:p>
        </w:tc>
        <w:tc>
          <w:tcPr>
            <w:tcW w:w="420" w:type="dxa"/>
            <w:vAlign w:val="bottom"/>
          </w:tcPr>
          <w:p>
            <w:pPr>
              <w:spacing w:after="0"/>
              <w:rPr>
                <w:sz w:val="18"/>
                <w:szCs w:val="18"/>
                <w:color w:val="auto"/>
              </w:rPr>
            </w:pPr>
          </w:p>
        </w:tc>
        <w:tc>
          <w:tcPr>
            <w:tcW w:w="1500" w:type="dxa"/>
            <w:vAlign w:val="bottom"/>
            <w:gridSpan w:val="3"/>
          </w:tcPr>
          <w:p>
            <w:pPr>
              <w:jc w:val="right"/>
              <w:ind w:right="420"/>
              <w:spacing w:after="0"/>
              <w:rPr>
                <w:sz w:val="20"/>
                <w:szCs w:val="20"/>
                <w:color w:val="auto"/>
              </w:rPr>
            </w:pPr>
            <w:r>
              <w:rPr>
                <w:rFonts w:ascii="Arial" w:cs="Arial" w:eastAsia="Arial" w:hAnsi="Arial"/>
                <w:sz w:val="18"/>
                <w:szCs w:val="18"/>
                <w:color w:val="auto"/>
              </w:rPr>
              <w:t>0.80</w:t>
            </w:r>
          </w:p>
        </w:tc>
        <w:tc>
          <w:tcPr>
            <w:tcW w:w="1820" w:type="dxa"/>
            <w:vAlign w:val="bottom"/>
            <w:gridSpan w:val="3"/>
          </w:tcPr>
          <w:p>
            <w:pPr>
              <w:jc w:val="right"/>
              <w:ind w:right="720"/>
              <w:spacing w:after="0"/>
              <w:rPr>
                <w:sz w:val="20"/>
                <w:szCs w:val="20"/>
                <w:color w:val="auto"/>
              </w:rPr>
            </w:pPr>
            <w:r>
              <w:rPr>
                <w:rFonts w:ascii="Arial" w:cs="Arial" w:eastAsia="Arial" w:hAnsi="Arial"/>
                <w:sz w:val="18"/>
                <w:szCs w:val="18"/>
                <w:color w:val="auto"/>
              </w:rPr>
              <w:t>0.80</w:t>
            </w:r>
          </w:p>
        </w:tc>
        <w:tc>
          <w:tcPr>
            <w:tcW w:w="880" w:type="dxa"/>
            <w:vAlign w:val="bottom"/>
          </w:tcPr>
          <w:p>
            <w:pPr>
              <w:jc w:val="right"/>
              <w:spacing w:after="0"/>
              <w:rPr>
                <w:sz w:val="20"/>
                <w:szCs w:val="20"/>
                <w:color w:val="auto"/>
              </w:rPr>
            </w:pPr>
            <w:r>
              <w:rPr>
                <w:rFonts w:ascii="Arial" w:cs="Arial" w:eastAsia="Arial" w:hAnsi="Arial"/>
                <w:sz w:val="18"/>
                <w:szCs w:val="18"/>
                <w:color w:val="auto"/>
              </w:rPr>
              <w:t>0.80</w:t>
            </w:r>
          </w:p>
        </w:tc>
        <w:tc>
          <w:tcPr>
            <w:tcW w:w="220" w:type="dxa"/>
            <w:vAlign w:val="bottom"/>
          </w:tcPr>
          <w:p>
            <w:pPr>
              <w:spacing w:after="0"/>
              <w:rPr>
                <w:sz w:val="18"/>
                <w:szCs w:val="18"/>
                <w:color w:val="auto"/>
              </w:rPr>
            </w:pPr>
          </w:p>
        </w:tc>
      </w:tr>
      <w:tr>
        <w:trPr>
          <w:trHeight w:val="216"/>
        </w:trPr>
        <w:tc>
          <w:tcPr>
            <w:tcW w:w="4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assets</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309,937</w:t>
            </w:r>
          </w:p>
        </w:tc>
        <w:tc>
          <w:tcPr>
            <w:tcW w:w="7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313,158</w:t>
            </w:r>
          </w:p>
        </w:tc>
        <w:tc>
          <w:tcPr>
            <w:tcW w:w="420" w:type="dxa"/>
            <w:vAlign w:val="bottom"/>
            <w:shd w:val="clear" w:color="auto" w:fill="CCEEFF"/>
          </w:tcPr>
          <w:p>
            <w:pPr>
              <w:spacing w:after="0"/>
              <w:rPr>
                <w:sz w:val="18"/>
                <w:szCs w:val="18"/>
                <w:color w:val="auto"/>
              </w:rPr>
            </w:pPr>
          </w:p>
        </w:tc>
        <w:tc>
          <w:tcPr>
            <w:tcW w:w="1500" w:type="dxa"/>
            <w:vAlign w:val="bottom"/>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299,477</w:t>
            </w:r>
          </w:p>
        </w:tc>
        <w:tc>
          <w:tcPr>
            <w:tcW w:w="1820" w:type="dxa"/>
            <w:vAlign w:val="bottom"/>
            <w:gridSpan w:val="3"/>
            <w:shd w:val="clear" w:color="auto" w:fill="CCEEFF"/>
          </w:tcPr>
          <w:p>
            <w:pPr>
              <w:jc w:val="right"/>
              <w:ind w:right="720"/>
              <w:spacing w:after="0"/>
              <w:rPr>
                <w:sz w:val="20"/>
                <w:szCs w:val="20"/>
                <w:color w:val="auto"/>
              </w:rPr>
            </w:pPr>
            <w:r>
              <w:rPr>
                <w:rFonts w:ascii="Arial" w:cs="Arial" w:eastAsia="Arial" w:hAnsi="Arial"/>
                <w:sz w:val="18"/>
                <w:szCs w:val="18"/>
                <w:color w:val="auto"/>
              </w:rPr>
              <w:t>281,891</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292,991</w:t>
            </w:r>
          </w:p>
        </w:tc>
        <w:tc>
          <w:tcPr>
            <w:tcW w:w="220" w:type="dxa"/>
            <w:vAlign w:val="bottom"/>
            <w:shd w:val="clear" w:color="auto" w:fill="CCEEFF"/>
          </w:tcPr>
          <w:p>
            <w:pPr>
              <w:spacing w:after="0"/>
              <w:rPr>
                <w:sz w:val="18"/>
                <w:szCs w:val="18"/>
                <w:color w:val="auto"/>
              </w:rPr>
            </w:pPr>
          </w:p>
        </w:tc>
      </w:tr>
      <w:tr>
        <w:trPr>
          <w:trHeight w:val="216"/>
        </w:trPr>
        <w:tc>
          <w:tcPr>
            <w:tcW w:w="4100" w:type="dxa"/>
            <w:vAlign w:val="bottom"/>
            <w:gridSpan w:val="2"/>
          </w:tcPr>
          <w:p>
            <w:pPr>
              <w:spacing w:after="0"/>
              <w:rPr>
                <w:sz w:val="20"/>
                <w:szCs w:val="20"/>
                <w:color w:val="auto"/>
              </w:rPr>
            </w:pPr>
            <w:r>
              <w:rPr>
                <w:rFonts w:ascii="Arial" w:cs="Arial" w:eastAsia="Arial" w:hAnsi="Arial"/>
                <w:sz w:val="18"/>
                <w:szCs w:val="18"/>
                <w:color w:val="auto"/>
              </w:rPr>
              <w:t>Long-term debt</w:t>
            </w:r>
          </w:p>
        </w:tc>
        <w:tc>
          <w:tcPr>
            <w:tcW w:w="900" w:type="dxa"/>
            <w:vAlign w:val="bottom"/>
          </w:tcPr>
          <w:p>
            <w:pPr>
              <w:jc w:val="right"/>
              <w:spacing w:after="0"/>
              <w:rPr>
                <w:sz w:val="20"/>
                <w:szCs w:val="20"/>
                <w:color w:val="auto"/>
              </w:rPr>
            </w:pPr>
            <w:r>
              <w:rPr>
                <w:rFonts w:ascii="Arial" w:cs="Arial" w:eastAsia="Arial" w:hAnsi="Arial"/>
                <w:sz w:val="18"/>
                <w:szCs w:val="18"/>
                <w:color w:val="auto"/>
              </w:rPr>
              <w:t>23,522</w:t>
            </w:r>
          </w:p>
        </w:tc>
        <w:tc>
          <w:tcPr>
            <w:tcW w:w="7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19,054</w:t>
            </w:r>
          </w:p>
        </w:tc>
        <w:tc>
          <w:tcPr>
            <w:tcW w:w="420" w:type="dxa"/>
            <w:vAlign w:val="bottom"/>
          </w:tcPr>
          <w:p>
            <w:pPr>
              <w:spacing w:after="0"/>
              <w:rPr>
                <w:sz w:val="18"/>
                <w:szCs w:val="18"/>
                <w:color w:val="auto"/>
              </w:rPr>
            </w:pPr>
          </w:p>
        </w:tc>
        <w:tc>
          <w:tcPr>
            <w:tcW w:w="1500" w:type="dxa"/>
            <w:vAlign w:val="bottom"/>
            <w:gridSpan w:val="3"/>
          </w:tcPr>
          <w:p>
            <w:pPr>
              <w:jc w:val="right"/>
              <w:ind w:right="420"/>
              <w:spacing w:after="0"/>
              <w:rPr>
                <w:sz w:val="20"/>
                <w:szCs w:val="20"/>
                <w:color w:val="auto"/>
              </w:rPr>
            </w:pPr>
            <w:r>
              <w:rPr>
                <w:rFonts w:ascii="Arial" w:cs="Arial" w:eastAsia="Arial" w:hAnsi="Arial"/>
                <w:sz w:val="18"/>
                <w:szCs w:val="18"/>
                <w:color w:val="auto"/>
              </w:rPr>
              <w:t>15,604</w:t>
            </w:r>
          </w:p>
        </w:tc>
        <w:tc>
          <w:tcPr>
            <w:tcW w:w="200" w:type="dxa"/>
            <w:vAlign w:val="bottom"/>
          </w:tcPr>
          <w:p>
            <w:pPr>
              <w:spacing w:after="0"/>
              <w:rPr>
                <w:sz w:val="18"/>
                <w:szCs w:val="18"/>
                <w:color w:val="auto"/>
              </w:rPr>
            </w:pPr>
          </w:p>
        </w:tc>
        <w:tc>
          <w:tcPr>
            <w:tcW w:w="1620" w:type="dxa"/>
            <w:vAlign w:val="bottom"/>
            <w:gridSpan w:val="2"/>
          </w:tcPr>
          <w:p>
            <w:pPr>
              <w:jc w:val="right"/>
              <w:ind w:right="820"/>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3,000</w:t>
            </w:r>
          </w:p>
        </w:tc>
        <w:tc>
          <w:tcPr>
            <w:tcW w:w="220" w:type="dxa"/>
            <w:vAlign w:val="bottom"/>
          </w:tcPr>
          <w:p>
            <w:pPr>
              <w:spacing w:after="0"/>
              <w:rPr>
                <w:sz w:val="18"/>
                <w:szCs w:val="18"/>
                <w:color w:val="auto"/>
              </w:rPr>
            </w:pPr>
          </w:p>
        </w:tc>
      </w:tr>
      <w:tr>
        <w:trPr>
          <w:trHeight w:val="216"/>
        </w:trPr>
        <w:tc>
          <w:tcPr>
            <w:tcW w:w="4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Current ratio</w:t>
            </w:r>
          </w:p>
        </w:tc>
        <w:tc>
          <w:tcPr>
            <w:tcW w:w="160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rPr>
              <w:t>2.43 to 1</w:t>
            </w:r>
          </w:p>
        </w:tc>
        <w:tc>
          <w:tcPr>
            <w:tcW w:w="130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2.19 to 1</w:t>
            </w:r>
          </w:p>
        </w:tc>
        <w:tc>
          <w:tcPr>
            <w:tcW w:w="2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2.66 to 1</w:t>
            </w:r>
          </w:p>
        </w:tc>
        <w:tc>
          <w:tcPr>
            <w:tcW w:w="20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720"/>
              <w:spacing w:after="0"/>
              <w:rPr>
                <w:sz w:val="20"/>
                <w:szCs w:val="20"/>
                <w:color w:val="auto"/>
              </w:rPr>
            </w:pPr>
            <w:r>
              <w:rPr>
                <w:rFonts w:ascii="Arial" w:cs="Arial" w:eastAsia="Arial" w:hAnsi="Arial"/>
                <w:sz w:val="18"/>
                <w:szCs w:val="18"/>
                <w:color w:val="auto"/>
              </w:rPr>
              <w:t>2.78 to 1</w:t>
            </w: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3.02 to 1</w:t>
            </w:r>
          </w:p>
        </w:tc>
      </w:tr>
      <w:tr>
        <w:trPr>
          <w:trHeight w:val="216"/>
        </w:trPr>
        <w:tc>
          <w:tcPr>
            <w:tcW w:w="4100" w:type="dxa"/>
            <w:vAlign w:val="bottom"/>
            <w:gridSpan w:val="2"/>
          </w:tcPr>
          <w:p>
            <w:pPr>
              <w:spacing w:after="0"/>
              <w:rPr>
                <w:sz w:val="20"/>
                <w:szCs w:val="20"/>
                <w:color w:val="auto"/>
              </w:rPr>
            </w:pPr>
            <w:r>
              <w:rPr>
                <w:rFonts w:ascii="Arial" w:cs="Arial" w:eastAsia="Arial" w:hAnsi="Arial"/>
                <w:sz w:val="18"/>
                <w:szCs w:val="18"/>
                <w:color w:val="auto"/>
              </w:rPr>
              <w:t>Book value per share</w:t>
            </w:r>
          </w:p>
        </w:tc>
        <w:tc>
          <w:tcPr>
            <w:tcW w:w="900" w:type="dxa"/>
            <w:vAlign w:val="bottom"/>
          </w:tcPr>
          <w:p>
            <w:pPr>
              <w:jc w:val="right"/>
              <w:spacing w:after="0"/>
              <w:rPr>
                <w:sz w:val="20"/>
                <w:szCs w:val="20"/>
                <w:color w:val="auto"/>
              </w:rPr>
            </w:pPr>
            <w:r>
              <w:rPr>
                <w:rFonts w:ascii="Arial" w:cs="Arial" w:eastAsia="Arial" w:hAnsi="Arial"/>
                <w:sz w:val="18"/>
                <w:szCs w:val="18"/>
                <w:color w:val="auto"/>
              </w:rPr>
              <w:t>18.28</w:t>
            </w:r>
          </w:p>
        </w:tc>
        <w:tc>
          <w:tcPr>
            <w:tcW w:w="7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18.61</w:t>
            </w:r>
          </w:p>
        </w:tc>
        <w:tc>
          <w:tcPr>
            <w:tcW w:w="420" w:type="dxa"/>
            <w:vAlign w:val="bottom"/>
          </w:tcPr>
          <w:p>
            <w:pPr>
              <w:spacing w:after="0"/>
              <w:rPr>
                <w:sz w:val="18"/>
                <w:szCs w:val="18"/>
                <w:color w:val="auto"/>
              </w:rPr>
            </w:pPr>
          </w:p>
        </w:tc>
        <w:tc>
          <w:tcPr>
            <w:tcW w:w="1500" w:type="dxa"/>
            <w:vAlign w:val="bottom"/>
            <w:gridSpan w:val="3"/>
          </w:tcPr>
          <w:p>
            <w:pPr>
              <w:jc w:val="right"/>
              <w:ind w:right="420"/>
              <w:spacing w:after="0"/>
              <w:rPr>
                <w:sz w:val="20"/>
                <w:szCs w:val="20"/>
                <w:color w:val="auto"/>
              </w:rPr>
            </w:pPr>
            <w:r>
              <w:rPr>
                <w:rFonts w:ascii="Arial" w:cs="Arial" w:eastAsia="Arial" w:hAnsi="Arial"/>
                <w:sz w:val="18"/>
                <w:szCs w:val="18"/>
                <w:color w:val="auto"/>
              </w:rPr>
              <w:t>18.58</w:t>
            </w:r>
          </w:p>
        </w:tc>
        <w:tc>
          <w:tcPr>
            <w:tcW w:w="1820" w:type="dxa"/>
            <w:vAlign w:val="bottom"/>
            <w:gridSpan w:val="3"/>
          </w:tcPr>
          <w:p>
            <w:pPr>
              <w:jc w:val="right"/>
              <w:ind w:right="720"/>
              <w:spacing w:after="0"/>
              <w:rPr>
                <w:sz w:val="20"/>
                <w:szCs w:val="20"/>
                <w:color w:val="auto"/>
              </w:rPr>
            </w:pPr>
            <w:r>
              <w:rPr>
                <w:rFonts w:ascii="Arial" w:cs="Arial" w:eastAsia="Arial" w:hAnsi="Arial"/>
                <w:sz w:val="18"/>
                <w:szCs w:val="18"/>
                <w:color w:val="auto"/>
              </w:rPr>
              <w:t>18.69</w:t>
            </w:r>
          </w:p>
        </w:tc>
        <w:tc>
          <w:tcPr>
            <w:tcW w:w="880" w:type="dxa"/>
            <w:vAlign w:val="bottom"/>
          </w:tcPr>
          <w:p>
            <w:pPr>
              <w:jc w:val="right"/>
              <w:spacing w:after="0"/>
              <w:rPr>
                <w:sz w:val="20"/>
                <w:szCs w:val="20"/>
                <w:color w:val="auto"/>
              </w:rPr>
            </w:pPr>
            <w:r>
              <w:rPr>
                <w:rFonts w:ascii="Arial" w:cs="Arial" w:eastAsia="Arial" w:hAnsi="Arial"/>
                <w:sz w:val="18"/>
                <w:szCs w:val="18"/>
                <w:color w:val="auto"/>
              </w:rPr>
              <w:t>19.42</w:t>
            </w:r>
          </w:p>
        </w:tc>
        <w:tc>
          <w:tcPr>
            <w:tcW w:w="220" w:type="dxa"/>
            <w:vAlign w:val="bottom"/>
          </w:tcPr>
          <w:p>
            <w:pPr>
              <w:spacing w:after="0"/>
              <w:rPr>
                <w:sz w:val="18"/>
                <w:szCs w:val="18"/>
                <w:color w:val="auto"/>
              </w:rPr>
            </w:pPr>
          </w:p>
        </w:tc>
      </w:tr>
      <w:tr>
        <w:trPr>
          <w:trHeight w:val="216"/>
        </w:trPr>
        <w:tc>
          <w:tcPr>
            <w:tcW w:w="4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Weighted average number of shares</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11,808,053</w:t>
            </w:r>
          </w:p>
        </w:tc>
        <w:tc>
          <w:tcPr>
            <w:tcW w:w="7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w w:val="95"/>
              </w:rPr>
              <w:t>11,785,613</w:t>
            </w:r>
          </w:p>
        </w:tc>
        <w:tc>
          <w:tcPr>
            <w:tcW w:w="1500" w:type="dxa"/>
            <w:vAlign w:val="bottom"/>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11,686,649</w:t>
            </w:r>
          </w:p>
        </w:tc>
        <w:tc>
          <w:tcPr>
            <w:tcW w:w="1820" w:type="dxa"/>
            <w:vAlign w:val="bottom"/>
            <w:gridSpan w:val="3"/>
            <w:shd w:val="clear" w:color="auto" w:fill="CCEEFF"/>
          </w:tcPr>
          <w:p>
            <w:pPr>
              <w:jc w:val="right"/>
              <w:ind w:right="720"/>
              <w:spacing w:after="0"/>
              <w:rPr>
                <w:sz w:val="20"/>
                <w:szCs w:val="20"/>
                <w:color w:val="auto"/>
              </w:rPr>
            </w:pPr>
            <w:r>
              <w:rPr>
                <w:rFonts w:ascii="Arial" w:cs="Arial" w:eastAsia="Arial" w:hAnsi="Arial"/>
                <w:sz w:val="18"/>
                <w:szCs w:val="18"/>
                <w:color w:val="auto"/>
              </w:rPr>
              <w:t>11,608,853</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11,697,519</w:t>
            </w:r>
          </w:p>
        </w:tc>
        <w:tc>
          <w:tcPr>
            <w:tcW w:w="220" w:type="dxa"/>
            <w:vAlign w:val="bottom"/>
            <w:shd w:val="clear" w:color="auto" w:fill="CCEEFF"/>
          </w:tcPr>
          <w:p>
            <w:pPr>
              <w:spacing w:after="0"/>
              <w:rPr>
                <w:sz w:val="18"/>
                <w:szCs w:val="18"/>
                <w:color w:val="auto"/>
              </w:rPr>
            </w:pPr>
          </w:p>
        </w:tc>
      </w:tr>
      <w:tr>
        <w:trPr>
          <w:trHeight w:val="108"/>
        </w:trPr>
        <w:tc>
          <w:tcPr>
            <w:tcW w:w="960" w:type="dxa"/>
            <w:vAlign w:val="bottom"/>
            <w:tcBorders>
              <w:bottom w:val="single" w:sz="8" w:color="auto"/>
            </w:tcBorders>
          </w:tcPr>
          <w:p>
            <w:pPr>
              <w:spacing w:after="0"/>
              <w:rPr>
                <w:sz w:val="9"/>
                <w:szCs w:val="9"/>
                <w:color w:val="auto"/>
              </w:rPr>
            </w:pPr>
          </w:p>
        </w:tc>
        <w:tc>
          <w:tcPr>
            <w:tcW w:w="3140" w:type="dxa"/>
            <w:vAlign w:val="bottom"/>
          </w:tcPr>
          <w:p>
            <w:pPr>
              <w:spacing w:after="0"/>
              <w:rPr>
                <w:sz w:val="9"/>
                <w:szCs w:val="9"/>
                <w:color w:val="auto"/>
              </w:rPr>
            </w:pPr>
          </w:p>
        </w:tc>
        <w:tc>
          <w:tcPr>
            <w:tcW w:w="900" w:type="dxa"/>
            <w:vAlign w:val="bottom"/>
          </w:tcPr>
          <w:p>
            <w:pPr>
              <w:spacing w:after="0"/>
              <w:rPr>
                <w:sz w:val="9"/>
                <w:szCs w:val="9"/>
                <w:color w:val="auto"/>
              </w:rPr>
            </w:pPr>
          </w:p>
        </w:tc>
        <w:tc>
          <w:tcPr>
            <w:tcW w:w="700" w:type="dxa"/>
            <w:vAlign w:val="bottom"/>
          </w:tcPr>
          <w:p>
            <w:pPr>
              <w:spacing w:after="0"/>
              <w:rPr>
                <w:sz w:val="9"/>
                <w:szCs w:val="9"/>
                <w:color w:val="auto"/>
              </w:rPr>
            </w:pPr>
          </w:p>
        </w:tc>
        <w:tc>
          <w:tcPr>
            <w:tcW w:w="880" w:type="dxa"/>
            <w:vAlign w:val="bottom"/>
          </w:tcPr>
          <w:p>
            <w:pPr>
              <w:spacing w:after="0"/>
              <w:rPr>
                <w:sz w:val="9"/>
                <w:szCs w:val="9"/>
                <w:color w:val="auto"/>
              </w:rPr>
            </w:pPr>
          </w:p>
        </w:tc>
        <w:tc>
          <w:tcPr>
            <w:tcW w:w="4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80" w:type="dxa"/>
            <w:vAlign w:val="bottom"/>
          </w:tcPr>
          <w:p>
            <w:pPr>
              <w:spacing w:after="0"/>
              <w:rPr>
                <w:sz w:val="9"/>
                <w:szCs w:val="9"/>
                <w:color w:val="auto"/>
              </w:rPr>
            </w:pPr>
          </w:p>
        </w:tc>
        <w:tc>
          <w:tcPr>
            <w:tcW w:w="420" w:type="dxa"/>
            <w:vAlign w:val="bottom"/>
          </w:tcPr>
          <w:p>
            <w:pPr>
              <w:spacing w:after="0"/>
              <w:rPr>
                <w:sz w:val="9"/>
                <w:szCs w:val="9"/>
                <w:color w:val="auto"/>
              </w:rPr>
            </w:pPr>
          </w:p>
        </w:tc>
        <w:tc>
          <w:tcPr>
            <w:tcW w:w="200" w:type="dxa"/>
            <w:vAlign w:val="bottom"/>
          </w:tcPr>
          <w:p>
            <w:pPr>
              <w:spacing w:after="0"/>
              <w:rPr>
                <w:sz w:val="9"/>
                <w:szCs w:val="9"/>
                <w:color w:val="auto"/>
              </w:rPr>
            </w:pPr>
          </w:p>
        </w:tc>
        <w:tc>
          <w:tcPr>
            <w:tcW w:w="900" w:type="dxa"/>
            <w:vAlign w:val="bottom"/>
          </w:tcPr>
          <w:p>
            <w:pPr>
              <w:spacing w:after="0"/>
              <w:rPr>
                <w:sz w:val="9"/>
                <w:szCs w:val="9"/>
                <w:color w:val="auto"/>
              </w:rPr>
            </w:pPr>
          </w:p>
        </w:tc>
        <w:tc>
          <w:tcPr>
            <w:tcW w:w="720" w:type="dxa"/>
            <w:vAlign w:val="bottom"/>
          </w:tcPr>
          <w:p>
            <w:pPr>
              <w:spacing w:after="0"/>
              <w:rPr>
                <w:sz w:val="9"/>
                <w:szCs w:val="9"/>
                <w:color w:val="auto"/>
              </w:rPr>
            </w:pPr>
          </w:p>
        </w:tc>
        <w:tc>
          <w:tcPr>
            <w:tcW w:w="880" w:type="dxa"/>
            <w:vAlign w:val="bottom"/>
          </w:tcPr>
          <w:p>
            <w:pPr>
              <w:spacing w:after="0"/>
              <w:rPr>
                <w:sz w:val="9"/>
                <w:szCs w:val="9"/>
                <w:color w:val="auto"/>
              </w:rPr>
            </w:pPr>
          </w:p>
        </w:tc>
        <w:tc>
          <w:tcPr>
            <w:tcW w:w="220" w:type="dxa"/>
            <w:vAlign w:val="bottom"/>
          </w:tcPr>
          <w:p>
            <w:pPr>
              <w:spacing w:after="0"/>
              <w:rPr>
                <w:sz w:val="9"/>
                <w:szCs w:val="9"/>
                <w:color w:val="auto"/>
              </w:rPr>
            </w:pPr>
          </w:p>
        </w:tc>
      </w:tr>
    </w:tbl>
    <w:p>
      <w:pPr>
        <w:spacing w:after="0" w:line="100" w:lineRule="exact"/>
        <w:rPr>
          <w:sz w:val="20"/>
          <w:szCs w:val="20"/>
          <w:color w:val="auto"/>
        </w:rPr>
      </w:pPr>
    </w:p>
    <w:p>
      <w:pPr>
        <w:ind w:left="460" w:hanging="452"/>
        <w:spacing w:after="0"/>
        <w:tabs>
          <w:tab w:leader="none" w:pos="4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See Note 2 to the Consolidated Financial Statements related to restatements of previously issued financial statements.</w:t>
      </w:r>
    </w:p>
    <w:p>
      <w:pPr>
        <w:spacing w:after="0" w:line="15" w:lineRule="exact"/>
        <w:rPr>
          <w:sz w:val="20"/>
          <w:szCs w:val="20"/>
          <w:color w:val="auto"/>
        </w:rPr>
      </w:pPr>
    </w:p>
    <w:p>
      <w:pPr>
        <w:ind w:left="460" w:hanging="452"/>
        <w:spacing w:after="0"/>
        <w:tabs>
          <w:tab w:leader="none" w:pos="4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See Note 8 to the Consolidated Financial Statements related to a $1,359 impairment charge recorded in 2006.</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See Note 14 to the Consolidated Financial Statements related to $1,960 restructuring and asset impairment charges recorded in 2005.</w:t>
      </w:r>
    </w:p>
    <w:p>
      <w:pPr>
        <w:spacing w:after="0" w:line="9" w:lineRule="exact"/>
        <w:rPr>
          <w:rFonts w:ascii="Arial" w:cs="Arial" w:eastAsia="Arial" w:hAnsi="Arial"/>
          <w:sz w:val="18"/>
          <w:szCs w:val="18"/>
          <w:color w:val="auto"/>
        </w:rPr>
      </w:pPr>
    </w:p>
    <w:p>
      <w:pPr>
        <w:ind w:left="460" w:right="40" w:hanging="452"/>
        <w:spacing w:after="0" w:line="250" w:lineRule="auto"/>
        <w:tabs>
          <w:tab w:leader="none" w:pos="4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See Note 14 to the Consolidated Financial Statements related to $4,060 restructuring and asset impairment charges recorded in 2004 and Note 5 related to a $3,890 gain recognized on the sale of our California upholstery operation in 2004.</w:t>
      </w:r>
    </w:p>
    <w:p>
      <w:pPr>
        <w:ind w:left="460" w:hanging="452"/>
        <w:spacing w:after="0"/>
        <w:tabs>
          <w:tab w:leader="none" w:pos="4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Includes $3,200 of restructuring and asset impairment charges recorded in 2003.</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Includes $1,251 of restructuring charges recorded in 2002.</w:t>
      </w:r>
    </w:p>
    <w:p>
      <w:pPr>
        <w:spacing w:after="0" w:line="9" w:lineRule="exact"/>
        <w:rPr>
          <w:rFonts w:ascii="Arial" w:cs="Arial" w:eastAsia="Arial" w:hAnsi="Arial"/>
          <w:sz w:val="18"/>
          <w:szCs w:val="18"/>
          <w:color w:val="auto"/>
        </w:rPr>
      </w:pPr>
    </w:p>
    <w:p>
      <w:pPr>
        <w:ind w:left="460" w:right="280" w:hanging="452"/>
        <w:spacing w:after="0" w:line="261" w:lineRule="auto"/>
        <w:tabs>
          <w:tab w:leader="none" w:pos="4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Includes $4,875 cumulative effect adjustment related to the adoption of FASB Interpretation No. 46(R), “Consolidation of Variable Interest Entities—an Interpretation of ARB No. 51”.</w:t>
      </w:r>
    </w:p>
    <w:p>
      <w:pPr>
        <w:spacing w:after="0" w:line="1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- 47</w:t>
      </w:r>
    </w:p>
    <w:p>
      <w:pPr>
        <w:sectPr>
          <w:pgSz w:w="11900" w:h="16838" w:orient="portrait"/>
          <w:cols w:equalWidth="0" w:num="1">
            <w:col w:w="11420"/>
          </w:cols>
          <w:pgMar w:left="240" w:top="459" w:right="239" w:bottom="1440" w:gutter="0" w:footer="0" w:header="0"/>
        </w:sectPr>
      </w:pPr>
    </w:p>
    <w:bookmarkStart w:id="66" w:name="page67"/>
    <w:bookmarkEnd w:id="6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Report on Internal Control over Financial Reporting</w:t>
      </w:r>
    </w:p>
    <w:p>
      <w:pPr>
        <w:spacing w:after="0" w:line="96"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Management is responsible for establishing and maintaining adequate internal control over financial reporting in accordance with Exchange Act Rule 13a-15. With the participation of our Chief Executive Officer and Chief Financial Officer, our management conducted an evaluation of the effectiveness of our internal control over financial reporting as of November 25, 2006, based on the criteria established in Internal Control - Integrated Framework issued by the Committee of Sponsoring Organizations of the Treadway Commission.</w:t>
      </w:r>
    </w:p>
    <w:p>
      <w:pPr>
        <w:spacing w:after="0" w:line="143"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A control system, no matter how well conceived and operated, can provide only reasonable, not absolute, assurance that the objectives of the control system are met. Because of the inherent limitations in all control systems, no evaluation of controls can provide absolute assurance that all control issues and instances of fraud, if any, within the Company have been detected.</w:t>
      </w:r>
    </w:p>
    <w:p>
      <w:pPr>
        <w:spacing w:after="0" w:line="140" w:lineRule="exact"/>
        <w:rPr>
          <w:sz w:val="20"/>
          <w:szCs w:val="20"/>
          <w:color w:val="auto"/>
        </w:rPr>
      </w:pPr>
    </w:p>
    <w:p>
      <w:pPr>
        <w:ind w:right="160"/>
        <w:spacing w:after="0" w:line="291" w:lineRule="auto"/>
        <w:rPr>
          <w:sz w:val="20"/>
          <w:szCs w:val="20"/>
          <w:color w:val="auto"/>
        </w:rPr>
      </w:pPr>
      <w:r>
        <w:rPr>
          <w:rFonts w:ascii="Arial" w:cs="Arial" w:eastAsia="Arial" w:hAnsi="Arial"/>
          <w:sz w:val="16"/>
          <w:szCs w:val="16"/>
          <w:color w:val="auto"/>
        </w:rPr>
        <w:t>A material weakness is a control deficiency, or combination of control deficiencies, that results in more than a remote likelihood that a material misstatement of the annual or interim financial statements will not be prevented or detected. Our assessment as of November 25, 2006, identified a material weakness in that we lack sufficient management control processes and accounting personnel to ensure that certain non-routine transactions are properly accounted for and disclosed. This control deficiency resulted in the restatements described in Note 2 to our Consolidated Financial Statements relating to certain purchase accounting transactions and the unfunded liability associated with our Supplemental Retirement Income Plan. Additionally, this control deficiency, if not remediated, could result in a material misstatement to annual or interim consolidated financial statements that would not be prevented or detected.</w:t>
      </w:r>
    </w:p>
    <w:p>
      <w:pPr>
        <w:spacing w:after="0" w:line="120"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color w:val="auto"/>
        </w:rPr>
        <w:t>Based on this evaluation and the material weakness noted above, management concluded that our internal control over financial reporting was not effective as of November 25, 2006.</w:t>
      </w:r>
    </w:p>
    <w:p>
      <w:pPr>
        <w:spacing w:after="0" w:line="132" w:lineRule="exact"/>
        <w:rPr>
          <w:sz w:val="20"/>
          <w:szCs w:val="20"/>
          <w:color w:val="auto"/>
        </w:rPr>
      </w:pPr>
    </w:p>
    <w:p>
      <w:pPr>
        <w:ind w:right="600"/>
        <w:spacing w:after="0" w:line="268" w:lineRule="auto"/>
        <w:rPr>
          <w:sz w:val="20"/>
          <w:szCs w:val="20"/>
          <w:color w:val="auto"/>
        </w:rPr>
      </w:pPr>
      <w:r>
        <w:rPr>
          <w:rFonts w:ascii="Arial" w:cs="Arial" w:eastAsia="Arial" w:hAnsi="Arial"/>
          <w:sz w:val="18"/>
          <w:szCs w:val="18"/>
          <w:color w:val="auto"/>
        </w:rPr>
        <w:t>Our assessment of the effectiveness of our internal control over financial reporting as of November 25, 2006, has been audited by Ernst &amp; Young LLP, an independent registered public accounting firm, as stated in their report which is included herein.</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color w:val="auto"/>
        </w:rPr>
        <w:t>Bassett Furniture Industries,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Bassett, Virginia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February 7, 2007</w:t>
      </w: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- 48</w:t>
      </w:r>
    </w:p>
    <w:p>
      <w:pPr>
        <w:sectPr>
          <w:pgSz w:w="11900" w:h="16838" w:orient="portrait"/>
          <w:cols w:equalWidth="0" w:num="1">
            <w:col w:w="11400"/>
          </w:cols>
          <w:pgMar w:left="240" w:top="459" w:right="259" w:bottom="1440" w:gutter="0" w:footer="0" w:header="0"/>
        </w:sectPr>
      </w:pPr>
    </w:p>
    <w:bookmarkStart w:id="67" w:name="page68"/>
    <w:bookmarkEnd w:id="6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 and Shareholders of Bassett Furniture Industries, Incorporated:</w:t>
      </w:r>
    </w:p>
    <w:p>
      <w:pPr>
        <w:spacing w:after="0" w:line="171"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We have audited the accompanying consolidated balance sheets of Bassett Furniture Industries, Incorporated and subsidiaries as of November 25, 2006 and November 26, 2005, and the related consolidated statements of income, shareholders’ equity, and cash flows for each of the three years in the period ended November 25, 2006. These financial statements are the responsibility of the Company’s management. Our responsibility is to express an opinion on these financial statements based on our audits. The financial statements of International Home Furnishings Center, Inc. (a corporation in which the Company has a 47% interest), have been audited by other auditors whose report has been furnished to us, and our opinion on the consolidated financial statements, insofar as it relates to the amounts included for International Home Furnishings Center, Inc., is based solely on the report of the other auditors. In the consolidated financial statements, the Company’s investment in International Home Furnishings Center, Inc. is stated at $(11,726,000) and $(11,833,000), respectively at November 25, 2006 and November 26, 2005, and the Company’s equity in the net income of International Home Furnishings Center, Inc. is stated at $6,666,000, $6,367,000, and $6,116,000 for each of the three years in the period ended November 26, 2006.</w:t>
      </w:r>
    </w:p>
    <w:p>
      <w:pPr>
        <w:spacing w:after="0" w:line="120" w:lineRule="exact"/>
        <w:rPr>
          <w:sz w:val="20"/>
          <w:szCs w:val="20"/>
          <w:color w:val="auto"/>
        </w:rPr>
      </w:pPr>
    </w:p>
    <w:p>
      <w:pPr>
        <w:ind w:right="80"/>
        <w:spacing w:after="0" w:line="294" w:lineRule="auto"/>
        <w:rPr>
          <w:sz w:val="20"/>
          <w:szCs w:val="20"/>
          <w:color w:val="auto"/>
        </w:rPr>
      </w:pPr>
      <w:r>
        <w:rPr>
          <w:rFonts w:ascii="Arial" w:cs="Arial" w:eastAsia="Arial" w:hAnsi="Arial"/>
          <w:sz w:val="16"/>
          <w:szCs w:val="16"/>
          <w:color w:val="auto"/>
        </w:rPr>
        <w:t>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and the report of other auditors provide a reasonable basis for our opinion.</w:t>
      </w:r>
    </w:p>
    <w:p>
      <w:pPr>
        <w:spacing w:after="0" w:line="116" w:lineRule="exact"/>
        <w:rPr>
          <w:sz w:val="20"/>
          <w:szCs w:val="20"/>
          <w:color w:val="auto"/>
        </w:rPr>
      </w:pPr>
    </w:p>
    <w:p>
      <w:pPr>
        <w:ind w:right="20"/>
        <w:spacing w:after="0" w:line="256" w:lineRule="auto"/>
        <w:rPr>
          <w:sz w:val="20"/>
          <w:szCs w:val="20"/>
          <w:color w:val="auto"/>
        </w:rPr>
      </w:pPr>
      <w:r>
        <w:rPr>
          <w:rFonts w:ascii="Arial" w:cs="Arial" w:eastAsia="Arial" w:hAnsi="Arial"/>
          <w:sz w:val="18"/>
          <w:szCs w:val="18"/>
          <w:color w:val="auto"/>
        </w:rPr>
        <w:t>In our opinion, based on our audits and the report of other auditors, the financial statements referred to above present fairly, in all material respects, the consolidated financial position of Bassett Furniture Industries, Incorporated and subsidiaries at November 25, 2006 and November 26, 2005, and the consolidated results of their operations and their cash flows for each of the three years in the period ended November 25, 2006, in conformity with U.S. generally accepted accounting principles.</w:t>
      </w:r>
    </w:p>
    <w:p>
      <w:pPr>
        <w:spacing w:after="0" w:line="143"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color w:val="auto"/>
        </w:rPr>
        <w:t>As more fully described in Note 2 to the consolidated financial statements, the accompanying consolidated financial statements as of November 26, 2005 and for each of the two years in the period ended November 26, 2005 have been restated.</w:t>
      </w:r>
    </w:p>
    <w:p>
      <w:pPr>
        <w:spacing w:after="0" w:line="132" w:lineRule="exact"/>
        <w:rPr>
          <w:sz w:val="20"/>
          <w:szCs w:val="20"/>
          <w:color w:val="auto"/>
        </w:rPr>
      </w:pPr>
    </w:p>
    <w:p>
      <w:pPr>
        <w:spacing w:after="0" w:line="298" w:lineRule="auto"/>
        <w:rPr>
          <w:sz w:val="20"/>
          <w:szCs w:val="20"/>
          <w:color w:val="auto"/>
        </w:rPr>
      </w:pPr>
      <w:r>
        <w:rPr>
          <w:rFonts w:ascii="Arial" w:cs="Arial" w:eastAsia="Arial" w:hAnsi="Arial"/>
          <w:sz w:val="16"/>
          <w:szCs w:val="16"/>
          <w:color w:val="auto"/>
        </w:rPr>
        <w:t>We also have audited, in accordance with the standards of the Public Company Accounting Oversight Board (United States), the effectiveness of Bassett Furniture Industries, Incorporated’s internal control over financial reporting as of November 25, 2006, based on criteria established in Internal Control-Integrated Framework issued by the Committee of Sponsoring Organizations of the Treadway Commission and our report dated February 7, 2007 expressed an unqualified opinion on management’s assessment and an adverse opinion on the effectiveness of the Company’s internal control over financial reporting.</w:t>
      </w:r>
    </w:p>
    <w:p>
      <w:pPr>
        <w:spacing w:after="0" w:line="11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 Ernst &amp; Young LLP</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Greensboro, North Carolina</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February 7, 2007</w:t>
      </w: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- 49</w:t>
      </w:r>
    </w:p>
    <w:p>
      <w:pPr>
        <w:sectPr>
          <w:pgSz w:w="11900" w:h="16838" w:orient="portrait"/>
          <w:cols w:equalWidth="0" w:num="1">
            <w:col w:w="11400"/>
          </w:cols>
          <w:pgMar w:left="240" w:top="459" w:right="259" w:bottom="1440" w:gutter="0" w:footer="0" w:header="0"/>
        </w:sectPr>
      </w:pPr>
    </w:p>
    <w:bookmarkStart w:id="68" w:name="page69"/>
    <w:bookmarkEnd w:id="6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Board of Directors and Shareholders of Bassett Furniture Industries, Incorporated:</w:t>
      </w:r>
    </w:p>
    <w:p>
      <w:pPr>
        <w:spacing w:after="0" w:line="96"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We have audited management’s assessment, included in the accompanying Management’s Report on Internal Control over Financial Reporting that Bassett Furniture Industries, Incorporated did not maintain effective internal control over financial reporting as of November 25, 2006, because of the effect of the material weakness that management did not have sufficient management control processes and accounting personnel to ensure that certain non-routine transactions are properly accounted for and disclosed, based on criteria established in Internal Control—Integrated Framework issued by the Committee of Sponsoring Organizations of the Treadway Commission (the COSO criteria). Bassett Furniture Industries, Incorporated’s management is responsible for maintaining effective internal control over financial reporting and for its assessment of the effectiveness of internal control over financial reporting. Our responsibility is to express an opinion on management’s assessment and an opinion on the effectiveness of the Company’s internal control over financial reporting based on our audit.</w:t>
      </w:r>
    </w:p>
    <w:p>
      <w:pPr>
        <w:spacing w:after="0" w:line="145"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evaluating management’s assessment, testing and evaluating the design and operating effectiveness of internal control, and performing such other procedures as we considered necessary in the circumstances. We believe that our audit provides a reasonable basis for our opinion.</w:t>
      </w:r>
    </w:p>
    <w:p>
      <w:pPr>
        <w:spacing w:after="0" w:line="143"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18"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40" w:lineRule="exact"/>
        <w:rPr>
          <w:sz w:val="20"/>
          <w:szCs w:val="20"/>
          <w:color w:val="auto"/>
        </w:rPr>
      </w:pPr>
    </w:p>
    <w:p>
      <w:pPr>
        <w:ind w:right="160"/>
        <w:spacing w:after="0" w:line="291" w:lineRule="auto"/>
        <w:rPr>
          <w:sz w:val="20"/>
          <w:szCs w:val="20"/>
          <w:color w:val="auto"/>
        </w:rPr>
      </w:pPr>
      <w:r>
        <w:rPr>
          <w:rFonts w:ascii="Arial" w:cs="Arial" w:eastAsia="Arial" w:hAnsi="Arial"/>
          <w:sz w:val="16"/>
          <w:szCs w:val="16"/>
          <w:color w:val="auto"/>
        </w:rPr>
        <w:t>A material weakness is a control deficiency, or combination of control deficiencies, that results in more than a remote likelihood that a material misstatement of the annual or interim financial statements will not be prevented or detected. The following material weakness has been identified and included in management’s assessment. Management lacks sufficient management control processes and accounting personnel to ensure that certain non-routine transactions are properly accounted for and disclosed. This control deficiency resulted in restatements to the consolidated financial statements related to purchase accounting and accounting for its post-employment benefit plan. Additionally, this control deficiency, if not remediated, could result in a material misstatement to annual or interim consolidated financial statements that would not be prevented or detected.</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- 50</w:t>
      </w:r>
    </w:p>
    <w:p>
      <w:pPr>
        <w:sectPr>
          <w:pgSz w:w="11900" w:h="16838" w:orient="portrait"/>
          <w:cols w:equalWidth="0" w:num="1">
            <w:col w:w="11400"/>
          </w:cols>
          <w:pgMar w:left="240" w:top="459" w:right="259" w:bottom="1440" w:gutter="0" w:footer="0" w:header="0"/>
        </w:sectPr>
      </w:pPr>
    </w:p>
    <w:bookmarkStart w:id="69" w:name="page70"/>
    <w:bookmarkEnd w:id="6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520"/>
        <w:spacing w:after="0" w:line="332" w:lineRule="auto"/>
        <w:rPr>
          <w:sz w:val="20"/>
          <w:szCs w:val="20"/>
          <w:color w:val="auto"/>
        </w:rPr>
      </w:pPr>
      <w:r>
        <w:rPr>
          <w:rFonts w:ascii="Arial" w:cs="Arial" w:eastAsia="Arial" w:hAnsi="Arial"/>
          <w:sz w:val="16"/>
          <w:szCs w:val="16"/>
          <w:color w:val="auto"/>
        </w:rPr>
        <w:t>This material weakness was considered in determining the nature, timing, and extent of audit tests applied in our audit of the 2006 consolidated financial statements, and this report does not affect our report dated February 7, 2007 on those consolidated financial statements.</w:t>
      </w:r>
    </w:p>
    <w:p>
      <w:pPr>
        <w:spacing w:after="0" w:line="85" w:lineRule="exact"/>
        <w:rPr>
          <w:sz w:val="20"/>
          <w:szCs w:val="20"/>
          <w:color w:val="auto"/>
        </w:rPr>
      </w:pPr>
    </w:p>
    <w:p>
      <w:pPr>
        <w:spacing w:after="0" w:line="298" w:lineRule="auto"/>
        <w:rPr>
          <w:sz w:val="20"/>
          <w:szCs w:val="20"/>
          <w:color w:val="auto"/>
        </w:rPr>
      </w:pPr>
      <w:r>
        <w:rPr>
          <w:rFonts w:ascii="Arial" w:cs="Arial" w:eastAsia="Arial" w:hAnsi="Arial"/>
          <w:sz w:val="16"/>
          <w:szCs w:val="16"/>
          <w:color w:val="auto"/>
        </w:rPr>
        <w:t>In our opinion, management’s assessment that Bassett Furniture Industries, Incorporated did not maintain effective internal control over financial reporting as of November 25, 2006, is fairly stated, in all material respects, based on the COSO criteria. Also, in our opinion, because of the effect of the material weakness described above on the achievement of the objectives of the control criteria, Bassett Furniture Industries, Incorporated has not maintained effective internal control over financial reporting as of November 25, 2006, based on the COSO criteria.</w:t>
      </w:r>
    </w:p>
    <w:p>
      <w:pPr>
        <w:spacing w:after="0" w:line="11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 Ernst &amp; Young LLP</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Greensboro, North Carolina</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February 7, 2007</w:t>
      </w:r>
    </w:p>
    <w:p>
      <w:pPr>
        <w:spacing w:after="0" w:line="151"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F - 51</w:t>
      </w:r>
    </w:p>
    <w:p>
      <w:pPr>
        <w:sectPr>
          <w:pgSz w:w="11900" w:h="16838" w:orient="portrait"/>
          <w:cols w:equalWidth="0" w:num="1">
            <w:col w:w="11260"/>
          </w:cols>
          <w:pgMar w:left="240" w:top="459" w:right="399" w:bottom="1440" w:gutter="0" w:footer="0" w:header="0"/>
        </w:sectPr>
      </w:pPr>
    </w:p>
    <w:bookmarkStart w:id="70" w:name="page71"/>
    <w:bookmarkEnd w:id="7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460"/>
        <w:spacing w:after="0"/>
        <w:rPr>
          <w:sz w:val="20"/>
          <w:szCs w:val="20"/>
          <w:color w:val="auto"/>
        </w:rPr>
      </w:pPr>
      <w:r>
        <w:rPr>
          <w:rFonts w:ascii="Arial" w:cs="Arial" w:eastAsia="Arial" w:hAnsi="Arial"/>
          <w:sz w:val="18"/>
          <w:szCs w:val="18"/>
          <w:b w:val="1"/>
          <w:bCs w:val="1"/>
          <w:color w:val="auto"/>
        </w:rPr>
        <w:t>Bassett Furniture Industries, Inc.</w:t>
      </w:r>
    </w:p>
    <w:p>
      <w:pPr>
        <w:spacing w:after="0" w:line="177" w:lineRule="exact"/>
        <w:rPr>
          <w:sz w:val="20"/>
          <w:szCs w:val="20"/>
          <w:color w:val="auto"/>
        </w:rPr>
      </w:pPr>
    </w:p>
    <w:p>
      <w:pPr>
        <w:ind w:left="5320"/>
        <w:spacing w:after="0"/>
        <w:rPr>
          <w:sz w:val="20"/>
          <w:szCs w:val="20"/>
          <w:color w:val="auto"/>
        </w:rPr>
      </w:pPr>
      <w:r>
        <w:rPr>
          <w:rFonts w:ascii="Arial" w:cs="Arial" w:eastAsia="Arial" w:hAnsi="Arial"/>
          <w:sz w:val="18"/>
          <w:szCs w:val="18"/>
          <w:color w:val="auto"/>
        </w:rPr>
        <w:t>Schedule II</w:t>
      </w:r>
    </w:p>
    <w:p>
      <w:pPr>
        <w:spacing w:after="0" w:line="171" w:lineRule="exact"/>
        <w:rPr>
          <w:sz w:val="20"/>
          <w:szCs w:val="20"/>
          <w:color w:val="auto"/>
        </w:rPr>
      </w:pPr>
    </w:p>
    <w:p>
      <w:pPr>
        <w:ind w:left="4040"/>
        <w:spacing w:after="0"/>
        <w:rPr>
          <w:sz w:val="20"/>
          <w:szCs w:val="20"/>
          <w:color w:val="auto"/>
        </w:rPr>
      </w:pPr>
      <w:r>
        <w:rPr>
          <w:rFonts w:ascii="Arial" w:cs="Arial" w:eastAsia="Arial" w:hAnsi="Arial"/>
          <w:sz w:val="18"/>
          <w:szCs w:val="18"/>
          <w:color w:val="auto"/>
        </w:rPr>
        <w:t>Analysis of Valuation and Qualifying Accounts</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For the Years Ended November 25, 2006, November 26, 2005 and November 27, 2004</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60" w:type="dxa"/>
            <w:vAlign w:val="bottom"/>
          </w:tcPr>
          <w:p>
            <w:pPr>
              <w:spacing w:after="0"/>
              <w:rPr>
                <w:sz w:val="14"/>
                <w:szCs w:val="14"/>
                <w:color w:val="auto"/>
              </w:rPr>
            </w:pPr>
          </w:p>
        </w:tc>
        <w:tc>
          <w:tcPr>
            <w:tcW w:w="4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jc w:val="right"/>
              <w:ind w:right="55"/>
              <w:spacing w:after="0"/>
              <w:rPr>
                <w:sz w:val="20"/>
                <w:szCs w:val="20"/>
                <w:color w:val="auto"/>
              </w:rPr>
            </w:pPr>
            <w:r>
              <w:rPr>
                <w:rFonts w:ascii="Arial" w:cs="Arial" w:eastAsia="Arial" w:hAnsi="Arial"/>
                <w:sz w:val="14"/>
                <w:szCs w:val="14"/>
                <w:b w:val="1"/>
                <w:bCs w:val="1"/>
                <w:color w:val="auto"/>
                <w:w w:val="85"/>
              </w:rPr>
              <w:t>Balance</w:t>
            </w:r>
          </w:p>
        </w:tc>
        <w:tc>
          <w:tcPr>
            <w:tcW w:w="4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0" w:type="dxa"/>
            <w:vAlign w:val="bottom"/>
          </w:tcPr>
          <w:p>
            <w:pPr>
              <w:jc w:val="right"/>
              <w:ind w:right="94"/>
              <w:spacing w:after="0"/>
              <w:rPr>
                <w:sz w:val="20"/>
                <w:szCs w:val="20"/>
                <w:color w:val="auto"/>
              </w:rPr>
            </w:pPr>
            <w:r>
              <w:rPr>
                <w:rFonts w:ascii="Arial" w:cs="Arial" w:eastAsia="Arial" w:hAnsi="Arial"/>
                <w:sz w:val="14"/>
                <w:szCs w:val="14"/>
                <w:b w:val="1"/>
                <w:bCs w:val="1"/>
                <w:color w:val="auto"/>
                <w:w w:val="92"/>
              </w:rPr>
              <w:t>Additions</w:t>
            </w:r>
          </w:p>
        </w:tc>
        <w:tc>
          <w:tcPr>
            <w:tcW w:w="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960" w:type="dxa"/>
            <w:vAlign w:val="bottom"/>
          </w:tcPr>
          <w:p>
            <w:pPr>
              <w:spacing w:after="0"/>
              <w:rPr>
                <w:sz w:val="12"/>
                <w:szCs w:val="12"/>
                <w:color w:val="auto"/>
              </w:rPr>
            </w:pPr>
          </w:p>
        </w:tc>
        <w:tc>
          <w:tcPr>
            <w:tcW w:w="4940" w:type="dxa"/>
            <w:vAlign w:val="bottom"/>
          </w:tcPr>
          <w:p>
            <w:pPr>
              <w:spacing w:after="0"/>
              <w:rPr>
                <w:sz w:val="12"/>
                <w:szCs w:val="12"/>
                <w:color w:val="auto"/>
              </w:rPr>
            </w:pPr>
          </w:p>
        </w:tc>
        <w:tc>
          <w:tcPr>
            <w:tcW w:w="74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4"/>
              </w:rPr>
              <w:t>Beginning of</w:t>
            </w:r>
          </w:p>
        </w:tc>
        <w:tc>
          <w:tcPr>
            <w:tcW w:w="1400" w:type="dxa"/>
            <w:vAlign w:val="bottom"/>
            <w:gridSpan w:val="3"/>
          </w:tcPr>
          <w:p>
            <w:pPr>
              <w:ind w:left="460"/>
              <w:spacing w:after="0" w:line="149" w:lineRule="exact"/>
              <w:rPr>
                <w:sz w:val="20"/>
                <w:szCs w:val="20"/>
                <w:color w:val="auto"/>
              </w:rPr>
            </w:pPr>
            <w:r>
              <w:rPr>
                <w:rFonts w:ascii="Arial" w:cs="Arial" w:eastAsia="Arial" w:hAnsi="Arial"/>
                <w:sz w:val="14"/>
                <w:szCs w:val="14"/>
                <w:b w:val="1"/>
                <w:bCs w:val="1"/>
                <w:color w:val="auto"/>
                <w:w w:val="84"/>
              </w:rPr>
              <w:t>Charged to Cost</w:t>
            </w:r>
          </w:p>
        </w:tc>
        <w:tc>
          <w:tcPr>
            <w:tcW w:w="4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76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w w:val="88"/>
              </w:rPr>
              <w:t>Balance End</w:t>
            </w:r>
          </w:p>
        </w:tc>
        <w:tc>
          <w:tcPr>
            <w:tcW w:w="0" w:type="dxa"/>
            <w:vAlign w:val="bottom"/>
          </w:tcPr>
          <w:p>
            <w:pPr>
              <w:spacing w:after="0"/>
              <w:rPr>
                <w:sz w:val="1"/>
                <w:szCs w:val="1"/>
                <w:color w:val="auto"/>
              </w:rPr>
            </w:pPr>
          </w:p>
        </w:tc>
      </w:tr>
      <w:tr>
        <w:trPr>
          <w:trHeight w:val="161"/>
        </w:trPr>
        <w:tc>
          <w:tcPr>
            <w:tcW w:w="960" w:type="dxa"/>
            <w:vAlign w:val="bottom"/>
          </w:tcPr>
          <w:p>
            <w:pPr>
              <w:spacing w:after="0"/>
              <w:rPr>
                <w:sz w:val="14"/>
                <w:szCs w:val="14"/>
                <w:color w:val="auto"/>
              </w:rPr>
            </w:pPr>
          </w:p>
        </w:tc>
        <w:tc>
          <w:tcPr>
            <w:tcW w:w="4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jc w:val="right"/>
              <w:ind w:right="95"/>
              <w:spacing w:after="0"/>
              <w:rPr>
                <w:sz w:val="20"/>
                <w:szCs w:val="20"/>
                <w:color w:val="auto"/>
              </w:rPr>
            </w:pPr>
            <w:r>
              <w:rPr>
                <w:rFonts w:ascii="Arial" w:cs="Arial" w:eastAsia="Arial" w:hAnsi="Arial"/>
                <w:sz w:val="14"/>
                <w:szCs w:val="14"/>
                <w:b w:val="1"/>
                <w:bCs w:val="1"/>
                <w:color w:val="auto"/>
                <w:w w:val="96"/>
              </w:rPr>
              <w:t>Period</w:t>
            </w:r>
          </w:p>
        </w:tc>
        <w:tc>
          <w:tcPr>
            <w:tcW w:w="460" w:type="dxa"/>
            <w:vAlign w:val="bottom"/>
          </w:tcPr>
          <w:p>
            <w:pPr>
              <w:spacing w:after="0"/>
              <w:rPr>
                <w:sz w:val="14"/>
                <w:szCs w:val="14"/>
                <w:color w:val="auto"/>
              </w:rPr>
            </w:pPr>
          </w:p>
        </w:tc>
        <w:tc>
          <w:tcPr>
            <w:tcW w:w="940" w:type="dxa"/>
            <w:vAlign w:val="bottom"/>
            <w:gridSpan w:val="2"/>
          </w:tcPr>
          <w:p>
            <w:pPr>
              <w:jc w:val="right"/>
              <w:spacing w:after="0"/>
              <w:rPr>
                <w:sz w:val="20"/>
                <w:szCs w:val="20"/>
                <w:color w:val="auto"/>
              </w:rPr>
            </w:pPr>
            <w:r>
              <w:rPr>
                <w:rFonts w:ascii="Arial" w:cs="Arial" w:eastAsia="Arial" w:hAnsi="Arial"/>
                <w:sz w:val="14"/>
                <w:szCs w:val="14"/>
                <w:b w:val="1"/>
                <w:bCs w:val="1"/>
                <w:color w:val="auto"/>
                <w:w w:val="89"/>
              </w:rPr>
              <w:t>and Expenses</w:t>
            </w:r>
          </w:p>
        </w:tc>
        <w:tc>
          <w:tcPr>
            <w:tcW w:w="460" w:type="dxa"/>
            <w:vAlign w:val="bottom"/>
          </w:tcPr>
          <w:p>
            <w:pPr>
              <w:spacing w:after="0"/>
              <w:rPr>
                <w:sz w:val="14"/>
                <w:szCs w:val="14"/>
                <w:color w:val="auto"/>
              </w:rPr>
            </w:pPr>
          </w:p>
        </w:tc>
        <w:tc>
          <w:tcPr>
            <w:tcW w:w="1360" w:type="dxa"/>
            <w:vAlign w:val="bottom"/>
            <w:gridSpan w:val="3"/>
          </w:tcPr>
          <w:p>
            <w:pPr>
              <w:spacing w:after="0"/>
              <w:rPr>
                <w:sz w:val="20"/>
                <w:szCs w:val="20"/>
                <w:color w:val="auto"/>
              </w:rPr>
            </w:pPr>
            <w:r>
              <w:rPr>
                <w:rFonts w:ascii="Arial" w:cs="Arial" w:eastAsia="Arial" w:hAnsi="Arial"/>
                <w:sz w:val="14"/>
                <w:szCs w:val="14"/>
                <w:b w:val="1"/>
                <w:bCs w:val="1"/>
                <w:color w:val="auto"/>
              </w:rPr>
              <w:t>Deductions (1)</w:t>
            </w:r>
          </w:p>
        </w:tc>
        <w:tc>
          <w:tcPr>
            <w:tcW w:w="360" w:type="dxa"/>
            <w:vAlign w:val="bottom"/>
          </w:tcPr>
          <w:p>
            <w:pPr>
              <w:jc w:val="right"/>
              <w:spacing w:after="0"/>
              <w:rPr>
                <w:sz w:val="20"/>
                <w:szCs w:val="20"/>
                <w:color w:val="auto"/>
              </w:rPr>
            </w:pPr>
            <w:r>
              <w:rPr>
                <w:rFonts w:ascii="Arial" w:cs="Arial" w:eastAsia="Arial" w:hAnsi="Arial"/>
                <w:sz w:val="14"/>
                <w:szCs w:val="14"/>
                <w:b w:val="1"/>
                <w:bCs w:val="1"/>
                <w:color w:val="auto"/>
                <w:w w:val="85"/>
              </w:rPr>
              <w:t>Other</w:t>
            </w: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gridSpan w:val="2"/>
          </w:tcPr>
          <w:p>
            <w:pPr>
              <w:jc w:val="right"/>
              <w:ind w:right="120"/>
              <w:spacing w:after="0"/>
              <w:rPr>
                <w:sz w:val="20"/>
                <w:szCs w:val="20"/>
                <w:color w:val="auto"/>
              </w:rPr>
            </w:pPr>
            <w:r>
              <w:rPr>
                <w:rFonts w:ascii="Arial" w:cs="Arial" w:eastAsia="Arial" w:hAnsi="Arial"/>
                <w:sz w:val="14"/>
                <w:szCs w:val="14"/>
                <w:b w:val="1"/>
                <w:bCs w:val="1"/>
                <w:color w:val="auto"/>
                <w:w w:val="85"/>
              </w:rPr>
              <w:t>of Period</w:t>
            </w:r>
          </w:p>
        </w:tc>
        <w:tc>
          <w:tcPr>
            <w:tcW w:w="0" w:type="dxa"/>
            <w:vAlign w:val="bottom"/>
          </w:tcPr>
          <w:p>
            <w:pPr>
              <w:spacing w:after="0"/>
              <w:rPr>
                <w:sz w:val="1"/>
                <w:szCs w:val="1"/>
                <w:color w:val="auto"/>
              </w:rPr>
            </w:pPr>
          </w:p>
        </w:tc>
      </w:tr>
      <w:tr>
        <w:trPr>
          <w:trHeight w:val="210"/>
        </w:trPr>
        <w:tc>
          <w:tcPr>
            <w:tcW w:w="59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For the Year Ended November 27, 2004:</w:t>
            </w:r>
          </w:p>
        </w:tc>
        <w:tc>
          <w:tcPr>
            <w:tcW w:w="12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00" w:type="dxa"/>
            <w:vAlign w:val="bottom"/>
            <w:gridSpan w:val="2"/>
          </w:tcPr>
          <w:p>
            <w:pPr>
              <w:ind w:left="440"/>
              <w:spacing w:after="0"/>
              <w:rPr>
                <w:sz w:val="20"/>
                <w:szCs w:val="20"/>
                <w:color w:val="auto"/>
              </w:rPr>
            </w:pPr>
            <w:r>
              <w:rPr>
                <w:rFonts w:ascii="Arial" w:cs="Arial" w:eastAsia="Arial" w:hAnsi="Arial"/>
                <w:sz w:val="18"/>
                <w:szCs w:val="18"/>
                <w:color w:val="auto"/>
              </w:rPr>
              <w:t>Reserve deducted from assets to which it applies</w:t>
            </w: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0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Allowance for doubtful accounts</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3,994</w:t>
            </w:r>
          </w:p>
        </w:tc>
        <w:tc>
          <w:tcPr>
            <w:tcW w:w="60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1,430</w:t>
            </w:r>
          </w:p>
        </w:tc>
        <w:tc>
          <w:tcPr>
            <w:tcW w:w="70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(673)</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w:t>
            </w:r>
          </w:p>
        </w:tc>
        <w:tc>
          <w:tcPr>
            <w:tcW w:w="5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4,751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900" w:type="dxa"/>
            <w:vAlign w:val="bottom"/>
            <w:gridSpan w:val="2"/>
            <w:vMerge w:val="restart"/>
          </w:tcPr>
          <w:p>
            <w:pPr>
              <w:ind w:left="880"/>
              <w:spacing w:after="0"/>
              <w:rPr>
                <w:sz w:val="20"/>
                <w:szCs w:val="20"/>
                <w:color w:val="auto"/>
              </w:rPr>
            </w:pPr>
            <w:r>
              <w:rPr>
                <w:rFonts w:ascii="Arial" w:cs="Arial" w:eastAsia="Arial" w:hAnsi="Arial"/>
                <w:sz w:val="18"/>
                <w:szCs w:val="18"/>
                <w:color w:val="auto"/>
              </w:rPr>
              <w:t>Notes Receivable Reserve</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590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800</w:t>
            </w: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600"/>
              <w:spacing w:after="0"/>
              <w:rPr>
                <w:sz w:val="20"/>
                <w:szCs w:val="20"/>
                <w:color w:val="auto"/>
              </w:rPr>
            </w:pPr>
            <w:r>
              <w:rPr>
                <w:rFonts w:ascii="Arial" w:cs="Arial" w:eastAsia="Arial" w:hAnsi="Arial"/>
                <w:sz w:val="18"/>
                <w:szCs w:val="18"/>
                <w:color w:val="auto"/>
              </w:rPr>
              <w:t>—</w:t>
            </w:r>
          </w:p>
        </w:tc>
        <w:tc>
          <w:tcPr>
            <w:tcW w:w="360" w:type="dxa"/>
            <w:vAlign w:val="bottom"/>
          </w:tcPr>
          <w:p>
            <w:pPr>
              <w:jc w:val="right"/>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8"/>
                <w:szCs w:val="18"/>
                <w:color w:val="auto"/>
              </w:rPr>
              <w:t>800</w:t>
            </w:r>
          </w:p>
        </w:tc>
        <w:tc>
          <w:tcPr>
            <w:tcW w:w="0" w:type="dxa"/>
            <w:vAlign w:val="bottom"/>
          </w:tcPr>
          <w:p>
            <w:pPr>
              <w:spacing w:after="0"/>
              <w:rPr>
                <w:sz w:val="1"/>
                <w:szCs w:val="1"/>
                <w:color w:val="auto"/>
              </w:rPr>
            </w:pPr>
          </w:p>
        </w:tc>
      </w:tr>
      <w:tr>
        <w:trPr>
          <w:trHeight w:val="20"/>
        </w:trPr>
        <w:tc>
          <w:tcPr>
            <w:tcW w:w="960" w:type="dxa"/>
            <w:vAlign w:val="bottom"/>
          </w:tcPr>
          <w:p>
            <w:pPr>
              <w:spacing w:after="0" w:line="20" w:lineRule="exact"/>
              <w:rPr>
                <w:sz w:val="1"/>
                <w:szCs w:val="1"/>
                <w:color w:val="auto"/>
              </w:rPr>
            </w:pPr>
          </w:p>
        </w:tc>
        <w:tc>
          <w:tcPr>
            <w:tcW w:w="49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590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Restructuring reserve</w:t>
            </w: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4,060</w:t>
            </w:r>
          </w:p>
        </w:tc>
        <w:tc>
          <w:tcPr>
            <w:tcW w:w="4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(3,828)</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900" w:type="dxa"/>
            <w:vAlign w:val="bottom"/>
            <w:gridSpan w:val="2"/>
            <w:vMerge w:val="restart"/>
          </w:tcPr>
          <w:p>
            <w:pPr>
              <w:ind w:left="880"/>
              <w:spacing w:after="0"/>
              <w:rPr>
                <w:sz w:val="20"/>
                <w:szCs w:val="20"/>
                <w:color w:val="auto"/>
              </w:rPr>
            </w:pPr>
            <w:r>
              <w:rPr>
                <w:rFonts w:ascii="Arial" w:cs="Arial" w:eastAsia="Arial" w:hAnsi="Arial"/>
                <w:sz w:val="18"/>
                <w:szCs w:val="18"/>
                <w:color w:val="auto"/>
              </w:rPr>
              <w:t>Income Tax Valuation Allowance</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590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503</w:t>
            </w: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600"/>
              <w:spacing w:after="0"/>
              <w:rPr>
                <w:sz w:val="20"/>
                <w:szCs w:val="20"/>
                <w:color w:val="auto"/>
              </w:rPr>
            </w:pPr>
            <w:r>
              <w:rPr>
                <w:rFonts w:ascii="Arial" w:cs="Arial" w:eastAsia="Arial" w:hAnsi="Arial"/>
                <w:sz w:val="18"/>
                <w:szCs w:val="18"/>
                <w:color w:val="auto"/>
              </w:rPr>
              <w:t>—</w:t>
            </w:r>
          </w:p>
        </w:tc>
        <w:tc>
          <w:tcPr>
            <w:tcW w:w="360" w:type="dxa"/>
            <w:vAlign w:val="bottom"/>
          </w:tcPr>
          <w:p>
            <w:pPr>
              <w:jc w:val="right"/>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8"/>
                <w:szCs w:val="18"/>
                <w:color w:val="auto"/>
              </w:rPr>
              <w:t>503</w:t>
            </w:r>
          </w:p>
        </w:tc>
        <w:tc>
          <w:tcPr>
            <w:tcW w:w="0" w:type="dxa"/>
            <w:vAlign w:val="bottom"/>
          </w:tcPr>
          <w:p>
            <w:pPr>
              <w:spacing w:after="0"/>
              <w:rPr>
                <w:sz w:val="1"/>
                <w:szCs w:val="1"/>
                <w:color w:val="auto"/>
              </w:rPr>
            </w:pPr>
          </w:p>
        </w:tc>
      </w:tr>
      <w:tr>
        <w:trPr>
          <w:trHeight w:val="20"/>
        </w:trPr>
        <w:tc>
          <w:tcPr>
            <w:tcW w:w="960" w:type="dxa"/>
            <w:vAlign w:val="bottom"/>
          </w:tcPr>
          <w:p>
            <w:pPr>
              <w:spacing w:after="0" w:line="20" w:lineRule="exact"/>
              <w:rPr>
                <w:sz w:val="1"/>
                <w:szCs w:val="1"/>
                <w:color w:val="auto"/>
              </w:rPr>
            </w:pPr>
          </w:p>
        </w:tc>
        <w:tc>
          <w:tcPr>
            <w:tcW w:w="49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59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For the Year Ended November 26, 2005:</w:t>
            </w: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00" w:type="dxa"/>
            <w:vAlign w:val="bottom"/>
            <w:gridSpan w:val="2"/>
          </w:tcPr>
          <w:p>
            <w:pPr>
              <w:ind w:left="440"/>
              <w:spacing w:after="0"/>
              <w:rPr>
                <w:sz w:val="20"/>
                <w:szCs w:val="20"/>
                <w:color w:val="auto"/>
              </w:rPr>
            </w:pPr>
            <w:r>
              <w:rPr>
                <w:rFonts w:ascii="Arial" w:cs="Arial" w:eastAsia="Arial" w:hAnsi="Arial"/>
                <w:sz w:val="18"/>
                <w:szCs w:val="18"/>
                <w:color w:val="auto"/>
              </w:rPr>
              <w:t>Reserve deducted from assets to which it applies</w:t>
            </w: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0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Allowance for doubtful accounts</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4,751</w:t>
            </w:r>
          </w:p>
        </w:tc>
        <w:tc>
          <w:tcPr>
            <w:tcW w:w="60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2,403</w:t>
            </w:r>
          </w:p>
        </w:tc>
        <w:tc>
          <w:tcPr>
            <w:tcW w:w="70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(3,428)</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w:t>
            </w:r>
          </w:p>
        </w:tc>
        <w:tc>
          <w:tcPr>
            <w:tcW w:w="5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3,726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900" w:type="dxa"/>
            <w:vAlign w:val="bottom"/>
            <w:gridSpan w:val="2"/>
            <w:vMerge w:val="restart"/>
          </w:tcPr>
          <w:p>
            <w:pPr>
              <w:ind w:left="880"/>
              <w:spacing w:after="0"/>
              <w:rPr>
                <w:sz w:val="20"/>
                <w:szCs w:val="20"/>
                <w:color w:val="auto"/>
              </w:rPr>
            </w:pPr>
            <w:r>
              <w:rPr>
                <w:rFonts w:ascii="Arial" w:cs="Arial" w:eastAsia="Arial" w:hAnsi="Arial"/>
                <w:sz w:val="18"/>
                <w:szCs w:val="18"/>
                <w:color w:val="auto"/>
              </w:rPr>
              <w:t>Notes Receivable Reserve</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590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800</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880</w:t>
            </w: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460"/>
              <w:spacing w:after="0"/>
              <w:rPr>
                <w:sz w:val="20"/>
                <w:szCs w:val="20"/>
                <w:color w:val="auto"/>
              </w:rPr>
            </w:pPr>
            <w:r>
              <w:rPr>
                <w:rFonts w:ascii="Arial" w:cs="Arial" w:eastAsia="Arial" w:hAnsi="Arial"/>
                <w:sz w:val="18"/>
                <w:szCs w:val="18"/>
                <w:color w:val="auto"/>
              </w:rPr>
              <w:t>(180)</w:t>
            </w:r>
          </w:p>
        </w:tc>
        <w:tc>
          <w:tcPr>
            <w:tcW w:w="360" w:type="dxa"/>
            <w:vAlign w:val="bottom"/>
          </w:tcPr>
          <w:p>
            <w:pPr>
              <w:jc w:val="right"/>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8"/>
                <w:szCs w:val="18"/>
                <w:color w:val="auto"/>
              </w:rPr>
              <w:t>1,500</w:t>
            </w:r>
          </w:p>
        </w:tc>
        <w:tc>
          <w:tcPr>
            <w:tcW w:w="0" w:type="dxa"/>
            <w:vAlign w:val="bottom"/>
          </w:tcPr>
          <w:p>
            <w:pPr>
              <w:spacing w:after="0"/>
              <w:rPr>
                <w:sz w:val="1"/>
                <w:szCs w:val="1"/>
                <w:color w:val="auto"/>
              </w:rPr>
            </w:pPr>
          </w:p>
        </w:tc>
      </w:tr>
      <w:tr>
        <w:trPr>
          <w:trHeight w:val="20"/>
        </w:trPr>
        <w:tc>
          <w:tcPr>
            <w:tcW w:w="960" w:type="dxa"/>
            <w:vAlign w:val="bottom"/>
          </w:tcPr>
          <w:p>
            <w:pPr>
              <w:spacing w:after="0" w:line="20" w:lineRule="exact"/>
              <w:rPr>
                <w:sz w:val="1"/>
                <w:szCs w:val="1"/>
                <w:color w:val="auto"/>
              </w:rPr>
            </w:pPr>
          </w:p>
        </w:tc>
        <w:tc>
          <w:tcPr>
            <w:tcW w:w="49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590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Restructuring reserve</w:t>
            </w: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440</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1,040</w:t>
            </w:r>
          </w:p>
        </w:tc>
        <w:tc>
          <w:tcPr>
            <w:tcW w:w="4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(698)</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900" w:type="dxa"/>
            <w:vAlign w:val="bottom"/>
            <w:gridSpan w:val="2"/>
            <w:vMerge w:val="restart"/>
          </w:tcPr>
          <w:p>
            <w:pPr>
              <w:ind w:left="880"/>
              <w:spacing w:after="0"/>
              <w:rPr>
                <w:sz w:val="20"/>
                <w:szCs w:val="20"/>
                <w:color w:val="auto"/>
              </w:rPr>
            </w:pPr>
            <w:r>
              <w:rPr>
                <w:rFonts w:ascii="Arial" w:cs="Arial" w:eastAsia="Arial" w:hAnsi="Arial"/>
                <w:sz w:val="18"/>
                <w:szCs w:val="18"/>
                <w:color w:val="auto"/>
              </w:rPr>
              <w:t>Income Tax Valuation Allowance</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590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503</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497</w:t>
            </w: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600"/>
              <w:spacing w:after="0"/>
              <w:rPr>
                <w:sz w:val="20"/>
                <w:szCs w:val="20"/>
                <w:color w:val="auto"/>
              </w:rPr>
            </w:pPr>
            <w:r>
              <w:rPr>
                <w:rFonts w:ascii="Arial" w:cs="Arial" w:eastAsia="Arial" w:hAnsi="Arial"/>
                <w:sz w:val="18"/>
                <w:szCs w:val="18"/>
                <w:color w:val="auto"/>
              </w:rPr>
              <w:t>—</w:t>
            </w:r>
          </w:p>
        </w:tc>
        <w:tc>
          <w:tcPr>
            <w:tcW w:w="360" w:type="dxa"/>
            <w:vAlign w:val="bottom"/>
          </w:tcPr>
          <w:p>
            <w:pPr>
              <w:jc w:val="right"/>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960" w:type="dxa"/>
            <w:vAlign w:val="bottom"/>
          </w:tcPr>
          <w:p>
            <w:pPr>
              <w:spacing w:after="0" w:line="20" w:lineRule="exact"/>
              <w:rPr>
                <w:sz w:val="1"/>
                <w:szCs w:val="1"/>
                <w:color w:val="auto"/>
              </w:rPr>
            </w:pPr>
          </w:p>
        </w:tc>
        <w:tc>
          <w:tcPr>
            <w:tcW w:w="49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59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For the Year Ended November 25, 2006:</w:t>
            </w: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00" w:type="dxa"/>
            <w:vAlign w:val="bottom"/>
            <w:gridSpan w:val="2"/>
          </w:tcPr>
          <w:p>
            <w:pPr>
              <w:ind w:left="440"/>
              <w:spacing w:after="0"/>
              <w:rPr>
                <w:sz w:val="20"/>
                <w:szCs w:val="20"/>
                <w:color w:val="auto"/>
              </w:rPr>
            </w:pPr>
            <w:r>
              <w:rPr>
                <w:rFonts w:ascii="Arial" w:cs="Arial" w:eastAsia="Arial" w:hAnsi="Arial"/>
                <w:sz w:val="18"/>
                <w:szCs w:val="18"/>
                <w:color w:val="auto"/>
              </w:rPr>
              <w:t>Reserve deducted from assets to which it applies</w:t>
            </w: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0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Allowance for doubtful accounts</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3,726</w:t>
            </w:r>
          </w:p>
        </w:tc>
        <w:tc>
          <w:tcPr>
            <w:tcW w:w="60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3,364</w:t>
            </w:r>
          </w:p>
        </w:tc>
        <w:tc>
          <w:tcPr>
            <w:tcW w:w="70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(1,344)</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w:t>
            </w:r>
          </w:p>
        </w:tc>
        <w:tc>
          <w:tcPr>
            <w:tcW w:w="56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5,746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900" w:type="dxa"/>
            <w:vAlign w:val="bottom"/>
            <w:gridSpan w:val="2"/>
            <w:vMerge w:val="restart"/>
          </w:tcPr>
          <w:p>
            <w:pPr>
              <w:ind w:left="880"/>
              <w:spacing w:after="0"/>
              <w:rPr>
                <w:sz w:val="20"/>
                <w:szCs w:val="20"/>
                <w:color w:val="auto"/>
              </w:rPr>
            </w:pPr>
            <w:r>
              <w:rPr>
                <w:rFonts w:ascii="Arial" w:cs="Arial" w:eastAsia="Arial" w:hAnsi="Arial"/>
                <w:sz w:val="18"/>
                <w:szCs w:val="18"/>
                <w:color w:val="auto"/>
              </w:rPr>
              <w:t>Notes Receivable Reserve</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590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1,500</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2,521</w:t>
            </w: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460"/>
              <w:spacing w:after="0"/>
              <w:rPr>
                <w:sz w:val="20"/>
                <w:szCs w:val="20"/>
                <w:color w:val="auto"/>
              </w:rPr>
            </w:pPr>
            <w:r>
              <w:rPr>
                <w:rFonts w:ascii="Arial" w:cs="Arial" w:eastAsia="Arial" w:hAnsi="Arial"/>
                <w:sz w:val="18"/>
                <w:szCs w:val="18"/>
                <w:color w:val="auto"/>
              </w:rPr>
              <w:t>(1,166)</w:t>
            </w:r>
          </w:p>
        </w:tc>
        <w:tc>
          <w:tcPr>
            <w:tcW w:w="360" w:type="dxa"/>
            <w:vAlign w:val="bottom"/>
          </w:tcPr>
          <w:p>
            <w:pPr>
              <w:jc w:val="right"/>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8"/>
                <w:szCs w:val="18"/>
                <w:color w:val="auto"/>
              </w:rPr>
              <w:t>2,855</w:t>
            </w:r>
          </w:p>
        </w:tc>
        <w:tc>
          <w:tcPr>
            <w:tcW w:w="0" w:type="dxa"/>
            <w:vAlign w:val="bottom"/>
          </w:tcPr>
          <w:p>
            <w:pPr>
              <w:spacing w:after="0"/>
              <w:rPr>
                <w:sz w:val="1"/>
                <w:szCs w:val="1"/>
                <w:color w:val="auto"/>
              </w:rPr>
            </w:pPr>
          </w:p>
        </w:tc>
      </w:tr>
      <w:tr>
        <w:trPr>
          <w:trHeight w:val="20"/>
        </w:trPr>
        <w:tc>
          <w:tcPr>
            <w:tcW w:w="960" w:type="dxa"/>
            <w:vAlign w:val="bottom"/>
          </w:tcPr>
          <w:p>
            <w:pPr>
              <w:spacing w:after="0" w:line="20" w:lineRule="exact"/>
              <w:rPr>
                <w:sz w:val="1"/>
                <w:szCs w:val="1"/>
                <w:color w:val="auto"/>
              </w:rPr>
            </w:pPr>
          </w:p>
        </w:tc>
        <w:tc>
          <w:tcPr>
            <w:tcW w:w="49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590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Restructuring reserve</w:t>
            </w: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782</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(753)</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900" w:type="dxa"/>
            <w:vAlign w:val="bottom"/>
            <w:gridSpan w:val="2"/>
            <w:vMerge w:val="restart"/>
          </w:tcPr>
          <w:p>
            <w:pPr>
              <w:ind w:left="880"/>
              <w:spacing w:after="0"/>
              <w:rPr>
                <w:sz w:val="20"/>
                <w:szCs w:val="20"/>
                <w:color w:val="auto"/>
              </w:rPr>
            </w:pPr>
            <w:r>
              <w:rPr>
                <w:rFonts w:ascii="Arial" w:cs="Arial" w:eastAsia="Arial" w:hAnsi="Arial"/>
                <w:sz w:val="18"/>
                <w:szCs w:val="18"/>
                <w:color w:val="auto"/>
              </w:rPr>
              <w:t>Income Tax Valuation Allowance</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590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1,000</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607</w:t>
            </w: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460"/>
              <w:spacing w:after="0"/>
              <w:rPr>
                <w:sz w:val="20"/>
                <w:szCs w:val="20"/>
                <w:color w:val="auto"/>
              </w:rPr>
            </w:pPr>
            <w:r>
              <w:rPr>
                <w:rFonts w:ascii="Arial" w:cs="Arial" w:eastAsia="Arial" w:hAnsi="Arial"/>
                <w:sz w:val="18"/>
                <w:szCs w:val="18"/>
                <w:color w:val="auto"/>
              </w:rPr>
              <w:t>(201)</w:t>
            </w:r>
          </w:p>
        </w:tc>
        <w:tc>
          <w:tcPr>
            <w:tcW w:w="360" w:type="dxa"/>
            <w:vAlign w:val="bottom"/>
          </w:tcPr>
          <w:p>
            <w:pPr>
              <w:jc w:val="right"/>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8"/>
                <w:szCs w:val="18"/>
                <w:color w:val="auto"/>
              </w:rPr>
              <w:t>1,406</w:t>
            </w:r>
          </w:p>
        </w:tc>
        <w:tc>
          <w:tcPr>
            <w:tcW w:w="0" w:type="dxa"/>
            <w:vAlign w:val="bottom"/>
          </w:tcPr>
          <w:p>
            <w:pPr>
              <w:spacing w:after="0"/>
              <w:rPr>
                <w:sz w:val="1"/>
                <w:szCs w:val="1"/>
                <w:color w:val="auto"/>
              </w:rPr>
            </w:pPr>
          </w:p>
        </w:tc>
      </w:tr>
      <w:tr>
        <w:trPr>
          <w:trHeight w:val="20"/>
        </w:trPr>
        <w:tc>
          <w:tcPr>
            <w:tcW w:w="960" w:type="dxa"/>
            <w:vAlign w:val="bottom"/>
          </w:tcPr>
          <w:p>
            <w:pPr>
              <w:spacing w:after="0" w:line="20" w:lineRule="exact"/>
              <w:rPr>
                <w:sz w:val="1"/>
                <w:szCs w:val="1"/>
                <w:color w:val="auto"/>
              </w:rPr>
            </w:pPr>
          </w:p>
        </w:tc>
        <w:tc>
          <w:tcPr>
            <w:tcW w:w="49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960" w:type="dxa"/>
            <w:vAlign w:val="bottom"/>
            <w:tcBorders>
              <w:bottom w:val="single" w:sz="8" w:color="auto"/>
            </w:tcBorders>
          </w:tcPr>
          <w:p>
            <w:pPr>
              <w:spacing w:after="0"/>
              <w:rPr>
                <w:sz w:val="8"/>
                <w:szCs w:val="8"/>
                <w:color w:val="auto"/>
              </w:rPr>
            </w:pPr>
          </w:p>
        </w:tc>
        <w:tc>
          <w:tcPr>
            <w:tcW w:w="49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20" w:type="dxa"/>
            <w:vAlign w:val="bottom"/>
          </w:tcPr>
          <w:p>
            <w:pPr>
              <w:spacing w:after="0"/>
              <w:rPr>
                <w:sz w:val="8"/>
                <w:szCs w:val="8"/>
                <w:color w:val="auto"/>
              </w:rPr>
            </w:pPr>
          </w:p>
        </w:tc>
        <w:tc>
          <w:tcPr>
            <w:tcW w:w="46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600" w:type="dxa"/>
            <w:vAlign w:val="bottom"/>
          </w:tcPr>
          <w:p>
            <w:pPr>
              <w:spacing w:after="0"/>
              <w:rPr>
                <w:sz w:val="8"/>
                <w:szCs w:val="8"/>
                <w:color w:val="auto"/>
              </w:rPr>
            </w:pPr>
          </w:p>
        </w:tc>
        <w:tc>
          <w:tcPr>
            <w:tcW w:w="520" w:type="dxa"/>
            <w:vAlign w:val="bottom"/>
          </w:tcPr>
          <w:p>
            <w:pPr>
              <w:spacing w:after="0"/>
              <w:rPr>
                <w:sz w:val="8"/>
                <w:szCs w:val="8"/>
                <w:color w:val="auto"/>
              </w:rPr>
            </w:pPr>
          </w:p>
        </w:tc>
        <w:tc>
          <w:tcPr>
            <w:tcW w:w="360" w:type="dxa"/>
            <w:vAlign w:val="bottom"/>
          </w:tcPr>
          <w:p>
            <w:pPr>
              <w:spacing w:after="0"/>
              <w:rPr>
                <w:sz w:val="8"/>
                <w:szCs w:val="8"/>
                <w:color w:val="auto"/>
              </w:rPr>
            </w:pPr>
          </w:p>
        </w:tc>
        <w:tc>
          <w:tcPr>
            <w:tcW w:w="4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00" w:lineRule="exact"/>
        <w:rPr>
          <w:sz w:val="20"/>
          <w:szCs w:val="20"/>
          <w:color w:val="auto"/>
        </w:rPr>
      </w:pPr>
    </w:p>
    <w:p>
      <w:pPr>
        <w:ind w:left="460" w:hanging="452"/>
        <w:spacing w:after="0"/>
        <w:tabs>
          <w:tab w:leader="none" w:pos="4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Deductions are for the purpose for which the reserve was created.</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- 52</w:t>
      </w:r>
    </w:p>
    <w:p>
      <w:pPr>
        <w:sectPr>
          <w:pgSz w:w="11900" w:h="16838" w:orient="portrait"/>
          <w:cols w:equalWidth="0" w:num="1">
            <w:col w:w="11420"/>
          </w:cols>
          <w:pgMar w:left="240" w:top="459" w:right="239" w:bottom="1440" w:gutter="0" w:footer="0" w:header="0"/>
        </w:sectPr>
      </w:pPr>
    </w:p>
    <w:bookmarkStart w:id="71" w:name="page72"/>
    <w:bookmarkEnd w:id="7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1220"/>
        <w:spacing w:after="0"/>
        <w:rPr>
          <w:sz w:val="20"/>
          <w:szCs w:val="20"/>
          <w:color w:val="auto"/>
        </w:rPr>
      </w:pPr>
      <w:r>
        <w:rPr>
          <w:rFonts w:ascii="Arial" w:cs="Arial" w:eastAsia="Arial" w:hAnsi="Arial"/>
          <w:sz w:val="18"/>
          <w:szCs w:val="18"/>
          <w:b w:val="1"/>
          <w:bCs w:val="1"/>
          <w:color w:val="auto"/>
        </w:rPr>
        <w:t>International Home Furnishings</w:t>
      </w:r>
    </w:p>
    <w:p>
      <w:pPr>
        <w:spacing w:after="0" w:line="21" w:lineRule="exact"/>
        <w:rPr>
          <w:sz w:val="20"/>
          <w:szCs w:val="20"/>
          <w:color w:val="auto"/>
        </w:rPr>
      </w:pPr>
    </w:p>
    <w:p>
      <w:pPr>
        <w:jc w:val="center"/>
        <w:ind w:right="-1220"/>
        <w:spacing w:after="0"/>
        <w:rPr>
          <w:sz w:val="20"/>
          <w:szCs w:val="20"/>
          <w:color w:val="auto"/>
        </w:rPr>
      </w:pPr>
      <w:r>
        <w:rPr>
          <w:rFonts w:ascii="Arial" w:cs="Arial" w:eastAsia="Arial" w:hAnsi="Arial"/>
          <w:sz w:val="18"/>
          <w:szCs w:val="18"/>
          <w:b w:val="1"/>
          <w:bCs w:val="1"/>
          <w:color w:val="auto"/>
        </w:rPr>
        <w:t>Center, Inc. and Subsidiaries</w:t>
      </w:r>
    </w:p>
    <w:p>
      <w:pPr>
        <w:spacing w:after="0" w:line="165" w:lineRule="exact"/>
        <w:rPr>
          <w:sz w:val="20"/>
          <w:szCs w:val="20"/>
          <w:color w:val="auto"/>
        </w:rPr>
      </w:pPr>
    </w:p>
    <w:p>
      <w:pPr>
        <w:jc w:val="center"/>
        <w:ind w:right="-1220"/>
        <w:spacing w:after="0"/>
        <w:rPr>
          <w:sz w:val="20"/>
          <w:szCs w:val="20"/>
          <w:color w:val="auto"/>
        </w:rPr>
      </w:pPr>
      <w:r>
        <w:rPr>
          <w:rFonts w:ascii="Arial" w:cs="Arial" w:eastAsia="Arial" w:hAnsi="Arial"/>
          <w:sz w:val="18"/>
          <w:szCs w:val="18"/>
          <w:color w:val="auto"/>
        </w:rPr>
        <w:t>Consolidated Financial Statements</w:t>
      </w:r>
    </w:p>
    <w:p>
      <w:pPr>
        <w:spacing w:after="0" w:line="171" w:lineRule="exact"/>
        <w:rPr>
          <w:sz w:val="20"/>
          <w:szCs w:val="20"/>
          <w:color w:val="auto"/>
        </w:rPr>
      </w:pPr>
    </w:p>
    <w:p>
      <w:pPr>
        <w:jc w:val="center"/>
        <w:ind w:right="-1220"/>
        <w:spacing w:after="0"/>
        <w:rPr>
          <w:sz w:val="20"/>
          <w:szCs w:val="20"/>
          <w:color w:val="auto"/>
        </w:rPr>
      </w:pPr>
      <w:r>
        <w:rPr>
          <w:rFonts w:ascii="Arial" w:cs="Arial" w:eastAsia="Arial" w:hAnsi="Arial"/>
          <w:sz w:val="15"/>
          <w:szCs w:val="15"/>
          <w:color w:val="auto"/>
        </w:rPr>
        <w:t>Years Ended October 31, 2006, 2005 and 2004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5287645</wp:posOffset>
            </wp:positionH>
            <wp:positionV relativeFrom="paragraph">
              <wp:posOffset>135890</wp:posOffset>
            </wp:positionV>
            <wp:extent cx="1964055" cy="8832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1964055" cy="8832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F - 53</w:t>
      </w:r>
    </w:p>
    <w:p>
      <w:pPr>
        <w:sectPr>
          <w:pgSz w:w="11900" w:h="16838" w:orient="portrait"/>
          <w:cols w:equalWidth="0" w:num="1">
            <w:col w:w="10219"/>
          </w:cols>
          <w:pgMar w:left="240" w:top="459" w:right="1440" w:bottom="1440" w:gutter="0" w:footer="0" w:header="0"/>
        </w:sectPr>
      </w:pPr>
    </w:p>
    <w:bookmarkStart w:id="72" w:name="page73"/>
    <w:bookmarkEnd w:id="7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International Home Furnishings Center, Inc. and Subsidiaries</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TABLE OF CONTENTS</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20" w:type="dxa"/>
            <w:vAlign w:val="bottom"/>
            <w:gridSpan w:val="8"/>
            <w:vMerge w:val="restart"/>
          </w:tcPr>
          <w:p>
            <w:pPr>
              <w:spacing w:after="0"/>
              <w:rPr>
                <w:rFonts w:ascii="Arial" w:cs="Arial" w:eastAsia="Arial" w:hAnsi="Arial"/>
                <w:sz w:val="18"/>
                <w:szCs w:val="18"/>
                <w:b w:val="1"/>
                <w:bCs w:val="1"/>
                <w:color w:val="0000EE"/>
              </w:rPr>
            </w:pPr>
            <w:hyperlink w:anchor="page74">
              <w:r>
                <w:rPr>
                  <w:rFonts w:ascii="Arial" w:cs="Arial" w:eastAsia="Arial" w:hAnsi="Arial"/>
                  <w:sz w:val="18"/>
                  <w:szCs w:val="18"/>
                  <w:b w:val="1"/>
                  <w:bCs w:val="1"/>
                  <w:color w:val="0000EE"/>
                </w:rPr>
                <w:t>Report of Independent Registered Public Accounting Firm</w:t>
              </w:r>
            </w:hyperlink>
          </w:p>
        </w:tc>
        <w:tc>
          <w:tcPr>
            <w:tcW w:w="5880" w:type="dxa"/>
            <w:vAlign w:val="bottom"/>
          </w:tcPr>
          <w:p>
            <w:pPr>
              <w:spacing w:after="0"/>
              <w:rPr>
                <w:sz w:val="14"/>
                <w:szCs w:val="14"/>
                <w:color w:val="auto"/>
              </w:rPr>
            </w:pPr>
          </w:p>
        </w:tc>
        <w:tc>
          <w:tcPr>
            <w:tcW w:w="540" w:type="dxa"/>
            <w:vAlign w:val="bottom"/>
            <w:gridSpan w:val="2"/>
          </w:tcPr>
          <w:p>
            <w:pPr>
              <w:jc w:val="right"/>
              <w:ind w:right="20"/>
              <w:spacing w:after="0"/>
              <w:rPr>
                <w:sz w:val="20"/>
                <w:szCs w:val="20"/>
                <w:color w:val="auto"/>
              </w:rPr>
            </w:pPr>
            <w:r>
              <w:rPr>
                <w:rFonts w:ascii="Arial" w:cs="Arial" w:eastAsia="Arial" w:hAnsi="Arial"/>
                <w:sz w:val="14"/>
                <w:szCs w:val="14"/>
                <w:b w:val="1"/>
                <w:bCs w:val="1"/>
                <w:color w:val="auto"/>
                <w:w w:val="83"/>
              </w:rPr>
              <w:t>Page No.</w:t>
            </w:r>
          </w:p>
        </w:tc>
        <w:tc>
          <w:tcPr>
            <w:tcW w:w="0" w:type="dxa"/>
            <w:vAlign w:val="bottom"/>
          </w:tcPr>
          <w:p>
            <w:pPr>
              <w:spacing w:after="0"/>
              <w:rPr>
                <w:sz w:val="1"/>
                <w:szCs w:val="1"/>
                <w:color w:val="auto"/>
              </w:rPr>
            </w:pPr>
          </w:p>
        </w:tc>
      </w:tr>
      <w:tr>
        <w:trPr>
          <w:trHeight w:val="169"/>
        </w:trPr>
        <w:tc>
          <w:tcPr>
            <w:tcW w:w="5020" w:type="dxa"/>
            <w:vAlign w:val="bottom"/>
            <w:gridSpan w:val="8"/>
            <w:vMerge w:val="continue"/>
          </w:tcPr>
          <w:p>
            <w:pPr>
              <w:spacing w:after="0"/>
              <w:rPr>
                <w:sz w:val="14"/>
                <w:szCs w:val="14"/>
                <w:color w:val="auto"/>
              </w:rPr>
            </w:pPr>
          </w:p>
        </w:tc>
        <w:tc>
          <w:tcPr>
            <w:tcW w:w="5880" w:type="dxa"/>
            <w:vAlign w:val="bottom"/>
          </w:tcPr>
          <w:p>
            <w:pPr>
              <w:spacing w:after="0"/>
              <w:rPr>
                <w:sz w:val="14"/>
                <w:szCs w:val="14"/>
                <w:color w:val="auto"/>
              </w:rPr>
            </w:pPr>
          </w:p>
        </w:tc>
        <w:tc>
          <w:tcPr>
            <w:tcW w:w="520" w:type="dxa"/>
            <w:vAlign w:val="bottom"/>
            <w:tcBorders>
              <w:top w:val="single" w:sz="8" w:color="auto"/>
            </w:tcBorders>
          </w:tcPr>
          <w:p>
            <w:pPr>
              <w:jc w:val="right"/>
              <w:spacing w:after="0" w:line="170" w:lineRule="exact"/>
              <w:rPr>
                <w:sz w:val="20"/>
                <w:szCs w:val="20"/>
                <w:color w:val="auto"/>
              </w:rPr>
            </w:pPr>
            <w:r>
              <w:rPr>
                <w:rFonts w:ascii="Arial" w:cs="Arial" w:eastAsia="Arial" w:hAnsi="Arial"/>
                <w:sz w:val="18"/>
                <w:szCs w:val="18"/>
                <w:color w:val="auto"/>
              </w:rPr>
              <w:t>F-55</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43"/>
        </w:trPr>
        <w:tc>
          <w:tcPr>
            <w:tcW w:w="4400" w:type="dxa"/>
            <w:vAlign w:val="bottom"/>
            <w:tcBorders>
              <w:top w:val="single" w:sz="8" w:color="0000EE"/>
            </w:tcBorders>
            <w:gridSpan w:val="6"/>
          </w:tcPr>
          <w:p>
            <w:pPr>
              <w:spacing w:after="0"/>
              <w:rPr>
                <w:sz w:val="20"/>
                <w:szCs w:val="20"/>
                <w:color w:val="auto"/>
              </w:rPr>
            </w:pPr>
            <w:r>
              <w:rPr>
                <w:rFonts w:ascii="Arial" w:cs="Arial" w:eastAsia="Arial" w:hAnsi="Arial"/>
                <w:sz w:val="18"/>
                <w:szCs w:val="18"/>
                <w:b w:val="1"/>
                <w:bCs w:val="1"/>
                <w:color w:val="auto"/>
              </w:rPr>
              <w:t>Consolidated Financial Statements</w:t>
            </w:r>
          </w:p>
        </w:tc>
        <w:tc>
          <w:tcPr>
            <w:tcW w:w="620" w:type="dxa"/>
            <w:vAlign w:val="bottom"/>
            <w:gridSpan w:val="2"/>
          </w:tcPr>
          <w:p>
            <w:pPr>
              <w:spacing w:after="0"/>
              <w:rPr>
                <w:sz w:val="24"/>
                <w:szCs w:val="24"/>
                <w:color w:val="auto"/>
              </w:rPr>
            </w:pPr>
          </w:p>
        </w:tc>
        <w:tc>
          <w:tcPr>
            <w:tcW w:w="58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440" w:type="dxa"/>
            <w:vAlign w:val="bottom"/>
          </w:tcPr>
          <w:p>
            <w:pPr>
              <w:spacing w:after="0"/>
              <w:rPr>
                <w:sz w:val="24"/>
                <w:szCs w:val="24"/>
                <w:color w:val="auto"/>
              </w:rPr>
            </w:pPr>
          </w:p>
        </w:tc>
        <w:tc>
          <w:tcPr>
            <w:tcW w:w="2040" w:type="dxa"/>
            <w:vAlign w:val="bottom"/>
            <w:tcBorders>
              <w:bottom w:val="single" w:sz="8" w:color="0000EE"/>
            </w:tcBorders>
          </w:tcPr>
          <w:p>
            <w:pPr>
              <w:spacing w:after="0"/>
              <w:rPr>
                <w:rFonts w:ascii="Arial" w:cs="Arial" w:eastAsia="Arial" w:hAnsi="Arial"/>
                <w:sz w:val="18"/>
                <w:szCs w:val="18"/>
                <w:color w:val="0000EE"/>
                <w:w w:val="85"/>
              </w:rPr>
            </w:pPr>
            <w:hyperlink w:anchor="page75">
              <w:r>
                <w:rPr>
                  <w:rFonts w:ascii="Arial" w:cs="Arial" w:eastAsia="Arial" w:hAnsi="Arial"/>
                  <w:sz w:val="18"/>
                  <w:szCs w:val="18"/>
                  <w:color w:val="0000EE"/>
                  <w:w w:val="85"/>
                </w:rPr>
                <w:t>Consolidated Balance Sheets</w:t>
              </w:r>
            </w:hyperlink>
          </w:p>
        </w:tc>
        <w:tc>
          <w:tcPr>
            <w:tcW w:w="2540" w:type="dxa"/>
            <w:vAlign w:val="bottom"/>
            <w:gridSpan w:val="6"/>
          </w:tcPr>
          <w:p>
            <w:pPr>
              <w:spacing w:after="0"/>
              <w:rPr>
                <w:sz w:val="24"/>
                <w:szCs w:val="24"/>
                <w:color w:val="auto"/>
              </w:rPr>
            </w:pPr>
          </w:p>
        </w:tc>
        <w:tc>
          <w:tcPr>
            <w:tcW w:w="5880" w:type="dxa"/>
            <w:vAlign w:val="bottom"/>
          </w:tcPr>
          <w:p>
            <w:pPr>
              <w:spacing w:after="0"/>
              <w:rPr>
                <w:sz w:val="24"/>
                <w:szCs w:val="24"/>
                <w:color w:val="auto"/>
              </w:rPr>
            </w:pPr>
          </w:p>
        </w:tc>
        <w:tc>
          <w:tcPr>
            <w:tcW w:w="540" w:type="dxa"/>
            <w:vAlign w:val="bottom"/>
            <w:gridSpan w:val="2"/>
          </w:tcPr>
          <w:p>
            <w:pPr>
              <w:jc w:val="right"/>
              <w:ind w:right="20"/>
              <w:spacing w:after="0"/>
              <w:rPr>
                <w:sz w:val="20"/>
                <w:szCs w:val="20"/>
                <w:color w:val="auto"/>
              </w:rPr>
            </w:pPr>
            <w:r>
              <w:rPr>
                <w:rFonts w:ascii="Arial" w:cs="Arial" w:eastAsia="Arial" w:hAnsi="Arial"/>
                <w:sz w:val="18"/>
                <w:szCs w:val="18"/>
                <w:color w:val="auto"/>
              </w:rPr>
              <w:t>F-56</w:t>
            </w:r>
          </w:p>
        </w:tc>
        <w:tc>
          <w:tcPr>
            <w:tcW w:w="0" w:type="dxa"/>
            <w:vAlign w:val="bottom"/>
          </w:tcPr>
          <w:p>
            <w:pPr>
              <w:spacing w:after="0"/>
              <w:rPr>
                <w:sz w:val="1"/>
                <w:szCs w:val="1"/>
                <w:color w:val="auto"/>
              </w:rPr>
            </w:pPr>
          </w:p>
        </w:tc>
      </w:tr>
      <w:tr>
        <w:trPr>
          <w:trHeight w:val="304"/>
        </w:trPr>
        <w:tc>
          <w:tcPr>
            <w:tcW w:w="440" w:type="dxa"/>
            <w:vAlign w:val="bottom"/>
          </w:tcPr>
          <w:p>
            <w:pPr>
              <w:spacing w:after="0"/>
              <w:rPr>
                <w:sz w:val="24"/>
                <w:szCs w:val="24"/>
                <w:color w:val="auto"/>
              </w:rPr>
            </w:pPr>
          </w:p>
        </w:tc>
        <w:tc>
          <w:tcPr>
            <w:tcW w:w="4580" w:type="dxa"/>
            <w:vAlign w:val="bottom"/>
            <w:gridSpan w:val="7"/>
          </w:tcPr>
          <w:p>
            <w:pPr>
              <w:spacing w:after="0"/>
              <w:rPr>
                <w:rFonts w:ascii="Arial" w:cs="Arial" w:eastAsia="Arial" w:hAnsi="Arial"/>
                <w:sz w:val="18"/>
                <w:szCs w:val="18"/>
                <w:color w:val="0000EE"/>
              </w:rPr>
            </w:pPr>
            <w:hyperlink w:anchor="page76">
              <w:r>
                <w:rPr>
                  <w:rFonts w:ascii="Arial" w:cs="Arial" w:eastAsia="Arial" w:hAnsi="Arial"/>
                  <w:sz w:val="18"/>
                  <w:szCs w:val="18"/>
                  <w:color w:val="0000EE"/>
                </w:rPr>
                <w:t>Consolidated Statements of Income</w:t>
              </w:r>
            </w:hyperlink>
          </w:p>
        </w:tc>
        <w:tc>
          <w:tcPr>
            <w:tcW w:w="5880" w:type="dxa"/>
            <w:vAlign w:val="bottom"/>
          </w:tcPr>
          <w:p>
            <w:pPr>
              <w:spacing w:after="0"/>
              <w:rPr>
                <w:sz w:val="24"/>
                <w:szCs w:val="24"/>
                <w:color w:val="auto"/>
              </w:rPr>
            </w:pPr>
          </w:p>
        </w:tc>
        <w:tc>
          <w:tcPr>
            <w:tcW w:w="540" w:type="dxa"/>
            <w:vAlign w:val="bottom"/>
            <w:gridSpan w:val="2"/>
          </w:tcPr>
          <w:p>
            <w:pPr>
              <w:jc w:val="right"/>
              <w:ind w:right="20"/>
              <w:spacing w:after="0"/>
              <w:rPr>
                <w:sz w:val="20"/>
                <w:szCs w:val="20"/>
                <w:color w:val="auto"/>
              </w:rPr>
            </w:pPr>
            <w:r>
              <w:rPr>
                <w:rFonts w:ascii="Arial" w:cs="Arial" w:eastAsia="Arial" w:hAnsi="Arial"/>
                <w:sz w:val="18"/>
                <w:szCs w:val="18"/>
                <w:color w:val="auto"/>
              </w:rPr>
              <w:t>F-57</w:t>
            </w:r>
          </w:p>
        </w:tc>
        <w:tc>
          <w:tcPr>
            <w:tcW w:w="0" w:type="dxa"/>
            <w:vAlign w:val="bottom"/>
          </w:tcPr>
          <w:p>
            <w:pPr>
              <w:spacing w:after="0"/>
              <w:rPr>
                <w:sz w:val="1"/>
                <w:szCs w:val="1"/>
                <w:color w:val="auto"/>
              </w:rPr>
            </w:pPr>
          </w:p>
        </w:tc>
      </w:tr>
      <w:tr>
        <w:trPr>
          <w:trHeight w:val="20"/>
        </w:trPr>
        <w:tc>
          <w:tcPr>
            <w:tcW w:w="440" w:type="dxa"/>
            <w:vAlign w:val="bottom"/>
          </w:tcPr>
          <w:p>
            <w:pPr>
              <w:spacing w:after="0" w:line="20" w:lineRule="exact"/>
              <w:rPr>
                <w:sz w:val="1"/>
                <w:szCs w:val="1"/>
                <w:color w:val="auto"/>
              </w:rPr>
            </w:pPr>
          </w:p>
        </w:tc>
        <w:tc>
          <w:tcPr>
            <w:tcW w:w="2500" w:type="dxa"/>
            <w:vAlign w:val="bottom"/>
            <w:gridSpan w:val="2"/>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88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440" w:type="dxa"/>
            <w:vAlign w:val="bottom"/>
          </w:tcPr>
          <w:p>
            <w:pPr>
              <w:spacing w:after="0"/>
              <w:rPr>
                <w:sz w:val="24"/>
                <w:szCs w:val="24"/>
                <w:color w:val="auto"/>
              </w:rPr>
            </w:pPr>
          </w:p>
        </w:tc>
        <w:tc>
          <w:tcPr>
            <w:tcW w:w="4120" w:type="dxa"/>
            <w:vAlign w:val="bottom"/>
            <w:tcBorders>
              <w:bottom w:val="single" w:sz="8" w:color="0000EE"/>
            </w:tcBorders>
            <w:gridSpan w:val="6"/>
          </w:tcPr>
          <w:p>
            <w:pPr>
              <w:spacing w:after="0"/>
              <w:rPr>
                <w:rFonts w:ascii="Arial" w:cs="Arial" w:eastAsia="Arial" w:hAnsi="Arial"/>
                <w:sz w:val="18"/>
                <w:szCs w:val="18"/>
                <w:color w:val="0000EE"/>
                <w:w w:val="89"/>
              </w:rPr>
            </w:pPr>
            <w:hyperlink w:anchor="page77">
              <w:r>
                <w:rPr>
                  <w:rFonts w:ascii="Arial" w:cs="Arial" w:eastAsia="Arial" w:hAnsi="Arial"/>
                  <w:sz w:val="18"/>
                  <w:szCs w:val="18"/>
                  <w:color w:val="0000EE"/>
                  <w:w w:val="89"/>
                </w:rPr>
                <w:t>Consolidated Statements of Stockholders’ Equity (Deficit)</w:t>
              </w:r>
            </w:hyperlink>
          </w:p>
        </w:tc>
        <w:tc>
          <w:tcPr>
            <w:tcW w:w="460" w:type="dxa"/>
            <w:vAlign w:val="bottom"/>
          </w:tcPr>
          <w:p>
            <w:pPr>
              <w:spacing w:after="0"/>
              <w:rPr>
                <w:sz w:val="24"/>
                <w:szCs w:val="24"/>
                <w:color w:val="auto"/>
              </w:rPr>
            </w:pPr>
          </w:p>
        </w:tc>
        <w:tc>
          <w:tcPr>
            <w:tcW w:w="5880" w:type="dxa"/>
            <w:vAlign w:val="bottom"/>
          </w:tcPr>
          <w:p>
            <w:pPr>
              <w:spacing w:after="0"/>
              <w:rPr>
                <w:sz w:val="24"/>
                <w:szCs w:val="24"/>
                <w:color w:val="auto"/>
              </w:rPr>
            </w:pPr>
          </w:p>
        </w:tc>
        <w:tc>
          <w:tcPr>
            <w:tcW w:w="540" w:type="dxa"/>
            <w:vAlign w:val="bottom"/>
            <w:gridSpan w:val="2"/>
          </w:tcPr>
          <w:p>
            <w:pPr>
              <w:jc w:val="right"/>
              <w:ind w:right="20"/>
              <w:spacing w:after="0"/>
              <w:rPr>
                <w:sz w:val="20"/>
                <w:szCs w:val="20"/>
                <w:color w:val="auto"/>
              </w:rPr>
            </w:pPr>
            <w:r>
              <w:rPr>
                <w:rFonts w:ascii="Arial" w:cs="Arial" w:eastAsia="Arial" w:hAnsi="Arial"/>
                <w:sz w:val="18"/>
                <w:szCs w:val="18"/>
                <w:color w:val="auto"/>
              </w:rPr>
              <w:t>F-58</w:t>
            </w:r>
          </w:p>
        </w:tc>
        <w:tc>
          <w:tcPr>
            <w:tcW w:w="0" w:type="dxa"/>
            <w:vAlign w:val="bottom"/>
          </w:tcPr>
          <w:p>
            <w:pPr>
              <w:spacing w:after="0"/>
              <w:rPr>
                <w:sz w:val="1"/>
                <w:szCs w:val="1"/>
                <w:color w:val="auto"/>
              </w:rPr>
            </w:pPr>
          </w:p>
        </w:tc>
      </w:tr>
      <w:tr>
        <w:trPr>
          <w:trHeight w:val="304"/>
        </w:trPr>
        <w:tc>
          <w:tcPr>
            <w:tcW w:w="440" w:type="dxa"/>
            <w:vAlign w:val="bottom"/>
          </w:tcPr>
          <w:p>
            <w:pPr>
              <w:spacing w:after="0"/>
              <w:rPr>
                <w:sz w:val="24"/>
                <w:szCs w:val="24"/>
                <w:color w:val="auto"/>
              </w:rPr>
            </w:pPr>
          </w:p>
        </w:tc>
        <w:tc>
          <w:tcPr>
            <w:tcW w:w="2800" w:type="dxa"/>
            <w:vAlign w:val="bottom"/>
            <w:tcBorders>
              <w:bottom w:val="single" w:sz="8" w:color="0000EE"/>
            </w:tcBorders>
            <w:gridSpan w:val="3"/>
          </w:tcPr>
          <w:p>
            <w:pPr>
              <w:spacing w:after="0"/>
              <w:rPr>
                <w:rFonts w:ascii="Arial" w:cs="Arial" w:eastAsia="Arial" w:hAnsi="Arial"/>
                <w:sz w:val="18"/>
                <w:szCs w:val="18"/>
                <w:color w:val="0000EE"/>
                <w:w w:val="86"/>
              </w:rPr>
            </w:pPr>
            <w:hyperlink w:anchor="page78">
              <w:r>
                <w:rPr>
                  <w:rFonts w:ascii="Arial" w:cs="Arial" w:eastAsia="Arial" w:hAnsi="Arial"/>
                  <w:sz w:val="18"/>
                  <w:szCs w:val="18"/>
                  <w:color w:val="0000EE"/>
                  <w:w w:val="86"/>
                </w:rPr>
                <w:t>Consolidated Statements of Cash Flows</w:t>
              </w:r>
            </w:hyperlink>
          </w:p>
        </w:tc>
        <w:tc>
          <w:tcPr>
            <w:tcW w:w="1780" w:type="dxa"/>
            <w:vAlign w:val="bottom"/>
            <w:gridSpan w:val="4"/>
          </w:tcPr>
          <w:p>
            <w:pPr>
              <w:spacing w:after="0"/>
              <w:rPr>
                <w:sz w:val="24"/>
                <w:szCs w:val="24"/>
                <w:color w:val="auto"/>
              </w:rPr>
            </w:pPr>
          </w:p>
        </w:tc>
        <w:tc>
          <w:tcPr>
            <w:tcW w:w="5880" w:type="dxa"/>
            <w:vAlign w:val="bottom"/>
          </w:tcPr>
          <w:p>
            <w:pPr>
              <w:spacing w:after="0"/>
              <w:rPr>
                <w:sz w:val="24"/>
                <w:szCs w:val="24"/>
                <w:color w:val="auto"/>
              </w:rPr>
            </w:pPr>
          </w:p>
        </w:tc>
        <w:tc>
          <w:tcPr>
            <w:tcW w:w="540" w:type="dxa"/>
            <w:vAlign w:val="bottom"/>
            <w:gridSpan w:val="2"/>
          </w:tcPr>
          <w:p>
            <w:pPr>
              <w:jc w:val="right"/>
              <w:ind w:right="20"/>
              <w:spacing w:after="0"/>
              <w:rPr>
                <w:sz w:val="20"/>
                <w:szCs w:val="20"/>
                <w:color w:val="auto"/>
              </w:rPr>
            </w:pPr>
            <w:r>
              <w:rPr>
                <w:rFonts w:ascii="Arial" w:cs="Arial" w:eastAsia="Arial" w:hAnsi="Arial"/>
                <w:sz w:val="18"/>
                <w:szCs w:val="18"/>
                <w:color w:val="auto"/>
              </w:rPr>
              <w:t>F-59</w:t>
            </w:r>
          </w:p>
        </w:tc>
        <w:tc>
          <w:tcPr>
            <w:tcW w:w="0" w:type="dxa"/>
            <w:vAlign w:val="bottom"/>
          </w:tcPr>
          <w:p>
            <w:pPr>
              <w:spacing w:after="0"/>
              <w:rPr>
                <w:sz w:val="1"/>
                <w:szCs w:val="1"/>
                <w:color w:val="auto"/>
              </w:rPr>
            </w:pPr>
          </w:p>
        </w:tc>
      </w:tr>
      <w:tr>
        <w:trPr>
          <w:trHeight w:val="304"/>
        </w:trPr>
        <w:tc>
          <w:tcPr>
            <w:tcW w:w="440" w:type="dxa"/>
            <w:vAlign w:val="bottom"/>
          </w:tcPr>
          <w:p>
            <w:pPr>
              <w:spacing w:after="0"/>
              <w:rPr>
                <w:sz w:val="24"/>
                <w:szCs w:val="24"/>
                <w:color w:val="auto"/>
              </w:rPr>
            </w:pPr>
          </w:p>
        </w:tc>
        <w:tc>
          <w:tcPr>
            <w:tcW w:w="4580" w:type="dxa"/>
            <w:vAlign w:val="bottom"/>
            <w:gridSpan w:val="7"/>
          </w:tcPr>
          <w:p>
            <w:pPr>
              <w:spacing w:after="0"/>
              <w:rPr>
                <w:rFonts w:ascii="Arial" w:cs="Arial" w:eastAsia="Arial" w:hAnsi="Arial"/>
                <w:sz w:val="18"/>
                <w:szCs w:val="18"/>
                <w:color w:val="0000EE"/>
              </w:rPr>
            </w:pPr>
            <w:hyperlink w:anchor="page80">
              <w:r>
                <w:rPr>
                  <w:rFonts w:ascii="Arial" w:cs="Arial" w:eastAsia="Arial" w:hAnsi="Arial"/>
                  <w:sz w:val="18"/>
                  <w:szCs w:val="18"/>
                  <w:color w:val="0000EE"/>
                </w:rPr>
                <w:t>Notes to Consolidated Financial Statements</w:t>
              </w:r>
            </w:hyperlink>
          </w:p>
        </w:tc>
        <w:tc>
          <w:tcPr>
            <w:tcW w:w="5880" w:type="dxa"/>
            <w:vAlign w:val="bottom"/>
          </w:tcPr>
          <w:p>
            <w:pPr>
              <w:spacing w:after="0"/>
              <w:rPr>
                <w:sz w:val="24"/>
                <w:szCs w:val="24"/>
                <w:color w:val="auto"/>
              </w:rPr>
            </w:pPr>
          </w:p>
        </w:tc>
        <w:tc>
          <w:tcPr>
            <w:tcW w:w="540" w:type="dxa"/>
            <w:vAlign w:val="bottom"/>
            <w:gridSpan w:val="2"/>
          </w:tcPr>
          <w:p>
            <w:pPr>
              <w:jc w:val="right"/>
              <w:ind w:right="20"/>
              <w:spacing w:after="0"/>
              <w:rPr>
                <w:sz w:val="20"/>
                <w:szCs w:val="20"/>
                <w:color w:val="auto"/>
              </w:rPr>
            </w:pPr>
            <w:r>
              <w:rPr>
                <w:rFonts w:ascii="Arial" w:cs="Arial" w:eastAsia="Arial" w:hAnsi="Arial"/>
                <w:sz w:val="18"/>
                <w:szCs w:val="18"/>
                <w:color w:val="auto"/>
              </w:rPr>
              <w:t>F-61</w:t>
            </w:r>
          </w:p>
        </w:tc>
        <w:tc>
          <w:tcPr>
            <w:tcW w:w="0" w:type="dxa"/>
            <w:vAlign w:val="bottom"/>
          </w:tcPr>
          <w:p>
            <w:pPr>
              <w:spacing w:after="0"/>
              <w:rPr>
                <w:sz w:val="1"/>
                <w:szCs w:val="1"/>
                <w:color w:val="auto"/>
              </w:rPr>
            </w:pPr>
          </w:p>
        </w:tc>
      </w:tr>
      <w:tr>
        <w:trPr>
          <w:trHeight w:val="383"/>
        </w:trPr>
        <w:tc>
          <w:tcPr>
            <w:tcW w:w="440" w:type="dxa"/>
            <w:vAlign w:val="bottom"/>
          </w:tcPr>
          <w:p>
            <w:pPr>
              <w:spacing w:after="0"/>
              <w:rPr>
                <w:sz w:val="24"/>
                <w:szCs w:val="24"/>
                <w:color w:val="auto"/>
              </w:rPr>
            </w:pPr>
          </w:p>
        </w:tc>
        <w:tc>
          <w:tcPr>
            <w:tcW w:w="2040" w:type="dxa"/>
            <w:vAlign w:val="bottom"/>
            <w:tcBorders>
              <w:top w:val="single" w:sz="8" w:color="0000EE"/>
            </w:tcBorders>
          </w:tcPr>
          <w:p>
            <w:pPr>
              <w:spacing w:after="0"/>
              <w:rPr>
                <w:sz w:val="24"/>
                <w:szCs w:val="24"/>
                <w:color w:val="auto"/>
              </w:rPr>
            </w:pPr>
          </w:p>
        </w:tc>
        <w:tc>
          <w:tcPr>
            <w:tcW w:w="460" w:type="dxa"/>
            <w:vAlign w:val="bottom"/>
            <w:tcBorders>
              <w:top w:val="single" w:sz="8" w:color="0000EE"/>
            </w:tcBorders>
          </w:tcPr>
          <w:p>
            <w:pPr>
              <w:spacing w:after="0"/>
              <w:rPr>
                <w:sz w:val="24"/>
                <w:szCs w:val="24"/>
                <w:color w:val="auto"/>
              </w:rPr>
            </w:pPr>
          </w:p>
        </w:tc>
        <w:tc>
          <w:tcPr>
            <w:tcW w:w="300" w:type="dxa"/>
            <w:vAlign w:val="bottom"/>
            <w:tcBorders>
              <w:top w:val="single" w:sz="8" w:color="0000EE"/>
            </w:tcBorders>
          </w:tcPr>
          <w:p>
            <w:pPr>
              <w:spacing w:after="0"/>
              <w:rPr>
                <w:sz w:val="24"/>
                <w:szCs w:val="24"/>
                <w:color w:val="auto"/>
              </w:rPr>
            </w:pPr>
          </w:p>
        </w:tc>
        <w:tc>
          <w:tcPr>
            <w:tcW w:w="280" w:type="dxa"/>
            <w:vAlign w:val="bottom"/>
            <w:tcBorders>
              <w:top w:val="single" w:sz="8" w:color="0000EE"/>
            </w:tcBorders>
          </w:tcPr>
          <w:p>
            <w:pPr>
              <w:spacing w:after="0"/>
              <w:rPr>
                <w:sz w:val="24"/>
                <w:szCs w:val="24"/>
                <w:color w:val="auto"/>
              </w:rPr>
            </w:pPr>
          </w:p>
        </w:tc>
        <w:tc>
          <w:tcPr>
            <w:tcW w:w="8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420" w:type="dxa"/>
            <w:vAlign w:val="bottom"/>
            <w:gridSpan w:val="3"/>
          </w:tcPr>
          <w:p>
            <w:pPr>
              <w:jc w:val="right"/>
              <w:ind w:right="5520"/>
              <w:spacing w:after="0"/>
              <w:rPr>
                <w:sz w:val="20"/>
                <w:szCs w:val="20"/>
                <w:color w:val="auto"/>
              </w:rPr>
            </w:pPr>
            <w:r>
              <w:rPr>
                <w:rFonts w:ascii="Arial" w:cs="Arial" w:eastAsia="Arial" w:hAnsi="Arial"/>
                <w:sz w:val="18"/>
                <w:szCs w:val="18"/>
                <w:color w:val="auto"/>
              </w:rPr>
              <w:t>F - 54</w:t>
            </w: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73" w:name="page74"/>
    <w:bookmarkEnd w:id="7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color w:val="auto"/>
        </w:rPr>
        <w:t>To the Board of Directors</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International Home Furnishings Center,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High Point, North Carolina</w:t>
      </w:r>
    </w:p>
    <w:p>
      <w:pPr>
        <w:spacing w:after="0" w:line="165" w:lineRule="exact"/>
        <w:rPr>
          <w:sz w:val="20"/>
          <w:szCs w:val="20"/>
          <w:color w:val="auto"/>
        </w:rPr>
      </w:pPr>
    </w:p>
    <w:p>
      <w:pPr>
        <w:ind w:right="20"/>
        <w:spacing w:after="0" w:line="256" w:lineRule="auto"/>
        <w:rPr>
          <w:sz w:val="20"/>
          <w:szCs w:val="20"/>
          <w:color w:val="auto"/>
        </w:rPr>
      </w:pPr>
      <w:r>
        <w:rPr>
          <w:rFonts w:ascii="Arial" w:cs="Arial" w:eastAsia="Arial" w:hAnsi="Arial"/>
          <w:sz w:val="18"/>
          <w:szCs w:val="18"/>
          <w:color w:val="auto"/>
        </w:rPr>
        <w:t>We have audited the accompanying consolidated balance sheets of International Home Furnishings Center, Inc. and Subsidiaries as of October 31, 2006 and 2005 and the related consolidated statements of income, stockholders’ equity (deficit), and cash flows for each of the three years in the period ended October 31, 2006. These consolidated financial statements are the responsibility of the Company’s management. Our responsibility is to express an opinion on these consolidated financial statements based on our audits.</w:t>
      </w:r>
    </w:p>
    <w:p>
      <w:pPr>
        <w:spacing w:after="0" w:line="143" w:lineRule="exact"/>
        <w:rPr>
          <w:sz w:val="20"/>
          <w:szCs w:val="20"/>
          <w:color w:val="auto"/>
        </w:rPr>
      </w:pPr>
    </w:p>
    <w:p>
      <w:pPr>
        <w:spacing w:after="0" w:line="312" w:lineRule="auto"/>
        <w:rPr>
          <w:sz w:val="20"/>
          <w:szCs w:val="20"/>
          <w:color w:val="auto"/>
        </w:rPr>
      </w:pPr>
      <w:r>
        <w:rPr>
          <w:rFonts w:ascii="Arial" w:cs="Arial" w:eastAsia="Arial" w:hAnsi="Arial"/>
          <w:sz w:val="15"/>
          <w:szCs w:val="15"/>
          <w:color w:val="auto"/>
        </w:rPr>
        <w:t>We conducted our audits in accordance with the standards of the Public Company Accounting Oversight Board (United States). Those standards require that we plan and perform the audit to obtain reasonable assurance about whether the consolidated financial statements are free of material misstatement. The Company is not required to have, nor were we engaged to perform, an audit of its internal control over financial reporting. Our audit included consideration of internal control over financial reporting as a basis for designing audit procedures that are appropriate in the circumstances, but not for the purpose of expressing an opinion on the effectiveness of the Company’s internal control over financial reporting. Accordingly, we express no such opinion. An audit includes examining, on a test basis, evidence supporting the amounts and disclosures in the consolidated financial statements, assessing the accounting principles used and significant estimates made by management, as well as evaluating the overall financial statement presentation. We believe that our audits provide a reasonable basis for our opinion.</w:t>
      </w:r>
    </w:p>
    <w:p>
      <w:pPr>
        <w:spacing w:after="0" w:line="105" w:lineRule="exact"/>
        <w:rPr>
          <w:sz w:val="20"/>
          <w:szCs w:val="20"/>
          <w:color w:val="auto"/>
        </w:rPr>
      </w:pPr>
    </w:p>
    <w:p>
      <w:pPr>
        <w:ind w:right="200"/>
        <w:spacing w:after="0" w:line="306" w:lineRule="auto"/>
        <w:rPr>
          <w:sz w:val="20"/>
          <w:szCs w:val="20"/>
          <w:color w:val="auto"/>
        </w:rPr>
      </w:pPr>
      <w:r>
        <w:rPr>
          <w:rFonts w:ascii="Arial" w:cs="Arial" w:eastAsia="Arial" w:hAnsi="Arial"/>
          <w:sz w:val="16"/>
          <w:szCs w:val="16"/>
          <w:color w:val="auto"/>
        </w:rPr>
        <w:t>In our opinion, the consolidated financial statements referred to above present fairly, in all material respects, the financial position of International Home Furnishings Center, Inc. and Subsidiaries at October 31, 2006 and 2005 and the results of their operations and their cash flows for each of the three years in the period ended October 31, 2006 in conformity with accounting principles generally accepted in the United States of America.</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High Point, North Carolina</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December 20, 2006</w:t>
      </w:r>
    </w:p>
    <w:p>
      <w:pPr>
        <w:spacing w:after="0" w:line="15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 - 55</w:t>
      </w:r>
    </w:p>
    <w:p>
      <w:pPr>
        <w:sectPr>
          <w:pgSz w:w="11900" w:h="16838" w:orient="portrait"/>
          <w:cols w:equalWidth="0" w:num="1">
            <w:col w:w="11380"/>
          </w:cols>
          <w:pgMar w:left="240" w:top="459" w:right="279" w:bottom="1440" w:gutter="0" w:footer="0" w:header="0"/>
        </w:sectPr>
      </w:pPr>
    </w:p>
    <w:bookmarkStart w:id="74" w:name="page75"/>
    <w:bookmarkEnd w:id="7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INTERNATIONAL HOME FURNISHINGS CENTER, INC. AND SUBSIDIARIES</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October 31, 2006 and 2005</w:t>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9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273"/>
              <w:spacing w:after="0"/>
              <w:rPr>
                <w:sz w:val="20"/>
                <w:szCs w:val="20"/>
                <w:color w:val="auto"/>
              </w:rPr>
            </w:pPr>
            <w:r>
              <w:rPr>
                <w:rFonts w:ascii="Arial" w:cs="Arial" w:eastAsia="Arial" w:hAnsi="Arial"/>
                <w:sz w:val="14"/>
                <w:szCs w:val="14"/>
                <w:b w:val="1"/>
                <w:bCs w:val="1"/>
                <w:color w:val="auto"/>
              </w:rPr>
              <w:t>2006</w:t>
            </w: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273"/>
              <w:spacing w:after="0"/>
              <w:rPr>
                <w:sz w:val="20"/>
                <w:szCs w:val="20"/>
                <w:color w:val="auto"/>
              </w:rPr>
            </w:pPr>
            <w:r>
              <w:rPr>
                <w:rFonts w:ascii="Arial" w:cs="Arial" w:eastAsia="Arial" w:hAnsi="Arial"/>
                <w:sz w:val="14"/>
                <w:szCs w:val="14"/>
                <w:b w:val="1"/>
                <w:bCs w:val="1"/>
                <w:color w:val="auto"/>
              </w:rPr>
              <w:t>2005</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9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23"/>
        </w:trPr>
        <w:tc>
          <w:tcPr>
            <w:tcW w:w="9000" w:type="dxa"/>
            <w:vAlign w:val="bottom"/>
            <w:gridSpan w:val="2"/>
          </w:tcPr>
          <w:p>
            <w:pPr>
              <w:spacing w:after="0"/>
              <w:rPr>
                <w:sz w:val="20"/>
                <w:szCs w:val="20"/>
                <w:color w:val="auto"/>
              </w:rPr>
            </w:pPr>
            <w:r>
              <w:rPr>
                <w:rFonts w:ascii="Arial" w:cs="Arial" w:eastAsia="Arial" w:hAnsi="Arial"/>
                <w:sz w:val="18"/>
                <w:szCs w:val="18"/>
                <w:color w:val="auto"/>
              </w:rPr>
              <w:t>CURRENT ASSETS</w:t>
            </w:r>
          </w:p>
        </w:tc>
        <w:tc>
          <w:tcPr>
            <w:tcW w:w="1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8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Cash and cash equivalents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10,830,899</w:t>
            </w:r>
          </w:p>
        </w:tc>
        <w:tc>
          <w:tcPr>
            <w:tcW w:w="22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10,088,879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tcPr>
          <w:p>
            <w:pPr>
              <w:ind w:left="420"/>
              <w:spacing w:after="0"/>
              <w:rPr>
                <w:sz w:val="20"/>
                <w:szCs w:val="20"/>
                <w:color w:val="auto"/>
              </w:rPr>
            </w:pPr>
            <w:r>
              <w:rPr>
                <w:rFonts w:ascii="Arial" w:cs="Arial" w:eastAsia="Arial" w:hAnsi="Arial"/>
                <w:sz w:val="18"/>
                <w:szCs w:val="18"/>
                <w:color w:val="auto"/>
              </w:rPr>
              <w:t>Restricted cash</w:t>
            </w: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143,750</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143,750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Short-term investments</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1,041,745</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7,223,184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tcPr>
          <w:p>
            <w:pPr>
              <w:ind w:left="420"/>
              <w:spacing w:after="0"/>
              <w:rPr>
                <w:sz w:val="20"/>
                <w:szCs w:val="20"/>
                <w:color w:val="auto"/>
              </w:rPr>
            </w:pPr>
            <w:r>
              <w:rPr>
                <w:rFonts w:ascii="Arial" w:cs="Arial" w:eastAsia="Arial" w:hAnsi="Arial"/>
                <w:sz w:val="18"/>
                <w:szCs w:val="18"/>
                <w:color w:val="auto"/>
              </w:rPr>
              <w:t>Receivables</w:t>
            </w: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shd w:val="clear" w:color="auto" w:fill="CCEEFF"/>
          </w:tcPr>
          <w:p>
            <w:pPr>
              <w:ind w:left="860"/>
              <w:spacing w:after="0"/>
              <w:rPr>
                <w:sz w:val="20"/>
                <w:szCs w:val="20"/>
                <w:color w:val="auto"/>
              </w:rPr>
            </w:pPr>
            <w:r>
              <w:rPr>
                <w:rFonts w:ascii="Arial" w:cs="Arial" w:eastAsia="Arial" w:hAnsi="Arial"/>
                <w:sz w:val="18"/>
                <w:szCs w:val="18"/>
                <w:color w:val="auto"/>
              </w:rPr>
              <w:t>Trade</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2,399,062</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2,730,500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tcPr>
          <w:p>
            <w:pPr>
              <w:ind w:left="860"/>
              <w:spacing w:after="0"/>
              <w:rPr>
                <w:sz w:val="20"/>
                <w:szCs w:val="20"/>
                <w:color w:val="auto"/>
              </w:rPr>
            </w:pPr>
            <w:r>
              <w:rPr>
                <w:rFonts w:ascii="Arial" w:cs="Arial" w:eastAsia="Arial" w:hAnsi="Arial"/>
                <w:sz w:val="18"/>
                <w:szCs w:val="18"/>
                <w:color w:val="auto"/>
              </w:rPr>
              <w:t>Interest</w:t>
            </w: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1,247</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5,544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Deferred income tax benefit</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4,903,000</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4,420,000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980" w:type="dxa"/>
            <w:vAlign w:val="bottom"/>
          </w:tcPr>
          <w:p>
            <w:pPr>
              <w:ind w:left="420"/>
              <w:spacing w:after="0"/>
              <w:rPr>
                <w:sz w:val="20"/>
                <w:szCs w:val="20"/>
                <w:color w:val="auto"/>
              </w:rPr>
            </w:pPr>
            <w:r>
              <w:rPr>
                <w:rFonts w:ascii="Arial" w:cs="Arial" w:eastAsia="Arial" w:hAnsi="Arial"/>
                <w:sz w:val="18"/>
                <w:szCs w:val="18"/>
                <w:color w:val="auto"/>
              </w:rPr>
              <w:t>Prepaid expenses</w:t>
            </w: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551,542</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402,983</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shd w:val="clear" w:color="auto" w:fill="CCEEFF"/>
          </w:tcPr>
          <w:p>
            <w:pPr>
              <w:ind w:left="1280"/>
              <w:spacing w:after="0"/>
              <w:rPr>
                <w:sz w:val="20"/>
                <w:szCs w:val="20"/>
                <w:color w:val="auto"/>
              </w:rPr>
            </w:pPr>
            <w:r>
              <w:rPr>
                <w:rFonts w:ascii="Arial" w:cs="Arial" w:eastAsia="Arial" w:hAnsi="Arial"/>
                <w:sz w:val="18"/>
                <w:szCs w:val="18"/>
                <w:color w:val="auto"/>
              </w:rPr>
              <w:t>TOTAL CURRENT ASSETS</w:t>
            </w:r>
          </w:p>
        </w:tc>
        <w:tc>
          <w:tcPr>
            <w:tcW w:w="10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19,871,245</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25,014,840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9000" w:type="dxa"/>
            <w:vAlign w:val="bottom"/>
            <w:gridSpan w:val="2"/>
          </w:tcPr>
          <w:p>
            <w:pPr>
              <w:spacing w:after="0"/>
              <w:rPr>
                <w:sz w:val="20"/>
                <w:szCs w:val="20"/>
                <w:color w:val="auto"/>
              </w:rPr>
            </w:pPr>
            <w:r>
              <w:rPr>
                <w:rFonts w:ascii="Arial" w:cs="Arial" w:eastAsia="Arial" w:hAnsi="Arial"/>
                <w:sz w:val="18"/>
                <w:szCs w:val="18"/>
                <w:color w:val="auto"/>
              </w:rPr>
              <w:t>PROPERTY AND EQUIPMENT, at cost</w:t>
            </w:r>
          </w:p>
        </w:tc>
        <w:tc>
          <w:tcPr>
            <w:tcW w:w="1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8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Land and land improvements</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3,640,498</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3,611,659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tcPr>
          <w:p>
            <w:pPr>
              <w:ind w:left="420"/>
              <w:spacing w:after="0"/>
              <w:rPr>
                <w:sz w:val="20"/>
                <w:szCs w:val="20"/>
                <w:color w:val="auto"/>
              </w:rPr>
            </w:pPr>
            <w:r>
              <w:rPr>
                <w:rFonts w:ascii="Arial" w:cs="Arial" w:eastAsia="Arial" w:hAnsi="Arial"/>
                <w:sz w:val="18"/>
                <w:szCs w:val="18"/>
                <w:color w:val="auto"/>
              </w:rPr>
              <w:t>Buildings, exclusive of theater complex</w:t>
            </w: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w w:val="95"/>
              </w:rPr>
              <w:t>94,758,584</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w w:val="95"/>
              </w:rPr>
              <w:t>92,510,595</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Furniture and equipment</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4,234,312</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4,057,036</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980" w:type="dxa"/>
            <w:vAlign w:val="bottom"/>
          </w:tcPr>
          <w:p>
            <w:pPr>
              <w:ind w:left="420"/>
              <w:spacing w:after="0"/>
              <w:rPr>
                <w:sz w:val="20"/>
                <w:szCs w:val="20"/>
                <w:color w:val="auto"/>
              </w:rPr>
            </w:pPr>
            <w:r>
              <w:rPr>
                <w:rFonts w:ascii="Arial" w:cs="Arial" w:eastAsia="Arial" w:hAnsi="Arial"/>
                <w:sz w:val="18"/>
                <w:szCs w:val="18"/>
                <w:color w:val="auto"/>
              </w:rPr>
              <w:t>Construction in progress</w:t>
            </w: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557,604</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156,235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5"/>
              </w:rPr>
              <w:t>103,190,998</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5"/>
              </w:rPr>
              <w:t>100,335,525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980" w:type="dxa"/>
            <w:vAlign w:val="bottom"/>
          </w:tcPr>
          <w:p>
            <w:pPr>
              <w:ind w:left="420"/>
              <w:spacing w:after="0"/>
              <w:rPr>
                <w:sz w:val="20"/>
                <w:szCs w:val="20"/>
                <w:color w:val="auto"/>
              </w:rPr>
            </w:pPr>
            <w:r>
              <w:rPr>
                <w:rFonts w:ascii="Arial" w:cs="Arial" w:eastAsia="Arial" w:hAnsi="Arial"/>
                <w:sz w:val="18"/>
                <w:szCs w:val="18"/>
                <w:color w:val="auto"/>
              </w:rPr>
              <w:t>Accumulated depreciation</w:t>
            </w:r>
          </w:p>
        </w:tc>
        <w:tc>
          <w:tcPr>
            <w:tcW w:w="100" w:type="dxa"/>
            <w:vAlign w:val="bottom"/>
          </w:tcPr>
          <w:p>
            <w:pPr>
              <w:spacing w:after="0"/>
              <w:rPr>
                <w:sz w:val="19"/>
                <w:szCs w:val="19"/>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8"/>
                <w:szCs w:val="18"/>
                <w:color w:val="auto"/>
                <w:w w:val="90"/>
              </w:rPr>
              <w:t>(59,276,658)</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w w:val="90"/>
              </w:rPr>
              <w:t>(56,686,783)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43,914,340</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43,648,742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9000" w:type="dxa"/>
            <w:vAlign w:val="bottom"/>
            <w:gridSpan w:val="2"/>
          </w:tcPr>
          <w:p>
            <w:pPr>
              <w:spacing w:after="0"/>
              <w:rPr>
                <w:sz w:val="20"/>
                <w:szCs w:val="20"/>
                <w:color w:val="auto"/>
              </w:rPr>
            </w:pPr>
            <w:r>
              <w:rPr>
                <w:rFonts w:ascii="Arial" w:cs="Arial" w:eastAsia="Arial" w:hAnsi="Arial"/>
                <w:sz w:val="18"/>
                <w:szCs w:val="18"/>
                <w:color w:val="auto"/>
              </w:rPr>
              <w:t>OTHER ASSETS</w:t>
            </w:r>
          </w:p>
        </w:tc>
        <w:tc>
          <w:tcPr>
            <w:tcW w:w="1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8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Prepaid rent</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674,069</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717,324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tcPr>
          <w:p>
            <w:pPr>
              <w:ind w:left="420"/>
              <w:spacing w:after="0"/>
              <w:rPr>
                <w:sz w:val="20"/>
                <w:szCs w:val="20"/>
                <w:color w:val="auto"/>
              </w:rPr>
            </w:pPr>
            <w:r>
              <w:rPr>
                <w:rFonts w:ascii="Arial" w:cs="Arial" w:eastAsia="Arial" w:hAnsi="Arial"/>
                <w:sz w:val="18"/>
                <w:szCs w:val="18"/>
                <w:color w:val="auto"/>
              </w:rPr>
              <w:t>Deferred income tax benefit</w:t>
            </w: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1,087,000</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1,066,000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8980" w:type="dxa"/>
            <w:vAlign w:val="bottom"/>
            <w:shd w:val="clear" w:color="auto" w:fill="CCEEFF"/>
          </w:tcPr>
          <w:p>
            <w:pPr>
              <w:ind w:left="420"/>
              <w:spacing w:after="0"/>
              <w:rPr>
                <w:sz w:val="20"/>
                <w:szCs w:val="20"/>
                <w:color w:val="auto"/>
              </w:rPr>
            </w:pPr>
            <w:r>
              <w:rPr>
                <w:rFonts w:ascii="Arial" w:cs="Arial" w:eastAsia="Arial" w:hAnsi="Arial"/>
                <w:sz w:val="18"/>
                <w:szCs w:val="18"/>
                <w:color w:val="auto"/>
                <w:w w:val="93"/>
              </w:rPr>
              <w:t>Deferred financing costs, net of accumulated amortization of $173,698 and $11,964 at October 31, 2006 and 2005,</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980" w:type="dxa"/>
            <w:vAlign w:val="bottom"/>
            <w:shd w:val="clear" w:color="auto" w:fill="CCEEFF"/>
          </w:tcPr>
          <w:p>
            <w:pPr>
              <w:ind w:left="640"/>
              <w:spacing w:after="0"/>
              <w:rPr>
                <w:sz w:val="20"/>
                <w:szCs w:val="20"/>
                <w:color w:val="auto"/>
              </w:rPr>
            </w:pPr>
            <w:r>
              <w:rPr>
                <w:rFonts w:ascii="Arial" w:cs="Arial" w:eastAsia="Arial" w:hAnsi="Arial"/>
                <w:sz w:val="18"/>
                <w:szCs w:val="18"/>
                <w:color w:val="auto"/>
              </w:rPr>
              <w:t>respectively</w:t>
            </w:r>
          </w:p>
        </w:tc>
        <w:tc>
          <w:tcPr>
            <w:tcW w:w="10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634,985</w:t>
            </w:r>
          </w:p>
        </w:tc>
        <w:tc>
          <w:tcPr>
            <w:tcW w:w="2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796,719</w:t>
            </w:r>
          </w:p>
        </w:tc>
        <w:tc>
          <w:tcPr>
            <w:tcW w:w="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898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2,396,054</w:t>
            </w: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2,580,043</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66,181,639</w:t>
            </w:r>
          </w:p>
        </w:tc>
        <w:tc>
          <w:tcPr>
            <w:tcW w:w="22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71,243,625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900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LIABILITIES LESS STOCKHOLDERS’ DEFICIT</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900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0"/>
        </w:trPr>
        <w:tc>
          <w:tcPr>
            <w:tcW w:w="20" w:type="dxa"/>
            <w:vAlign w:val="bottom"/>
            <w:vMerge w:val="restart"/>
          </w:tcPr>
          <w:p>
            <w:pPr>
              <w:spacing w:after="0"/>
              <w:rPr>
                <w:sz w:val="9"/>
                <w:szCs w:val="9"/>
                <w:color w:val="auto"/>
              </w:rPr>
            </w:pPr>
          </w:p>
        </w:tc>
        <w:tc>
          <w:tcPr>
            <w:tcW w:w="8980" w:type="dxa"/>
            <w:vAlign w:val="bottom"/>
          </w:tcPr>
          <w:p>
            <w:pPr>
              <w:spacing w:after="0"/>
              <w:rPr>
                <w:sz w:val="9"/>
                <w:szCs w:val="9"/>
                <w:color w:val="auto"/>
              </w:rPr>
            </w:pPr>
          </w:p>
        </w:tc>
        <w:tc>
          <w:tcPr>
            <w:tcW w:w="100" w:type="dxa"/>
            <w:vAlign w:val="bottom"/>
          </w:tcPr>
          <w:p>
            <w:pPr>
              <w:spacing w:after="0"/>
              <w:rPr>
                <w:sz w:val="9"/>
                <w:szCs w:val="9"/>
                <w:color w:val="auto"/>
              </w:rPr>
            </w:pPr>
          </w:p>
        </w:tc>
        <w:tc>
          <w:tcPr>
            <w:tcW w:w="8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8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98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tcPr>
          <w:p>
            <w:pPr>
              <w:ind w:left="420"/>
              <w:spacing w:after="0"/>
              <w:rPr>
                <w:sz w:val="20"/>
                <w:szCs w:val="20"/>
                <w:color w:val="auto"/>
              </w:rPr>
            </w:pPr>
            <w:r>
              <w:rPr>
                <w:rFonts w:ascii="Arial" w:cs="Arial" w:eastAsia="Arial" w:hAnsi="Arial"/>
                <w:sz w:val="18"/>
                <w:szCs w:val="18"/>
                <w:color w:val="auto"/>
              </w:rPr>
              <w:t>Accounts payable, trade</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1,642,896</w:t>
            </w:r>
          </w:p>
        </w:tc>
        <w:tc>
          <w:tcPr>
            <w:tcW w:w="220" w:type="dxa"/>
            <w:vAlign w:val="bottom"/>
          </w:tcPr>
          <w:p>
            <w:pPr>
              <w:spacing w:after="0"/>
              <w:rPr>
                <w:sz w:val="18"/>
                <w:szCs w:val="18"/>
                <w:color w:val="auto"/>
              </w:rPr>
            </w:pP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1,042,761</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Accrued property taxes</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2,342,129</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2,277,049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tcPr>
          <w:p>
            <w:pPr>
              <w:ind w:left="420"/>
              <w:spacing w:after="0"/>
              <w:rPr>
                <w:sz w:val="20"/>
                <w:szCs w:val="20"/>
                <w:color w:val="auto"/>
              </w:rPr>
            </w:pPr>
            <w:r>
              <w:rPr>
                <w:rFonts w:ascii="Arial" w:cs="Arial" w:eastAsia="Arial" w:hAnsi="Arial"/>
                <w:sz w:val="18"/>
                <w:szCs w:val="18"/>
                <w:color w:val="auto"/>
              </w:rPr>
              <w:t>Other accrued expenses</w:t>
            </w: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893,918</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411,718</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Rents received in advance</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12,416,302</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11,215,893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980" w:type="dxa"/>
            <w:vAlign w:val="bottom"/>
          </w:tcPr>
          <w:p>
            <w:pPr>
              <w:ind w:left="420"/>
              <w:spacing w:after="0"/>
              <w:rPr>
                <w:sz w:val="20"/>
                <w:szCs w:val="20"/>
                <w:color w:val="auto"/>
              </w:rPr>
            </w:pPr>
            <w:r>
              <w:rPr>
                <w:rFonts w:ascii="Arial" w:cs="Arial" w:eastAsia="Arial" w:hAnsi="Arial"/>
                <w:sz w:val="18"/>
                <w:szCs w:val="18"/>
                <w:color w:val="auto"/>
              </w:rPr>
              <w:t>Income taxes payable</w:t>
            </w: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2,199,190</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2,808,627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shd w:val="clear" w:color="auto" w:fill="CCEEFF"/>
          </w:tcPr>
          <w:p>
            <w:pPr>
              <w:ind w:left="1280"/>
              <w:spacing w:after="0"/>
              <w:rPr>
                <w:sz w:val="20"/>
                <w:szCs w:val="20"/>
                <w:color w:val="auto"/>
              </w:rPr>
            </w:pPr>
            <w:r>
              <w:rPr>
                <w:rFonts w:ascii="Arial" w:cs="Arial" w:eastAsia="Arial" w:hAnsi="Arial"/>
                <w:sz w:val="18"/>
                <w:szCs w:val="18"/>
                <w:color w:val="auto"/>
              </w:rPr>
              <w:t>TOTAL CURRENT LIABILITIES</w:t>
            </w:r>
          </w:p>
        </w:tc>
        <w:tc>
          <w:tcPr>
            <w:tcW w:w="10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19,494,435</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17,756,048</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9000" w:type="dxa"/>
            <w:vAlign w:val="bottom"/>
            <w:gridSpan w:val="2"/>
          </w:tcPr>
          <w:p>
            <w:pPr>
              <w:spacing w:after="0"/>
              <w:rPr>
                <w:sz w:val="20"/>
                <w:szCs w:val="20"/>
                <w:color w:val="auto"/>
              </w:rPr>
            </w:pPr>
            <w:r>
              <w:rPr>
                <w:rFonts w:ascii="Arial" w:cs="Arial" w:eastAsia="Arial" w:hAnsi="Arial"/>
                <w:sz w:val="18"/>
                <w:szCs w:val="18"/>
                <w:color w:val="auto"/>
              </w:rPr>
              <w:t>LONG-TERM DEBT</w:t>
            </w:r>
          </w:p>
        </w:tc>
        <w:tc>
          <w:tcPr>
            <w:tcW w:w="10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5"/>
              </w:rPr>
              <w:t>106,000,000</w:t>
            </w: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5"/>
              </w:rPr>
              <w:t>111,000,000</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shd w:val="clear" w:color="auto" w:fill="CCEEFF"/>
          </w:tcPr>
          <w:p>
            <w:pPr>
              <w:spacing w:after="0"/>
              <w:rPr>
                <w:sz w:val="20"/>
                <w:szCs w:val="20"/>
                <w:color w:val="auto"/>
              </w:rPr>
            </w:pPr>
            <w:r>
              <w:rPr>
                <w:rFonts w:ascii="Arial" w:cs="Arial" w:eastAsia="Arial" w:hAnsi="Arial"/>
                <w:sz w:val="18"/>
                <w:szCs w:val="18"/>
                <w:color w:val="auto"/>
              </w:rPr>
              <w:t>OTHER LONG-TERM LIABILITIES</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980" w:type="dxa"/>
            <w:vAlign w:val="bottom"/>
          </w:tcPr>
          <w:p>
            <w:pPr>
              <w:ind w:left="420"/>
              <w:spacing w:after="0"/>
              <w:rPr>
                <w:sz w:val="20"/>
                <w:szCs w:val="20"/>
                <w:color w:val="auto"/>
              </w:rPr>
            </w:pPr>
            <w:r>
              <w:rPr>
                <w:rFonts w:ascii="Arial" w:cs="Arial" w:eastAsia="Arial" w:hAnsi="Arial"/>
                <w:sz w:val="18"/>
                <w:szCs w:val="18"/>
                <w:color w:val="auto"/>
              </w:rPr>
              <w:t>Supplemental retirement benefits</w:t>
            </w: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1,995,983</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4,025,204</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shd w:val="clear" w:color="auto" w:fill="CCEEFF"/>
          </w:tcPr>
          <w:p>
            <w:pPr>
              <w:spacing w:after="0"/>
              <w:rPr>
                <w:sz w:val="20"/>
                <w:szCs w:val="20"/>
                <w:color w:val="auto"/>
              </w:rPr>
            </w:pPr>
            <w:r>
              <w:rPr>
                <w:rFonts w:ascii="Arial" w:cs="Arial" w:eastAsia="Arial" w:hAnsi="Arial"/>
                <w:sz w:val="18"/>
                <w:szCs w:val="18"/>
                <w:color w:val="auto"/>
              </w:rPr>
              <w:t>COMMITMENTS (Notes F and K)</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23"/>
        </w:trPr>
        <w:tc>
          <w:tcPr>
            <w:tcW w:w="9000" w:type="dxa"/>
            <w:vAlign w:val="bottom"/>
            <w:gridSpan w:val="2"/>
          </w:tcPr>
          <w:p>
            <w:pPr>
              <w:spacing w:after="0"/>
              <w:rPr>
                <w:sz w:val="20"/>
                <w:szCs w:val="20"/>
                <w:color w:val="auto"/>
              </w:rPr>
            </w:pPr>
            <w:r>
              <w:rPr>
                <w:rFonts w:ascii="Arial" w:cs="Arial" w:eastAsia="Arial" w:hAnsi="Arial"/>
                <w:sz w:val="18"/>
                <w:szCs w:val="18"/>
                <w:color w:val="auto"/>
              </w:rPr>
              <w:t>STOCKHOLDERS’ DEFICIT</w:t>
            </w:r>
          </w:p>
        </w:tc>
        <w:tc>
          <w:tcPr>
            <w:tcW w:w="1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8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Common stock, $5 par value, 1,000,000 shares authorized, 481,628 shares issued in 2006 and 2005</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2,408,140</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2,408,140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tcPr>
          <w:p>
            <w:pPr>
              <w:ind w:left="420"/>
              <w:spacing w:after="0"/>
              <w:rPr>
                <w:sz w:val="20"/>
                <w:szCs w:val="20"/>
                <w:color w:val="auto"/>
              </w:rPr>
            </w:pPr>
            <w:r>
              <w:rPr>
                <w:rFonts w:ascii="Arial" w:cs="Arial" w:eastAsia="Arial" w:hAnsi="Arial"/>
                <w:sz w:val="18"/>
                <w:szCs w:val="18"/>
                <w:color w:val="auto"/>
              </w:rPr>
              <w:t>Additional paid-in capital</w:t>
            </w: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154,592</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154,592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Accumulated deficit</w:t>
            </w: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0"/>
              </w:rPr>
              <w:t>(63,871,511)</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0"/>
              </w:rPr>
              <w:t>(64,100,359)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9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8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8"/>
                <w:szCs w:val="18"/>
                <w:color w:val="auto"/>
                <w:w w:val="90"/>
              </w:rPr>
              <w:t>(61,308,779)</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w w:val="90"/>
              </w:rPr>
              <w:t>(61,537,627)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66,181,639</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71,243,625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9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See accompanying notes.</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F-56</w:t>
      </w:r>
    </w:p>
    <w:p>
      <w:pPr>
        <w:sectPr>
          <w:pgSz w:w="11900" w:h="16838" w:orient="portrait"/>
          <w:cols w:equalWidth="0" w:num="1">
            <w:col w:w="11420"/>
          </w:cols>
          <w:pgMar w:left="240" w:top="459" w:right="239" w:bottom="1440" w:gutter="0" w:footer="0" w:header="0"/>
        </w:sectPr>
      </w:pPr>
    </w:p>
    <w:bookmarkStart w:id="75" w:name="page76"/>
    <w:bookmarkEnd w:id="7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5280"/>
        <w:spacing w:after="0" w:line="259" w:lineRule="auto"/>
        <w:rPr>
          <w:sz w:val="20"/>
          <w:szCs w:val="20"/>
          <w:color w:val="auto"/>
        </w:rPr>
      </w:pPr>
      <w:r>
        <w:rPr>
          <w:rFonts w:ascii="Arial" w:cs="Arial" w:eastAsia="Arial" w:hAnsi="Arial"/>
          <w:sz w:val="18"/>
          <w:szCs w:val="18"/>
          <w:b w:val="1"/>
          <w:bCs w:val="1"/>
          <w:i w:val="1"/>
          <w:iCs w:val="1"/>
          <w:color w:val="auto"/>
        </w:rPr>
        <w:t xml:space="preserve">INTERNATIONAL HOME FURNISHINGS CENTER, INC. AND SUBSIDIARIES </w:t>
      </w:r>
      <w:r>
        <w:rPr>
          <w:rFonts w:ascii="Arial" w:cs="Arial" w:eastAsia="Arial" w:hAnsi="Arial"/>
          <w:sz w:val="18"/>
          <w:szCs w:val="18"/>
          <w:b w:val="1"/>
          <w:bCs w:val="1"/>
          <w:color w:val="auto"/>
        </w:rPr>
        <w:t>CONSOLIDATED STATEMENTS OF INCOME Years Ended October 31, 2006, 2005 and 2004</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1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213"/>
              <w:spacing w:after="0"/>
              <w:rPr>
                <w:sz w:val="20"/>
                <w:szCs w:val="20"/>
                <w:color w:val="auto"/>
              </w:rPr>
            </w:pPr>
            <w:r>
              <w:rPr>
                <w:rFonts w:ascii="Arial" w:cs="Arial" w:eastAsia="Arial" w:hAnsi="Arial"/>
                <w:sz w:val="14"/>
                <w:szCs w:val="14"/>
                <w:b w:val="1"/>
                <w:bCs w:val="1"/>
                <w:color w:val="auto"/>
              </w:rPr>
              <w:t>2006</w:t>
            </w:r>
          </w:p>
        </w:tc>
        <w:tc>
          <w:tcPr>
            <w:tcW w:w="2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233"/>
              <w:spacing w:after="0"/>
              <w:rPr>
                <w:sz w:val="20"/>
                <w:szCs w:val="20"/>
                <w:color w:val="auto"/>
              </w:rPr>
            </w:pPr>
            <w:r>
              <w:rPr>
                <w:rFonts w:ascii="Arial" w:cs="Arial" w:eastAsia="Arial" w:hAnsi="Arial"/>
                <w:sz w:val="14"/>
                <w:szCs w:val="14"/>
                <w:b w:val="1"/>
                <w:bCs w:val="1"/>
                <w:color w:val="auto"/>
              </w:rPr>
              <w:t>2005</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233"/>
              <w:spacing w:after="0"/>
              <w:rPr>
                <w:sz w:val="20"/>
                <w:szCs w:val="20"/>
                <w:color w:val="auto"/>
              </w:rPr>
            </w:pPr>
            <w:r>
              <w:rPr>
                <w:rFonts w:ascii="Arial" w:cs="Arial" w:eastAsia="Arial" w:hAnsi="Arial"/>
                <w:sz w:val="14"/>
                <w:szCs w:val="14"/>
                <w:b w:val="1"/>
                <w:bCs w:val="1"/>
                <w:color w:val="auto"/>
              </w:rPr>
              <w:t>2004</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Arial" w:cs="Arial" w:eastAsia="Arial" w:hAnsi="Arial"/>
                <w:sz w:val="18"/>
                <w:szCs w:val="18"/>
                <w:color w:val="auto"/>
              </w:rPr>
              <w:t>OPERATING REVENUES</w:t>
            </w: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420"/>
              <w:spacing w:after="0"/>
              <w:rPr>
                <w:sz w:val="20"/>
                <w:szCs w:val="20"/>
                <w:color w:val="auto"/>
              </w:rPr>
            </w:pPr>
            <w:r>
              <w:rPr>
                <w:rFonts w:ascii="Arial" w:cs="Arial" w:eastAsia="Arial" w:hAnsi="Arial"/>
                <w:sz w:val="18"/>
                <w:szCs w:val="18"/>
                <w:color w:val="auto"/>
              </w:rPr>
              <w:t>Rental income</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40,231,432</w:t>
            </w:r>
          </w:p>
        </w:tc>
        <w:tc>
          <w:tcPr>
            <w:tcW w:w="2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39,229,054</w:t>
            </w:r>
          </w:p>
        </w:tc>
        <w:tc>
          <w:tcPr>
            <w:tcW w:w="160" w:type="dxa"/>
            <w:vAlign w:val="bottom"/>
          </w:tcPr>
          <w:p>
            <w:pPr>
              <w:spacing w:after="0"/>
              <w:rPr>
                <w:sz w:val="18"/>
                <w:szCs w:val="18"/>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37,797,852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Other revenues</w:t>
            </w:r>
          </w:p>
        </w:tc>
        <w:tc>
          <w:tcPr>
            <w:tcW w:w="8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6,532,130</w:t>
            </w:r>
          </w:p>
        </w:tc>
        <w:tc>
          <w:tcPr>
            <w:tcW w:w="2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7,182,321</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7,167,392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100" w:type="dxa"/>
            <w:vAlign w:val="bottom"/>
          </w:tcPr>
          <w:p>
            <w:pPr>
              <w:ind w:left="860"/>
              <w:spacing w:after="0"/>
              <w:rPr>
                <w:sz w:val="20"/>
                <w:szCs w:val="20"/>
                <w:color w:val="auto"/>
              </w:rPr>
            </w:pPr>
            <w:r>
              <w:rPr>
                <w:rFonts w:ascii="Arial" w:cs="Arial" w:eastAsia="Arial" w:hAnsi="Arial"/>
                <w:sz w:val="18"/>
                <w:szCs w:val="18"/>
                <w:color w:val="auto"/>
              </w:rPr>
              <w:t>TOTAL OPERATING REVENUES</w:t>
            </w:r>
          </w:p>
        </w:tc>
        <w:tc>
          <w:tcPr>
            <w:tcW w:w="8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86"/>
              </w:rPr>
              <w:t>46,763,562</w:t>
            </w: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w w:val="86"/>
              </w:rPr>
              <w:t>46,411,375</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86"/>
              </w:rPr>
              <w:t>44,965,244</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8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420"/>
              <w:spacing w:after="0"/>
              <w:rPr>
                <w:sz w:val="20"/>
                <w:szCs w:val="20"/>
                <w:color w:val="auto"/>
              </w:rPr>
            </w:pPr>
            <w:r>
              <w:rPr>
                <w:rFonts w:ascii="Arial" w:cs="Arial" w:eastAsia="Arial" w:hAnsi="Arial"/>
                <w:sz w:val="18"/>
                <w:szCs w:val="18"/>
                <w:color w:val="auto"/>
              </w:rPr>
              <w:t>Compensation and benefits</w:t>
            </w: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5,624,995</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6,083,491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4,775,502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Market and promotional</w:t>
            </w: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2,500,395</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2,503,038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2,346,938</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420"/>
              <w:spacing w:after="0"/>
              <w:rPr>
                <w:sz w:val="20"/>
                <w:szCs w:val="20"/>
                <w:color w:val="auto"/>
              </w:rPr>
            </w:pPr>
            <w:r>
              <w:rPr>
                <w:rFonts w:ascii="Arial" w:cs="Arial" w:eastAsia="Arial" w:hAnsi="Arial"/>
                <w:sz w:val="18"/>
                <w:szCs w:val="18"/>
                <w:color w:val="auto"/>
              </w:rPr>
              <w:t>Maintenance and building costs</w:t>
            </w: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1,290,097</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952,712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1,463,971</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Depreciation expense</w:t>
            </w: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2,873,755</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2,802,712</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2,772,108</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420"/>
              <w:spacing w:after="0"/>
              <w:rPr>
                <w:sz w:val="20"/>
                <w:szCs w:val="20"/>
                <w:color w:val="auto"/>
              </w:rPr>
            </w:pPr>
            <w:r>
              <w:rPr>
                <w:rFonts w:ascii="Arial" w:cs="Arial" w:eastAsia="Arial" w:hAnsi="Arial"/>
                <w:sz w:val="18"/>
                <w:szCs w:val="18"/>
                <w:color w:val="auto"/>
              </w:rPr>
              <w:t>Rent</w:t>
            </w: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163,689</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163,689</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163,689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Property taxes and insurance</w:t>
            </w: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3,174,248</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2,930,665</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2,971,933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420"/>
              <w:spacing w:after="0"/>
              <w:rPr>
                <w:sz w:val="20"/>
                <w:szCs w:val="20"/>
                <w:color w:val="auto"/>
              </w:rPr>
            </w:pPr>
            <w:r>
              <w:rPr>
                <w:rFonts w:ascii="Arial" w:cs="Arial" w:eastAsia="Arial" w:hAnsi="Arial"/>
                <w:sz w:val="18"/>
                <w:szCs w:val="18"/>
                <w:color w:val="auto"/>
              </w:rPr>
              <w:t>Utilities</w:t>
            </w: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1,741,321</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1,538,809</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1,598,949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Other operating costs</w:t>
            </w:r>
          </w:p>
        </w:tc>
        <w:tc>
          <w:tcPr>
            <w:tcW w:w="8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679,287</w:t>
            </w:r>
          </w:p>
        </w:tc>
        <w:tc>
          <w:tcPr>
            <w:tcW w:w="2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589,167</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546,612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100" w:type="dxa"/>
            <w:vAlign w:val="bottom"/>
          </w:tcPr>
          <w:p>
            <w:pPr>
              <w:ind w:left="860"/>
              <w:spacing w:after="0"/>
              <w:rPr>
                <w:sz w:val="20"/>
                <w:szCs w:val="20"/>
                <w:color w:val="auto"/>
              </w:rPr>
            </w:pPr>
            <w:r>
              <w:rPr>
                <w:rFonts w:ascii="Arial" w:cs="Arial" w:eastAsia="Arial" w:hAnsi="Arial"/>
                <w:sz w:val="18"/>
                <w:szCs w:val="18"/>
                <w:color w:val="auto"/>
              </w:rPr>
              <w:t>TOTAL OPERATING EXPENSES</w:t>
            </w:r>
          </w:p>
        </w:tc>
        <w:tc>
          <w:tcPr>
            <w:tcW w:w="8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18,047,787</w:t>
            </w:r>
          </w:p>
        </w:tc>
        <w:tc>
          <w:tcPr>
            <w:tcW w:w="28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17,564,283</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16,639,702</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1280"/>
              <w:spacing w:after="0"/>
              <w:rPr>
                <w:sz w:val="20"/>
                <w:szCs w:val="20"/>
                <w:color w:val="auto"/>
              </w:rPr>
            </w:pPr>
            <w:r>
              <w:rPr>
                <w:rFonts w:ascii="Arial" w:cs="Arial" w:eastAsia="Arial" w:hAnsi="Arial"/>
                <w:sz w:val="18"/>
                <w:szCs w:val="18"/>
                <w:color w:val="auto"/>
              </w:rPr>
              <w:t>INCOME FROM OPERATIONS</w:t>
            </w:r>
          </w:p>
        </w:tc>
        <w:tc>
          <w:tcPr>
            <w:tcW w:w="8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28,715,775</w:t>
            </w:r>
          </w:p>
        </w:tc>
        <w:tc>
          <w:tcPr>
            <w:tcW w:w="2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28,847,092</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28,325,542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8120" w:type="dxa"/>
            <w:vAlign w:val="bottom"/>
            <w:gridSpan w:val="2"/>
          </w:tcPr>
          <w:p>
            <w:pPr>
              <w:spacing w:after="0"/>
              <w:rPr>
                <w:sz w:val="20"/>
                <w:szCs w:val="20"/>
                <w:color w:val="auto"/>
              </w:rPr>
            </w:pPr>
            <w:r>
              <w:rPr>
                <w:rFonts w:ascii="Arial" w:cs="Arial" w:eastAsia="Arial" w:hAnsi="Arial"/>
                <w:sz w:val="18"/>
                <w:szCs w:val="18"/>
                <w:color w:val="auto"/>
              </w:rPr>
              <w:t>NONOPERATING INCOME (EXPENSE)</w:t>
            </w:r>
          </w:p>
        </w:tc>
        <w:tc>
          <w:tcPr>
            <w:tcW w:w="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81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Interest income</w:t>
            </w: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221,181</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459,546</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183,827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420"/>
              <w:spacing w:after="0"/>
              <w:rPr>
                <w:sz w:val="20"/>
                <w:szCs w:val="20"/>
                <w:color w:val="auto"/>
              </w:rPr>
            </w:pPr>
            <w:r>
              <w:rPr>
                <w:rFonts w:ascii="Arial" w:cs="Arial" w:eastAsia="Arial" w:hAnsi="Arial"/>
                <w:sz w:val="18"/>
                <w:szCs w:val="18"/>
                <w:color w:val="auto"/>
              </w:rPr>
              <w:t>Dividend income</w:t>
            </w:r>
          </w:p>
        </w:tc>
        <w:tc>
          <w:tcPr>
            <w:tcW w:w="80" w:type="dxa"/>
            <w:vAlign w:val="bottom"/>
          </w:tcPr>
          <w:p>
            <w:pPr>
              <w:spacing w:after="0"/>
              <w:rPr>
                <w:sz w:val="18"/>
                <w:szCs w:val="18"/>
                <w:color w:val="auto"/>
              </w:rPr>
            </w:pPr>
          </w:p>
        </w:tc>
        <w:tc>
          <w:tcPr>
            <w:tcW w:w="108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6,032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3,323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Interest expense</w:t>
            </w:r>
          </w:p>
        </w:tc>
        <w:tc>
          <w:tcPr>
            <w:tcW w:w="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1"/>
              </w:rPr>
              <w:t>(5,484,792)</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1"/>
              </w:rPr>
              <w:t>(6,994,367)</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1"/>
              </w:rPr>
              <w:t>(6,609,255)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420"/>
              <w:spacing w:after="0"/>
              <w:rPr>
                <w:sz w:val="20"/>
                <w:szCs w:val="20"/>
                <w:color w:val="auto"/>
              </w:rPr>
            </w:pPr>
            <w:r>
              <w:rPr>
                <w:rFonts w:ascii="Arial" w:cs="Arial" w:eastAsia="Arial" w:hAnsi="Arial"/>
                <w:sz w:val="18"/>
                <w:szCs w:val="18"/>
                <w:color w:val="auto"/>
              </w:rPr>
              <w:t>Other expense</w:t>
            </w:r>
          </w:p>
        </w:tc>
        <w:tc>
          <w:tcPr>
            <w:tcW w:w="8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(315)</w:t>
            </w:r>
          </w:p>
        </w:tc>
        <w:tc>
          <w:tcPr>
            <w:tcW w:w="10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(82)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(80,353)</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860"/>
              <w:spacing w:after="0"/>
              <w:rPr>
                <w:sz w:val="20"/>
                <w:szCs w:val="20"/>
                <w:color w:val="auto"/>
              </w:rPr>
            </w:pPr>
            <w:r>
              <w:rPr>
                <w:rFonts w:ascii="Arial" w:cs="Arial" w:eastAsia="Arial" w:hAnsi="Arial"/>
                <w:sz w:val="18"/>
                <w:szCs w:val="18"/>
                <w:color w:val="auto"/>
              </w:rPr>
              <w:t>TOTAL NONOPERATING EXPENSES</w:t>
            </w:r>
          </w:p>
        </w:tc>
        <w:tc>
          <w:tcPr>
            <w:tcW w:w="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1"/>
              </w:rPr>
              <w:t>(5,263,926)</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1"/>
              </w:rPr>
              <w:t>(6,528,871)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1"/>
              </w:rPr>
              <w:t>(6,502,458)</w:t>
            </w: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8100" w:type="dxa"/>
            <w:vAlign w:val="bottom"/>
          </w:tcPr>
          <w:p>
            <w:pPr>
              <w:ind w:left="1280"/>
              <w:spacing w:after="0"/>
              <w:rPr>
                <w:sz w:val="20"/>
                <w:szCs w:val="20"/>
                <w:color w:val="auto"/>
              </w:rPr>
            </w:pPr>
            <w:r>
              <w:rPr>
                <w:rFonts w:ascii="Arial" w:cs="Arial" w:eastAsia="Arial" w:hAnsi="Arial"/>
                <w:sz w:val="18"/>
                <w:szCs w:val="18"/>
                <w:color w:val="auto"/>
              </w:rPr>
              <w:t>INCOME BEFORE INCOME TAXES</w:t>
            </w:r>
          </w:p>
        </w:tc>
        <w:tc>
          <w:tcPr>
            <w:tcW w:w="80" w:type="dxa"/>
            <w:vAlign w:val="bottom"/>
            <w:tcBorders>
              <w:top w:val="single" w:sz="8" w:color="auto"/>
            </w:tcBorders>
          </w:tcPr>
          <w:p>
            <w:pPr>
              <w:spacing w:after="0"/>
              <w:rPr>
                <w:sz w:val="24"/>
                <w:szCs w:val="24"/>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6"/>
              </w:rPr>
              <w:t>23,451,849</w:t>
            </w:r>
          </w:p>
        </w:tc>
        <w:tc>
          <w:tcPr>
            <w:tcW w:w="28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6"/>
              </w:rPr>
              <w:t>22,318,221</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6"/>
              </w:rPr>
              <w:t>21,823,084</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Arial" w:cs="Arial" w:eastAsia="Arial" w:hAnsi="Arial"/>
                <w:sz w:val="18"/>
                <w:szCs w:val="18"/>
                <w:color w:val="auto"/>
              </w:rPr>
              <w:t>PROVISION FOR INCOME TAXES</w:t>
            </w:r>
          </w:p>
        </w:tc>
        <w:tc>
          <w:tcPr>
            <w:tcW w:w="8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9,223,000</w:t>
            </w:r>
          </w:p>
        </w:tc>
        <w:tc>
          <w:tcPr>
            <w:tcW w:w="2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8,727,000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8,770,000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100" w:type="dxa"/>
            <w:vAlign w:val="bottom"/>
          </w:tcPr>
          <w:p>
            <w:pPr>
              <w:ind w:left="1720"/>
              <w:spacing w:after="0"/>
              <w:rPr>
                <w:sz w:val="20"/>
                <w:szCs w:val="20"/>
                <w:color w:val="auto"/>
              </w:rPr>
            </w:pPr>
            <w:r>
              <w:rPr>
                <w:rFonts w:ascii="Arial" w:cs="Arial" w:eastAsia="Arial" w:hAnsi="Arial"/>
                <w:sz w:val="18"/>
                <w:szCs w:val="18"/>
                <w:color w:val="auto"/>
              </w:rPr>
              <w:t>NET INCOME</w:t>
            </w:r>
          </w:p>
        </w:tc>
        <w:tc>
          <w:tcPr>
            <w:tcW w:w="8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14,228,849</w:t>
            </w:r>
          </w:p>
        </w:tc>
        <w:tc>
          <w:tcPr>
            <w:tcW w:w="28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13,591,221</w:t>
            </w:r>
          </w:p>
        </w:tc>
        <w:tc>
          <w:tcPr>
            <w:tcW w:w="160" w:type="dxa"/>
            <w:vAlign w:val="bottom"/>
          </w:tcPr>
          <w:p>
            <w:pPr>
              <w:spacing w:after="0"/>
              <w:rPr>
                <w:sz w:val="19"/>
                <w:szCs w:val="19"/>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13,053,084</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Arial" w:cs="Arial" w:eastAsia="Arial" w:hAnsi="Arial"/>
                <w:sz w:val="18"/>
                <w:szCs w:val="18"/>
                <w:color w:val="auto"/>
              </w:rPr>
              <w:t>BASIC EARNINGS PER COMMON SHARE</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29.54</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28.22</w:t>
            </w:r>
          </w:p>
        </w:tc>
        <w:tc>
          <w:tcPr>
            <w:tcW w:w="16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27.10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120" w:type="dxa"/>
            <w:vAlign w:val="bottom"/>
            <w:gridSpan w:val="2"/>
            <w:vMerge w:val="restart"/>
          </w:tcPr>
          <w:p>
            <w:pPr>
              <w:spacing w:after="0"/>
              <w:rPr>
                <w:sz w:val="20"/>
                <w:szCs w:val="20"/>
                <w:color w:val="auto"/>
              </w:rPr>
            </w:pPr>
            <w:r>
              <w:rPr>
                <w:rFonts w:ascii="Arial" w:cs="Arial" w:eastAsia="Arial" w:hAnsi="Arial"/>
                <w:sz w:val="18"/>
                <w:szCs w:val="18"/>
                <w:color w:val="auto"/>
              </w:rPr>
              <w:t>WEIGHTED AVERAGE NUMBER OF COMMON SHARES OUTSTANDING</w:t>
            </w: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8120" w:type="dxa"/>
            <w:vAlign w:val="bottom"/>
            <w:gridSpan w:val="2"/>
            <w:vMerge w:val="continue"/>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481,628</w:t>
            </w:r>
          </w:p>
        </w:tc>
        <w:tc>
          <w:tcPr>
            <w:tcW w:w="28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481,628</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481,628</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See accompanying notes.</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- 57</w:t>
      </w:r>
    </w:p>
    <w:p>
      <w:pPr>
        <w:sectPr>
          <w:pgSz w:w="11900" w:h="16838" w:orient="portrait"/>
          <w:cols w:equalWidth="0" w:num="1">
            <w:col w:w="11420"/>
          </w:cols>
          <w:pgMar w:left="240" w:top="459" w:right="239" w:bottom="1440" w:gutter="0" w:footer="0" w:header="0"/>
        </w:sectPr>
      </w:pPr>
    </w:p>
    <w:bookmarkStart w:id="76" w:name="page77"/>
    <w:bookmarkEnd w:id="7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5120"/>
        <w:spacing w:after="0" w:line="262" w:lineRule="auto"/>
        <w:rPr>
          <w:sz w:val="20"/>
          <w:szCs w:val="20"/>
          <w:color w:val="auto"/>
        </w:rPr>
      </w:pPr>
      <w:r>
        <w:rPr>
          <w:rFonts w:ascii="Arial" w:cs="Arial" w:eastAsia="Arial" w:hAnsi="Arial"/>
          <w:sz w:val="18"/>
          <w:szCs w:val="18"/>
          <w:b w:val="1"/>
          <w:bCs w:val="1"/>
          <w:color w:val="auto"/>
        </w:rPr>
        <w:t>INTERNATIONAL HOME FURNISHINGS CENTER, INC. AND SUBSIDIARIES CONSOLIDATED STATEMENTS OF STOCKHOLDERS’ EQUITY (DEFICIT) Years Ended October 31, 2006, 2005 and 2004</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0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88"/>
              </w:rPr>
              <w:t>Accumulated</w:t>
            </w:r>
          </w:p>
        </w:tc>
        <w:tc>
          <w:tcPr>
            <w:tcW w:w="1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149"/>
        </w:trPr>
        <w:tc>
          <w:tcPr>
            <w:tcW w:w="20" w:type="dxa"/>
            <w:vAlign w:val="bottom"/>
          </w:tcPr>
          <w:p>
            <w:pPr>
              <w:spacing w:after="0"/>
              <w:rPr>
                <w:sz w:val="12"/>
                <w:szCs w:val="12"/>
                <w:color w:val="auto"/>
              </w:rPr>
            </w:pPr>
          </w:p>
        </w:tc>
        <w:tc>
          <w:tcPr>
            <w:tcW w:w="60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Additional</w:t>
            </w:r>
          </w:p>
        </w:tc>
        <w:tc>
          <w:tcPr>
            <w:tcW w:w="1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Other</w:t>
            </w:r>
          </w:p>
        </w:tc>
        <w:tc>
          <w:tcPr>
            <w:tcW w:w="1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6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6060" w:type="dxa"/>
            <w:vAlign w:val="bottom"/>
          </w:tcPr>
          <w:p>
            <w:pPr>
              <w:spacing w:after="0"/>
              <w:rPr>
                <w:sz w:val="12"/>
                <w:szCs w:val="12"/>
                <w:color w:val="auto"/>
              </w:rPr>
            </w:pPr>
          </w:p>
        </w:tc>
        <w:tc>
          <w:tcPr>
            <w:tcW w:w="800" w:type="dxa"/>
            <w:vAlign w:val="bottom"/>
          </w:tcPr>
          <w:p>
            <w:pPr>
              <w:jc w:val="right"/>
              <w:ind w:right="35"/>
              <w:spacing w:after="0" w:line="149" w:lineRule="exact"/>
              <w:rPr>
                <w:sz w:val="20"/>
                <w:szCs w:val="20"/>
                <w:color w:val="auto"/>
              </w:rPr>
            </w:pPr>
            <w:r>
              <w:rPr>
                <w:rFonts w:ascii="Arial" w:cs="Arial" w:eastAsia="Arial" w:hAnsi="Arial"/>
                <w:sz w:val="14"/>
                <w:szCs w:val="14"/>
                <w:b w:val="1"/>
                <w:bCs w:val="1"/>
                <w:color w:val="auto"/>
              </w:rPr>
              <w:t>Common</w:t>
            </w:r>
          </w:p>
        </w:tc>
        <w:tc>
          <w:tcPr>
            <w:tcW w:w="220" w:type="dxa"/>
            <w:vAlign w:val="bottom"/>
          </w:tcPr>
          <w:p>
            <w:pPr>
              <w:spacing w:after="0"/>
              <w:rPr>
                <w:sz w:val="12"/>
                <w:szCs w:val="12"/>
                <w:color w:val="auto"/>
              </w:rPr>
            </w:pPr>
          </w:p>
        </w:tc>
        <w:tc>
          <w:tcPr>
            <w:tcW w:w="78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Paid-In</w:t>
            </w:r>
          </w:p>
        </w:tc>
        <w:tc>
          <w:tcPr>
            <w:tcW w:w="100" w:type="dxa"/>
            <w:vAlign w:val="bottom"/>
          </w:tcPr>
          <w:p>
            <w:pPr>
              <w:spacing w:after="0"/>
              <w:rPr>
                <w:sz w:val="12"/>
                <w:szCs w:val="12"/>
                <w:color w:val="auto"/>
              </w:rPr>
            </w:pPr>
          </w:p>
        </w:tc>
        <w:tc>
          <w:tcPr>
            <w:tcW w:w="1120" w:type="dxa"/>
            <w:vAlign w:val="bottom"/>
            <w:gridSpan w:val="2"/>
          </w:tcPr>
          <w:p>
            <w:pPr>
              <w:jc w:val="right"/>
              <w:ind w:right="260"/>
              <w:spacing w:after="0" w:line="149" w:lineRule="exact"/>
              <w:rPr>
                <w:sz w:val="20"/>
                <w:szCs w:val="20"/>
                <w:color w:val="auto"/>
              </w:rPr>
            </w:pPr>
            <w:r>
              <w:rPr>
                <w:rFonts w:ascii="Arial" w:cs="Arial" w:eastAsia="Arial" w:hAnsi="Arial"/>
                <w:sz w:val="14"/>
                <w:szCs w:val="14"/>
                <w:b w:val="1"/>
                <w:bCs w:val="1"/>
                <w:color w:val="auto"/>
                <w:w w:val="95"/>
              </w:rPr>
              <w:t>Accumulated</w:t>
            </w:r>
          </w:p>
        </w:tc>
        <w:tc>
          <w:tcPr>
            <w:tcW w:w="120" w:type="dxa"/>
            <w:vAlign w:val="bottom"/>
          </w:tcPr>
          <w:p>
            <w:pPr>
              <w:spacing w:after="0"/>
              <w:rPr>
                <w:sz w:val="12"/>
                <w:szCs w:val="12"/>
                <w:color w:val="auto"/>
              </w:rPr>
            </w:pPr>
          </w:p>
        </w:tc>
        <w:tc>
          <w:tcPr>
            <w:tcW w:w="108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Comprehensive</w:t>
            </w:r>
          </w:p>
        </w:tc>
        <w:tc>
          <w:tcPr>
            <w:tcW w:w="1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60" w:type="dxa"/>
            <w:vAlign w:val="bottom"/>
          </w:tcPr>
          <w:p>
            <w:pPr>
              <w:spacing w:after="0"/>
              <w:rPr>
                <w:sz w:val="12"/>
                <w:szCs w:val="12"/>
                <w:color w:val="auto"/>
              </w:rPr>
            </w:pPr>
          </w:p>
        </w:tc>
      </w:tr>
      <w:tr>
        <w:trPr>
          <w:trHeight w:val="161"/>
        </w:trPr>
        <w:tc>
          <w:tcPr>
            <w:tcW w:w="20" w:type="dxa"/>
            <w:vAlign w:val="bottom"/>
          </w:tcPr>
          <w:p>
            <w:pPr>
              <w:spacing w:after="0"/>
              <w:rPr>
                <w:sz w:val="14"/>
                <w:szCs w:val="14"/>
                <w:color w:val="auto"/>
              </w:rPr>
            </w:pPr>
          </w:p>
        </w:tc>
        <w:tc>
          <w:tcPr>
            <w:tcW w:w="6060" w:type="dxa"/>
            <w:vAlign w:val="bottom"/>
          </w:tcPr>
          <w:p>
            <w:pPr>
              <w:spacing w:after="0"/>
              <w:rPr>
                <w:sz w:val="14"/>
                <w:szCs w:val="14"/>
                <w:color w:val="auto"/>
              </w:rPr>
            </w:pPr>
          </w:p>
        </w:tc>
        <w:tc>
          <w:tcPr>
            <w:tcW w:w="800" w:type="dxa"/>
            <w:vAlign w:val="bottom"/>
            <w:tcBorders>
              <w:bottom w:val="single" w:sz="8" w:color="auto"/>
            </w:tcBorders>
          </w:tcPr>
          <w:p>
            <w:pPr>
              <w:jc w:val="right"/>
              <w:ind w:right="155"/>
              <w:spacing w:after="0"/>
              <w:rPr>
                <w:sz w:val="20"/>
                <w:szCs w:val="20"/>
                <w:color w:val="auto"/>
              </w:rPr>
            </w:pPr>
            <w:r>
              <w:rPr>
                <w:rFonts w:ascii="Arial" w:cs="Arial" w:eastAsia="Arial" w:hAnsi="Arial"/>
                <w:sz w:val="14"/>
                <w:szCs w:val="14"/>
                <w:b w:val="1"/>
                <w:bCs w:val="1"/>
                <w:color w:val="auto"/>
              </w:rPr>
              <w:t>Stock</w:t>
            </w:r>
          </w:p>
        </w:tc>
        <w:tc>
          <w:tcPr>
            <w:tcW w:w="220" w:type="dxa"/>
            <w:vAlign w:val="bottom"/>
          </w:tcPr>
          <w:p>
            <w:pPr>
              <w:spacing w:after="0"/>
              <w:rPr>
                <w:sz w:val="14"/>
                <w:szCs w:val="14"/>
                <w:color w:val="auto"/>
              </w:rPr>
            </w:pPr>
          </w:p>
        </w:tc>
        <w:tc>
          <w:tcPr>
            <w:tcW w:w="68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Capital</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Borders>
              <w:bottom w:val="single" w:sz="8" w:color="auto"/>
            </w:tcBorders>
          </w:tcPr>
          <w:p>
            <w:pPr>
              <w:jc w:val="right"/>
              <w:ind w:right="198"/>
              <w:spacing w:after="0"/>
              <w:rPr>
                <w:sz w:val="20"/>
                <w:szCs w:val="20"/>
                <w:color w:val="auto"/>
              </w:rPr>
            </w:pPr>
            <w:r>
              <w:rPr>
                <w:rFonts w:ascii="Arial" w:cs="Arial" w:eastAsia="Arial" w:hAnsi="Arial"/>
                <w:sz w:val="14"/>
                <w:szCs w:val="14"/>
                <w:b w:val="1"/>
                <w:bCs w:val="1"/>
                <w:color w:val="auto"/>
              </w:rPr>
              <w:t>Deficit</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center"/>
              <w:ind w:right="35"/>
              <w:spacing w:after="0"/>
              <w:rPr>
                <w:sz w:val="20"/>
                <w:szCs w:val="20"/>
                <w:color w:val="auto"/>
              </w:rPr>
            </w:pPr>
            <w:r>
              <w:rPr>
                <w:rFonts w:ascii="Arial" w:cs="Arial" w:eastAsia="Arial" w:hAnsi="Arial"/>
                <w:sz w:val="14"/>
                <w:szCs w:val="14"/>
                <w:b w:val="1"/>
                <w:bCs w:val="1"/>
                <w:color w:val="auto"/>
                <w:w w:val="79"/>
              </w:rPr>
              <w:t>Loss</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Borders>
              <w:bottom w:val="single" w:sz="8" w:color="auto"/>
            </w:tcBorders>
          </w:tcPr>
          <w:p>
            <w:pPr>
              <w:jc w:val="right"/>
              <w:ind w:right="256"/>
              <w:spacing w:after="0"/>
              <w:rPr>
                <w:sz w:val="20"/>
                <w:szCs w:val="20"/>
                <w:color w:val="auto"/>
              </w:rPr>
            </w:pPr>
            <w:r>
              <w:rPr>
                <w:rFonts w:ascii="Arial" w:cs="Arial" w:eastAsia="Arial" w:hAnsi="Arial"/>
                <w:sz w:val="14"/>
                <w:szCs w:val="14"/>
                <w:b w:val="1"/>
                <w:bCs w:val="1"/>
                <w:color w:val="auto"/>
              </w:rPr>
              <w:t>Total</w:t>
            </w:r>
          </w:p>
        </w:tc>
        <w:tc>
          <w:tcPr>
            <w:tcW w:w="60" w:type="dxa"/>
            <w:vAlign w:val="bottom"/>
          </w:tcPr>
          <w:p>
            <w:pPr>
              <w:spacing w:after="0"/>
              <w:rPr>
                <w:sz w:val="14"/>
                <w:szCs w:val="14"/>
                <w:color w:val="auto"/>
              </w:rPr>
            </w:pPr>
          </w:p>
        </w:tc>
      </w:tr>
      <w:tr>
        <w:trPr>
          <w:trHeight w:val="210"/>
        </w:trPr>
        <w:tc>
          <w:tcPr>
            <w:tcW w:w="20" w:type="dxa"/>
            <w:vAlign w:val="bottom"/>
          </w:tcPr>
          <w:p>
            <w:pPr>
              <w:spacing w:after="0"/>
              <w:rPr>
                <w:sz w:val="18"/>
                <w:szCs w:val="18"/>
                <w:color w:val="auto"/>
              </w:rPr>
            </w:pPr>
          </w:p>
        </w:tc>
        <w:tc>
          <w:tcPr>
            <w:tcW w:w="6060" w:type="dxa"/>
            <w:vAlign w:val="bottom"/>
            <w:shd w:val="clear" w:color="auto" w:fill="CCEEFF"/>
          </w:tcPr>
          <w:p>
            <w:pPr>
              <w:spacing w:after="0"/>
              <w:rPr>
                <w:sz w:val="20"/>
                <w:szCs w:val="20"/>
                <w:color w:val="auto"/>
              </w:rPr>
            </w:pPr>
            <w:r>
              <w:rPr>
                <w:rFonts w:ascii="Arial" w:cs="Arial" w:eastAsia="Arial" w:hAnsi="Arial"/>
                <w:sz w:val="18"/>
                <w:szCs w:val="18"/>
                <w:color w:val="auto"/>
              </w:rPr>
              <w:t>BALANCE (DEFICIT), OCTOBER 31, 2003</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$2,408,140</w:t>
            </w:r>
          </w:p>
        </w:tc>
        <w:tc>
          <w:tcPr>
            <w:tcW w:w="10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$154,592</w:t>
            </w:r>
          </w:p>
        </w:tc>
        <w:tc>
          <w:tcPr>
            <w:tcW w:w="12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w w:val="98"/>
              </w:rPr>
              <w:t>$(66,744,662)</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9"/>
              </w:rPr>
              <w:t>(1,531,178)</w:t>
            </w:r>
          </w:p>
        </w:tc>
        <w:tc>
          <w:tcPr>
            <w:tcW w:w="11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98"/>
              </w:rPr>
              <w:t>$(65,713,108)</w:t>
            </w:r>
          </w:p>
        </w:tc>
      </w:tr>
      <w:tr>
        <w:trPr>
          <w:trHeight w:val="322"/>
        </w:trPr>
        <w:tc>
          <w:tcPr>
            <w:tcW w:w="20" w:type="dxa"/>
            <w:vAlign w:val="bottom"/>
          </w:tcPr>
          <w:p>
            <w:pPr>
              <w:spacing w:after="0"/>
              <w:rPr>
                <w:sz w:val="24"/>
                <w:szCs w:val="24"/>
                <w:color w:val="auto"/>
              </w:rPr>
            </w:pPr>
          </w:p>
        </w:tc>
        <w:tc>
          <w:tcPr>
            <w:tcW w:w="6060" w:type="dxa"/>
            <w:vAlign w:val="bottom"/>
          </w:tcPr>
          <w:p>
            <w:pPr>
              <w:ind w:left="420"/>
              <w:spacing w:after="0"/>
              <w:rPr>
                <w:sz w:val="20"/>
                <w:szCs w:val="20"/>
                <w:color w:val="auto"/>
              </w:rPr>
            </w:pPr>
            <w:r>
              <w:rPr>
                <w:rFonts w:ascii="Arial" w:cs="Arial" w:eastAsia="Arial" w:hAnsi="Arial"/>
                <w:sz w:val="18"/>
                <w:szCs w:val="18"/>
                <w:color w:val="auto"/>
              </w:rPr>
              <w:t>Dividends paid ($24.915 per common share)</w:t>
            </w: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4"/>
                <w:szCs w:val="24"/>
                <w:color w:val="auto"/>
              </w:rPr>
            </w:pPr>
          </w:p>
        </w:tc>
        <w:tc>
          <w:tcPr>
            <w:tcW w:w="78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1220" w:type="dxa"/>
            <w:vAlign w:val="bottom"/>
            <w:gridSpan w:val="3"/>
          </w:tcPr>
          <w:p>
            <w:pPr>
              <w:jc w:val="right"/>
              <w:ind w:right="100"/>
              <w:spacing w:after="0"/>
              <w:rPr>
                <w:sz w:val="20"/>
                <w:szCs w:val="20"/>
                <w:color w:val="auto"/>
              </w:rPr>
            </w:pPr>
            <w:r>
              <w:rPr>
                <w:rFonts w:ascii="Arial" w:cs="Arial" w:eastAsia="Arial" w:hAnsi="Arial"/>
                <w:sz w:val="18"/>
                <w:szCs w:val="18"/>
                <w:color w:val="auto"/>
              </w:rPr>
              <w:t>(12,000,001)</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120" w:type="dxa"/>
            <w:vAlign w:val="bottom"/>
            <w:gridSpan w:val="3"/>
          </w:tcPr>
          <w:p>
            <w:pPr>
              <w:jc w:val="right"/>
              <w:spacing w:after="0"/>
              <w:rPr>
                <w:sz w:val="20"/>
                <w:szCs w:val="20"/>
                <w:color w:val="auto"/>
              </w:rPr>
            </w:pPr>
            <w:r>
              <w:rPr>
                <w:rFonts w:ascii="Arial" w:cs="Arial" w:eastAsia="Arial" w:hAnsi="Arial"/>
                <w:sz w:val="18"/>
                <w:szCs w:val="18"/>
                <w:color w:val="auto"/>
              </w:rPr>
              <w:t>(12,000,001)</w:t>
            </w:r>
          </w:p>
        </w:tc>
      </w:tr>
      <w:tr>
        <w:trPr>
          <w:trHeight w:val="110"/>
        </w:trPr>
        <w:tc>
          <w:tcPr>
            <w:tcW w:w="20" w:type="dxa"/>
            <w:vAlign w:val="bottom"/>
          </w:tcPr>
          <w:p>
            <w:pPr>
              <w:spacing w:after="0"/>
              <w:rPr>
                <w:sz w:val="9"/>
                <w:szCs w:val="9"/>
                <w:color w:val="auto"/>
              </w:rPr>
            </w:pPr>
          </w:p>
        </w:tc>
        <w:tc>
          <w:tcPr>
            <w:tcW w:w="6060" w:type="dxa"/>
            <w:vAlign w:val="bottom"/>
          </w:tcPr>
          <w:p>
            <w:pPr>
              <w:spacing w:after="0"/>
              <w:rPr>
                <w:sz w:val="9"/>
                <w:szCs w:val="9"/>
                <w:color w:val="auto"/>
              </w:rPr>
            </w:pPr>
          </w:p>
        </w:tc>
        <w:tc>
          <w:tcPr>
            <w:tcW w:w="800" w:type="dxa"/>
            <w:vAlign w:val="bottom"/>
          </w:tcPr>
          <w:p>
            <w:pPr>
              <w:spacing w:after="0"/>
              <w:rPr>
                <w:sz w:val="9"/>
                <w:szCs w:val="9"/>
                <w:color w:val="auto"/>
              </w:rPr>
            </w:pPr>
          </w:p>
        </w:tc>
        <w:tc>
          <w:tcPr>
            <w:tcW w:w="2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9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960" w:type="dxa"/>
            <w:vAlign w:val="bottom"/>
          </w:tcPr>
          <w:p>
            <w:pPr>
              <w:spacing w:after="0"/>
              <w:rPr>
                <w:sz w:val="9"/>
                <w:szCs w:val="9"/>
                <w:color w:val="auto"/>
              </w:rPr>
            </w:pPr>
          </w:p>
        </w:tc>
        <w:tc>
          <w:tcPr>
            <w:tcW w:w="60" w:type="dxa"/>
            <w:vAlign w:val="bottom"/>
          </w:tcPr>
          <w:p>
            <w:pPr>
              <w:spacing w:after="0"/>
              <w:rPr>
                <w:sz w:val="9"/>
                <w:szCs w:val="9"/>
                <w:color w:val="auto"/>
              </w:rPr>
            </w:pP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Comprehensive income:</w:t>
            </w: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60" w:type="dxa"/>
            <w:vAlign w:val="bottom"/>
          </w:tcPr>
          <w:p>
            <w:pPr>
              <w:ind w:left="860"/>
              <w:spacing w:after="0"/>
              <w:rPr>
                <w:sz w:val="20"/>
                <w:szCs w:val="20"/>
                <w:color w:val="auto"/>
              </w:rPr>
            </w:pPr>
            <w:r>
              <w:rPr>
                <w:rFonts w:ascii="Arial" w:cs="Arial" w:eastAsia="Arial" w:hAnsi="Arial"/>
                <w:sz w:val="18"/>
                <w:szCs w:val="18"/>
                <w:color w:val="auto"/>
              </w:rPr>
              <w:t>Net income</w:t>
            </w: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78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1220" w:type="dxa"/>
            <w:vAlign w:val="bottom"/>
            <w:gridSpan w:val="3"/>
          </w:tcPr>
          <w:p>
            <w:pPr>
              <w:jc w:val="right"/>
              <w:ind w:right="160"/>
              <w:spacing w:after="0"/>
              <w:rPr>
                <w:sz w:val="20"/>
                <w:szCs w:val="20"/>
                <w:color w:val="auto"/>
              </w:rPr>
            </w:pPr>
            <w:r>
              <w:rPr>
                <w:rFonts w:ascii="Arial" w:cs="Arial" w:eastAsia="Arial" w:hAnsi="Arial"/>
                <w:sz w:val="18"/>
                <w:szCs w:val="18"/>
                <w:color w:val="auto"/>
              </w:rPr>
              <w:t>13,053,084</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13,053,084</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ind w:left="860"/>
              <w:spacing w:after="0"/>
              <w:rPr>
                <w:sz w:val="20"/>
                <w:szCs w:val="20"/>
                <w:color w:val="auto"/>
              </w:rPr>
            </w:pPr>
            <w:r>
              <w:rPr>
                <w:rFonts w:ascii="Arial" w:cs="Arial" w:eastAsia="Arial" w:hAnsi="Arial"/>
                <w:sz w:val="18"/>
                <w:szCs w:val="18"/>
                <w:color w:val="auto"/>
              </w:rPr>
              <w:t>Other comprehensive income:</w:t>
            </w: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08"/>
        </w:trPr>
        <w:tc>
          <w:tcPr>
            <w:tcW w:w="20" w:type="dxa"/>
            <w:vAlign w:val="bottom"/>
          </w:tcPr>
          <w:p>
            <w:pPr>
              <w:spacing w:after="0"/>
              <w:rPr>
                <w:sz w:val="18"/>
                <w:szCs w:val="18"/>
                <w:color w:val="auto"/>
              </w:rPr>
            </w:pPr>
          </w:p>
        </w:tc>
        <w:tc>
          <w:tcPr>
            <w:tcW w:w="6060" w:type="dxa"/>
            <w:vAlign w:val="bottom"/>
          </w:tcPr>
          <w:p>
            <w:pPr>
              <w:ind w:left="1280"/>
              <w:spacing w:after="0"/>
              <w:rPr>
                <w:sz w:val="20"/>
                <w:szCs w:val="20"/>
                <w:color w:val="auto"/>
              </w:rPr>
            </w:pPr>
            <w:r>
              <w:rPr>
                <w:rFonts w:ascii="Arial" w:cs="Arial" w:eastAsia="Arial" w:hAnsi="Arial"/>
                <w:sz w:val="18"/>
                <w:szCs w:val="18"/>
                <w:color w:val="auto"/>
                <w:w w:val="94"/>
              </w:rPr>
              <w:t>Change in fair value of interest rate floor hedging activity, net of</w:t>
            </w: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060" w:type="dxa"/>
            <w:vAlign w:val="bottom"/>
          </w:tcPr>
          <w:p>
            <w:pPr>
              <w:ind w:left="1500"/>
              <w:spacing w:after="0"/>
              <w:rPr>
                <w:sz w:val="20"/>
                <w:szCs w:val="20"/>
                <w:color w:val="auto"/>
              </w:rPr>
            </w:pPr>
            <w:r>
              <w:rPr>
                <w:rFonts w:ascii="Arial" w:cs="Arial" w:eastAsia="Arial" w:hAnsi="Arial"/>
                <w:sz w:val="18"/>
                <w:szCs w:val="18"/>
                <w:color w:val="auto"/>
              </w:rPr>
              <w:t>deferred tax of $108,305</w:t>
            </w: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78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169,398</w:t>
            </w:r>
          </w:p>
        </w:tc>
        <w:tc>
          <w:tcPr>
            <w:tcW w:w="180" w:type="dxa"/>
            <w:vAlign w:val="bottom"/>
          </w:tcPr>
          <w:p>
            <w:pPr>
              <w:spacing w:after="0"/>
              <w:rPr>
                <w:sz w:val="19"/>
                <w:szCs w:val="19"/>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169,398</w:t>
            </w:r>
          </w:p>
        </w:tc>
        <w:tc>
          <w:tcPr>
            <w:tcW w:w="60" w:type="dxa"/>
            <w:vAlign w:val="bottom"/>
          </w:tcPr>
          <w:p>
            <w:pPr>
              <w:spacing w:after="0"/>
              <w:rPr>
                <w:sz w:val="19"/>
                <w:szCs w:val="19"/>
                <w:color w:val="auto"/>
              </w:rPr>
            </w:pPr>
          </w:p>
        </w:tc>
      </w:tr>
      <w:tr>
        <w:trPr>
          <w:trHeight w:val="209"/>
        </w:trPr>
        <w:tc>
          <w:tcPr>
            <w:tcW w:w="20" w:type="dxa"/>
            <w:vAlign w:val="bottom"/>
          </w:tcPr>
          <w:p>
            <w:pPr>
              <w:spacing w:after="0"/>
              <w:rPr>
                <w:sz w:val="18"/>
                <w:szCs w:val="18"/>
                <w:color w:val="auto"/>
              </w:rPr>
            </w:pPr>
          </w:p>
        </w:tc>
        <w:tc>
          <w:tcPr>
            <w:tcW w:w="6060" w:type="dxa"/>
            <w:vAlign w:val="bottom"/>
            <w:shd w:val="clear" w:color="auto" w:fill="CCEEFF"/>
          </w:tcPr>
          <w:p>
            <w:pPr>
              <w:ind w:left="1280"/>
              <w:spacing w:after="0"/>
              <w:rPr>
                <w:sz w:val="20"/>
                <w:szCs w:val="20"/>
                <w:color w:val="auto"/>
              </w:rPr>
            </w:pPr>
            <w:r>
              <w:rPr>
                <w:rFonts w:ascii="Arial" w:cs="Arial" w:eastAsia="Arial" w:hAnsi="Arial"/>
                <w:sz w:val="18"/>
                <w:szCs w:val="18"/>
                <w:color w:val="auto"/>
                <w:w w:val="93"/>
              </w:rPr>
              <w:t>Reclassification adjustment for losses recognized in net income,</w:t>
            </w: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24"/>
        </w:trPr>
        <w:tc>
          <w:tcPr>
            <w:tcW w:w="20" w:type="dxa"/>
            <w:vAlign w:val="bottom"/>
          </w:tcPr>
          <w:p>
            <w:pPr>
              <w:spacing w:after="0"/>
              <w:rPr>
                <w:sz w:val="19"/>
                <w:szCs w:val="19"/>
                <w:color w:val="auto"/>
              </w:rPr>
            </w:pPr>
          </w:p>
        </w:tc>
        <w:tc>
          <w:tcPr>
            <w:tcW w:w="6060" w:type="dxa"/>
            <w:vAlign w:val="bottom"/>
            <w:shd w:val="clear" w:color="auto" w:fill="CCEEFF"/>
          </w:tcPr>
          <w:p>
            <w:pPr>
              <w:ind w:left="1500"/>
              <w:spacing w:after="0"/>
              <w:rPr>
                <w:sz w:val="20"/>
                <w:szCs w:val="20"/>
                <w:color w:val="auto"/>
              </w:rPr>
            </w:pPr>
            <w:r>
              <w:rPr>
                <w:rFonts w:ascii="Arial" w:cs="Arial" w:eastAsia="Arial" w:hAnsi="Arial"/>
                <w:sz w:val="18"/>
                <w:szCs w:val="18"/>
                <w:color w:val="auto"/>
              </w:rPr>
              <w:t>net of deferred tax benefit of $680,056</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9"/>
                <w:szCs w:val="19"/>
                <w:color w:val="auto"/>
              </w:rPr>
            </w:pPr>
          </w:p>
        </w:tc>
        <w:tc>
          <w:tcPr>
            <w:tcW w:w="680" w:type="dxa"/>
            <w:vAlign w:val="bottom"/>
            <w:tcBorders>
              <w:bottom w:val="single" w:sz="8" w:color="auto"/>
            </w:tcBorders>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ind w:right="18"/>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1,063,679</w:t>
            </w: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1,063,679</w:t>
            </w:r>
          </w:p>
        </w:tc>
        <w:tc>
          <w:tcPr>
            <w:tcW w:w="60" w:type="dxa"/>
            <w:vAlign w:val="bottom"/>
            <w:shd w:val="clear" w:color="auto" w:fill="CCEEFF"/>
          </w:tcPr>
          <w:p>
            <w:pPr>
              <w:spacing w:after="0"/>
              <w:rPr>
                <w:sz w:val="19"/>
                <w:szCs w:val="19"/>
                <w:color w:val="auto"/>
              </w:rPr>
            </w:pPr>
          </w:p>
        </w:tc>
      </w:tr>
      <w:tr>
        <w:trPr>
          <w:trHeight w:val="230"/>
        </w:trPr>
        <w:tc>
          <w:tcPr>
            <w:tcW w:w="20" w:type="dxa"/>
            <w:vAlign w:val="bottom"/>
          </w:tcPr>
          <w:p>
            <w:pPr>
              <w:spacing w:after="0"/>
              <w:rPr>
                <w:sz w:val="20"/>
                <w:szCs w:val="20"/>
                <w:color w:val="auto"/>
              </w:rPr>
            </w:pPr>
          </w:p>
        </w:tc>
        <w:tc>
          <w:tcPr>
            <w:tcW w:w="6060" w:type="dxa"/>
            <w:vAlign w:val="bottom"/>
          </w:tcPr>
          <w:p>
            <w:pPr>
              <w:ind w:left="1720"/>
              <w:spacing w:after="0"/>
              <w:rPr>
                <w:sz w:val="20"/>
                <w:szCs w:val="20"/>
                <w:color w:val="auto"/>
              </w:rPr>
            </w:pPr>
            <w:r>
              <w:rPr>
                <w:rFonts w:ascii="Arial" w:cs="Arial" w:eastAsia="Arial" w:hAnsi="Arial"/>
                <w:sz w:val="18"/>
                <w:szCs w:val="18"/>
                <w:color w:val="auto"/>
              </w:rPr>
              <w:t>Total comprehensive income</w:t>
            </w:r>
          </w:p>
        </w:tc>
        <w:tc>
          <w:tcPr>
            <w:tcW w:w="8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14,286,161</w:t>
            </w:r>
          </w:p>
        </w:tc>
        <w:tc>
          <w:tcPr>
            <w:tcW w:w="6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spacing w:after="0"/>
              <w:rPr>
                <w:sz w:val="20"/>
                <w:szCs w:val="20"/>
                <w:color w:val="auto"/>
              </w:rPr>
            </w:pPr>
            <w:r>
              <w:rPr>
                <w:rFonts w:ascii="Arial" w:cs="Arial" w:eastAsia="Arial" w:hAnsi="Arial"/>
                <w:sz w:val="18"/>
                <w:szCs w:val="18"/>
                <w:color w:val="auto"/>
              </w:rPr>
              <w:t>BALANCE (DEFICIT), OCTOBER 31, 2004</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2,408,140</w:t>
            </w:r>
          </w:p>
        </w:tc>
        <w:tc>
          <w:tcPr>
            <w:tcW w:w="10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154,592</w:t>
            </w:r>
          </w:p>
        </w:tc>
        <w:tc>
          <w:tcPr>
            <w:tcW w:w="12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(65,691,579)</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(298,101)</w:t>
            </w:r>
          </w:p>
        </w:tc>
        <w:tc>
          <w:tcPr>
            <w:tcW w:w="11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(63,426,948)</w:t>
            </w:r>
          </w:p>
        </w:tc>
      </w:tr>
      <w:tr>
        <w:trPr>
          <w:trHeight w:val="322"/>
        </w:trPr>
        <w:tc>
          <w:tcPr>
            <w:tcW w:w="20" w:type="dxa"/>
            <w:vAlign w:val="bottom"/>
          </w:tcPr>
          <w:p>
            <w:pPr>
              <w:spacing w:after="0"/>
              <w:rPr>
                <w:sz w:val="24"/>
                <w:szCs w:val="24"/>
                <w:color w:val="auto"/>
              </w:rPr>
            </w:pPr>
          </w:p>
        </w:tc>
        <w:tc>
          <w:tcPr>
            <w:tcW w:w="6060" w:type="dxa"/>
            <w:vAlign w:val="bottom"/>
          </w:tcPr>
          <w:p>
            <w:pPr>
              <w:ind w:left="420"/>
              <w:spacing w:after="0"/>
              <w:rPr>
                <w:sz w:val="20"/>
                <w:szCs w:val="20"/>
                <w:color w:val="auto"/>
              </w:rPr>
            </w:pPr>
            <w:r>
              <w:rPr>
                <w:rFonts w:ascii="Arial" w:cs="Arial" w:eastAsia="Arial" w:hAnsi="Arial"/>
                <w:sz w:val="18"/>
                <w:szCs w:val="18"/>
                <w:color w:val="auto"/>
              </w:rPr>
              <w:t>Dividends paid ($24.915 per common share)</w:t>
            </w: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4"/>
                <w:szCs w:val="24"/>
                <w:color w:val="auto"/>
              </w:rPr>
            </w:pPr>
          </w:p>
        </w:tc>
        <w:tc>
          <w:tcPr>
            <w:tcW w:w="78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1220" w:type="dxa"/>
            <w:vAlign w:val="bottom"/>
            <w:gridSpan w:val="3"/>
          </w:tcPr>
          <w:p>
            <w:pPr>
              <w:jc w:val="right"/>
              <w:ind w:right="100"/>
              <w:spacing w:after="0"/>
              <w:rPr>
                <w:sz w:val="20"/>
                <w:szCs w:val="20"/>
                <w:color w:val="auto"/>
              </w:rPr>
            </w:pPr>
            <w:r>
              <w:rPr>
                <w:rFonts w:ascii="Arial" w:cs="Arial" w:eastAsia="Arial" w:hAnsi="Arial"/>
                <w:sz w:val="18"/>
                <w:szCs w:val="18"/>
                <w:color w:val="auto"/>
              </w:rPr>
              <w:t>(12,000,001)</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120" w:type="dxa"/>
            <w:vAlign w:val="bottom"/>
            <w:gridSpan w:val="3"/>
          </w:tcPr>
          <w:p>
            <w:pPr>
              <w:jc w:val="right"/>
              <w:spacing w:after="0"/>
              <w:rPr>
                <w:sz w:val="20"/>
                <w:szCs w:val="20"/>
                <w:color w:val="auto"/>
              </w:rPr>
            </w:pPr>
            <w:r>
              <w:rPr>
                <w:rFonts w:ascii="Arial" w:cs="Arial" w:eastAsia="Arial" w:hAnsi="Arial"/>
                <w:sz w:val="18"/>
                <w:szCs w:val="18"/>
                <w:color w:val="auto"/>
              </w:rPr>
              <w:t>(12,000,001)</w:t>
            </w:r>
          </w:p>
        </w:tc>
      </w:tr>
      <w:tr>
        <w:trPr>
          <w:trHeight w:val="110"/>
        </w:trPr>
        <w:tc>
          <w:tcPr>
            <w:tcW w:w="20" w:type="dxa"/>
            <w:vAlign w:val="bottom"/>
          </w:tcPr>
          <w:p>
            <w:pPr>
              <w:spacing w:after="0"/>
              <w:rPr>
                <w:sz w:val="9"/>
                <w:szCs w:val="9"/>
                <w:color w:val="auto"/>
              </w:rPr>
            </w:pPr>
          </w:p>
        </w:tc>
        <w:tc>
          <w:tcPr>
            <w:tcW w:w="6060" w:type="dxa"/>
            <w:vAlign w:val="bottom"/>
          </w:tcPr>
          <w:p>
            <w:pPr>
              <w:spacing w:after="0"/>
              <w:rPr>
                <w:sz w:val="9"/>
                <w:szCs w:val="9"/>
                <w:color w:val="auto"/>
              </w:rPr>
            </w:pPr>
          </w:p>
        </w:tc>
        <w:tc>
          <w:tcPr>
            <w:tcW w:w="800" w:type="dxa"/>
            <w:vAlign w:val="bottom"/>
          </w:tcPr>
          <w:p>
            <w:pPr>
              <w:spacing w:after="0"/>
              <w:rPr>
                <w:sz w:val="9"/>
                <w:szCs w:val="9"/>
                <w:color w:val="auto"/>
              </w:rPr>
            </w:pPr>
          </w:p>
        </w:tc>
        <w:tc>
          <w:tcPr>
            <w:tcW w:w="2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9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960" w:type="dxa"/>
            <w:vAlign w:val="bottom"/>
          </w:tcPr>
          <w:p>
            <w:pPr>
              <w:spacing w:after="0"/>
              <w:rPr>
                <w:sz w:val="9"/>
                <w:szCs w:val="9"/>
                <w:color w:val="auto"/>
              </w:rPr>
            </w:pPr>
          </w:p>
        </w:tc>
        <w:tc>
          <w:tcPr>
            <w:tcW w:w="60" w:type="dxa"/>
            <w:vAlign w:val="bottom"/>
          </w:tcPr>
          <w:p>
            <w:pPr>
              <w:spacing w:after="0"/>
              <w:rPr>
                <w:sz w:val="9"/>
                <w:szCs w:val="9"/>
                <w:color w:val="auto"/>
              </w:rPr>
            </w:pP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Comprehensive income:</w:t>
            </w: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60" w:type="dxa"/>
            <w:vAlign w:val="bottom"/>
          </w:tcPr>
          <w:p>
            <w:pPr>
              <w:ind w:left="860"/>
              <w:spacing w:after="0"/>
              <w:rPr>
                <w:sz w:val="20"/>
                <w:szCs w:val="20"/>
                <w:color w:val="auto"/>
              </w:rPr>
            </w:pPr>
            <w:r>
              <w:rPr>
                <w:rFonts w:ascii="Arial" w:cs="Arial" w:eastAsia="Arial" w:hAnsi="Arial"/>
                <w:sz w:val="18"/>
                <w:szCs w:val="18"/>
                <w:color w:val="auto"/>
              </w:rPr>
              <w:t>Net income</w:t>
            </w: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78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1220" w:type="dxa"/>
            <w:vAlign w:val="bottom"/>
            <w:gridSpan w:val="3"/>
          </w:tcPr>
          <w:p>
            <w:pPr>
              <w:jc w:val="right"/>
              <w:ind w:right="160"/>
              <w:spacing w:after="0"/>
              <w:rPr>
                <w:sz w:val="20"/>
                <w:szCs w:val="20"/>
                <w:color w:val="auto"/>
              </w:rPr>
            </w:pPr>
            <w:r>
              <w:rPr>
                <w:rFonts w:ascii="Arial" w:cs="Arial" w:eastAsia="Arial" w:hAnsi="Arial"/>
                <w:sz w:val="18"/>
                <w:szCs w:val="18"/>
                <w:color w:val="auto"/>
              </w:rPr>
              <w:t>13,591,221</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13,591,221</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ind w:left="860"/>
              <w:spacing w:after="0"/>
              <w:rPr>
                <w:sz w:val="20"/>
                <w:szCs w:val="20"/>
                <w:color w:val="auto"/>
              </w:rPr>
            </w:pPr>
            <w:r>
              <w:rPr>
                <w:rFonts w:ascii="Arial" w:cs="Arial" w:eastAsia="Arial" w:hAnsi="Arial"/>
                <w:sz w:val="18"/>
                <w:szCs w:val="18"/>
                <w:color w:val="auto"/>
              </w:rPr>
              <w:t>Other comprehensive income:</w:t>
            </w: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08"/>
        </w:trPr>
        <w:tc>
          <w:tcPr>
            <w:tcW w:w="20" w:type="dxa"/>
            <w:vAlign w:val="bottom"/>
          </w:tcPr>
          <w:p>
            <w:pPr>
              <w:spacing w:after="0"/>
              <w:rPr>
                <w:sz w:val="18"/>
                <w:szCs w:val="18"/>
                <w:color w:val="auto"/>
              </w:rPr>
            </w:pPr>
          </w:p>
        </w:tc>
        <w:tc>
          <w:tcPr>
            <w:tcW w:w="6060" w:type="dxa"/>
            <w:vAlign w:val="bottom"/>
          </w:tcPr>
          <w:p>
            <w:pPr>
              <w:ind w:left="1280"/>
              <w:spacing w:after="0"/>
              <w:rPr>
                <w:sz w:val="20"/>
                <w:szCs w:val="20"/>
                <w:color w:val="auto"/>
              </w:rPr>
            </w:pPr>
            <w:r>
              <w:rPr>
                <w:rFonts w:ascii="Arial" w:cs="Arial" w:eastAsia="Arial" w:hAnsi="Arial"/>
                <w:sz w:val="18"/>
                <w:szCs w:val="18"/>
                <w:color w:val="auto"/>
                <w:w w:val="94"/>
              </w:rPr>
              <w:t>Change in fair value of interest rate floor hedging activity, net of</w:t>
            </w: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060" w:type="dxa"/>
            <w:vAlign w:val="bottom"/>
          </w:tcPr>
          <w:p>
            <w:pPr>
              <w:ind w:left="1500"/>
              <w:spacing w:after="0"/>
              <w:rPr>
                <w:sz w:val="20"/>
                <w:szCs w:val="20"/>
                <w:color w:val="auto"/>
              </w:rPr>
            </w:pPr>
            <w:r>
              <w:rPr>
                <w:rFonts w:ascii="Arial" w:cs="Arial" w:eastAsia="Arial" w:hAnsi="Arial"/>
                <w:sz w:val="18"/>
                <w:szCs w:val="18"/>
                <w:color w:val="auto"/>
              </w:rPr>
              <w:t>deferred tax of $80,396</w:t>
            </w: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78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125,747</w:t>
            </w:r>
          </w:p>
        </w:tc>
        <w:tc>
          <w:tcPr>
            <w:tcW w:w="180" w:type="dxa"/>
            <w:vAlign w:val="bottom"/>
          </w:tcPr>
          <w:p>
            <w:pPr>
              <w:spacing w:after="0"/>
              <w:rPr>
                <w:sz w:val="19"/>
                <w:szCs w:val="19"/>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125,747</w:t>
            </w:r>
          </w:p>
        </w:tc>
        <w:tc>
          <w:tcPr>
            <w:tcW w:w="60" w:type="dxa"/>
            <w:vAlign w:val="bottom"/>
          </w:tcPr>
          <w:p>
            <w:pPr>
              <w:spacing w:after="0"/>
              <w:rPr>
                <w:sz w:val="19"/>
                <w:szCs w:val="19"/>
                <w:color w:val="auto"/>
              </w:rPr>
            </w:pPr>
          </w:p>
        </w:tc>
      </w:tr>
      <w:tr>
        <w:trPr>
          <w:trHeight w:val="209"/>
        </w:trPr>
        <w:tc>
          <w:tcPr>
            <w:tcW w:w="20" w:type="dxa"/>
            <w:vAlign w:val="bottom"/>
          </w:tcPr>
          <w:p>
            <w:pPr>
              <w:spacing w:after="0"/>
              <w:rPr>
                <w:sz w:val="18"/>
                <w:szCs w:val="18"/>
                <w:color w:val="auto"/>
              </w:rPr>
            </w:pPr>
          </w:p>
        </w:tc>
        <w:tc>
          <w:tcPr>
            <w:tcW w:w="6060" w:type="dxa"/>
            <w:vAlign w:val="bottom"/>
            <w:shd w:val="clear" w:color="auto" w:fill="CCEEFF"/>
          </w:tcPr>
          <w:p>
            <w:pPr>
              <w:ind w:left="1280"/>
              <w:spacing w:after="0"/>
              <w:rPr>
                <w:sz w:val="20"/>
                <w:szCs w:val="20"/>
                <w:color w:val="auto"/>
              </w:rPr>
            </w:pPr>
            <w:r>
              <w:rPr>
                <w:rFonts w:ascii="Arial" w:cs="Arial" w:eastAsia="Arial" w:hAnsi="Arial"/>
                <w:sz w:val="18"/>
                <w:szCs w:val="18"/>
                <w:color w:val="auto"/>
                <w:w w:val="93"/>
              </w:rPr>
              <w:t>Reclassification adjustment for losses recognized in net income,</w:t>
            </w: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24"/>
        </w:trPr>
        <w:tc>
          <w:tcPr>
            <w:tcW w:w="20" w:type="dxa"/>
            <w:vAlign w:val="bottom"/>
          </w:tcPr>
          <w:p>
            <w:pPr>
              <w:spacing w:after="0"/>
              <w:rPr>
                <w:sz w:val="19"/>
                <w:szCs w:val="19"/>
                <w:color w:val="auto"/>
              </w:rPr>
            </w:pPr>
          </w:p>
        </w:tc>
        <w:tc>
          <w:tcPr>
            <w:tcW w:w="6060" w:type="dxa"/>
            <w:vAlign w:val="bottom"/>
            <w:shd w:val="clear" w:color="auto" w:fill="CCEEFF"/>
          </w:tcPr>
          <w:p>
            <w:pPr>
              <w:ind w:left="1500"/>
              <w:spacing w:after="0"/>
              <w:rPr>
                <w:sz w:val="20"/>
                <w:szCs w:val="20"/>
                <w:color w:val="auto"/>
              </w:rPr>
            </w:pPr>
            <w:r>
              <w:rPr>
                <w:rFonts w:ascii="Arial" w:cs="Arial" w:eastAsia="Arial" w:hAnsi="Arial"/>
                <w:sz w:val="18"/>
                <w:szCs w:val="18"/>
                <w:color w:val="auto"/>
              </w:rPr>
              <w:t>net of deferred tax benefit of $110,193</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9"/>
                <w:szCs w:val="19"/>
                <w:color w:val="auto"/>
              </w:rPr>
            </w:pPr>
          </w:p>
        </w:tc>
        <w:tc>
          <w:tcPr>
            <w:tcW w:w="680" w:type="dxa"/>
            <w:vAlign w:val="bottom"/>
            <w:tcBorders>
              <w:bottom w:val="single" w:sz="8" w:color="auto"/>
            </w:tcBorders>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ind w:right="18"/>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172,354</w:t>
            </w: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172,354</w:t>
            </w:r>
          </w:p>
        </w:tc>
        <w:tc>
          <w:tcPr>
            <w:tcW w:w="60" w:type="dxa"/>
            <w:vAlign w:val="bottom"/>
            <w:shd w:val="clear" w:color="auto" w:fill="CCEEFF"/>
          </w:tcPr>
          <w:p>
            <w:pPr>
              <w:spacing w:after="0"/>
              <w:rPr>
                <w:sz w:val="19"/>
                <w:szCs w:val="19"/>
                <w:color w:val="auto"/>
              </w:rPr>
            </w:pPr>
          </w:p>
        </w:tc>
      </w:tr>
      <w:tr>
        <w:trPr>
          <w:trHeight w:val="230"/>
        </w:trPr>
        <w:tc>
          <w:tcPr>
            <w:tcW w:w="20" w:type="dxa"/>
            <w:vAlign w:val="bottom"/>
          </w:tcPr>
          <w:p>
            <w:pPr>
              <w:spacing w:after="0"/>
              <w:rPr>
                <w:sz w:val="20"/>
                <w:szCs w:val="20"/>
                <w:color w:val="auto"/>
              </w:rPr>
            </w:pPr>
          </w:p>
        </w:tc>
        <w:tc>
          <w:tcPr>
            <w:tcW w:w="6060" w:type="dxa"/>
            <w:vAlign w:val="bottom"/>
          </w:tcPr>
          <w:p>
            <w:pPr>
              <w:ind w:left="1720"/>
              <w:spacing w:after="0"/>
              <w:rPr>
                <w:sz w:val="20"/>
                <w:szCs w:val="20"/>
                <w:color w:val="auto"/>
              </w:rPr>
            </w:pPr>
            <w:r>
              <w:rPr>
                <w:rFonts w:ascii="Arial" w:cs="Arial" w:eastAsia="Arial" w:hAnsi="Arial"/>
                <w:sz w:val="18"/>
                <w:szCs w:val="18"/>
                <w:color w:val="auto"/>
              </w:rPr>
              <w:t>Total comprehensive income</w:t>
            </w:r>
          </w:p>
        </w:tc>
        <w:tc>
          <w:tcPr>
            <w:tcW w:w="8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13,889,322</w:t>
            </w:r>
          </w:p>
        </w:tc>
        <w:tc>
          <w:tcPr>
            <w:tcW w:w="6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spacing w:after="0"/>
              <w:rPr>
                <w:sz w:val="20"/>
                <w:szCs w:val="20"/>
                <w:color w:val="auto"/>
              </w:rPr>
            </w:pPr>
            <w:r>
              <w:rPr>
                <w:rFonts w:ascii="Arial" w:cs="Arial" w:eastAsia="Arial" w:hAnsi="Arial"/>
                <w:sz w:val="18"/>
                <w:szCs w:val="18"/>
                <w:color w:val="auto"/>
              </w:rPr>
              <w:t>BALANCE (DEFICIT), OCTOBER 31, 2005</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2,408,140</w:t>
            </w:r>
          </w:p>
        </w:tc>
        <w:tc>
          <w:tcPr>
            <w:tcW w:w="10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154,592</w:t>
            </w:r>
          </w:p>
        </w:tc>
        <w:tc>
          <w:tcPr>
            <w:tcW w:w="12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(64,100,359)</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1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(61,537,627)</w:t>
            </w:r>
          </w:p>
        </w:tc>
      </w:tr>
      <w:tr>
        <w:trPr>
          <w:trHeight w:val="322"/>
        </w:trPr>
        <w:tc>
          <w:tcPr>
            <w:tcW w:w="20" w:type="dxa"/>
            <w:vAlign w:val="bottom"/>
          </w:tcPr>
          <w:p>
            <w:pPr>
              <w:spacing w:after="0"/>
              <w:rPr>
                <w:sz w:val="24"/>
                <w:szCs w:val="24"/>
                <w:color w:val="auto"/>
              </w:rPr>
            </w:pPr>
          </w:p>
        </w:tc>
        <w:tc>
          <w:tcPr>
            <w:tcW w:w="6060" w:type="dxa"/>
            <w:vAlign w:val="bottom"/>
          </w:tcPr>
          <w:p>
            <w:pPr>
              <w:ind w:left="420"/>
              <w:spacing w:after="0"/>
              <w:rPr>
                <w:sz w:val="20"/>
                <w:szCs w:val="20"/>
                <w:color w:val="auto"/>
              </w:rPr>
            </w:pPr>
            <w:r>
              <w:rPr>
                <w:rFonts w:ascii="Arial" w:cs="Arial" w:eastAsia="Arial" w:hAnsi="Arial"/>
                <w:sz w:val="18"/>
                <w:szCs w:val="18"/>
                <w:color w:val="auto"/>
              </w:rPr>
              <w:t>Dividends paid ($29.068 per common share)</w:t>
            </w: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4"/>
                <w:szCs w:val="24"/>
                <w:color w:val="auto"/>
              </w:rPr>
            </w:pPr>
          </w:p>
        </w:tc>
        <w:tc>
          <w:tcPr>
            <w:tcW w:w="78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1220" w:type="dxa"/>
            <w:vAlign w:val="bottom"/>
            <w:gridSpan w:val="3"/>
          </w:tcPr>
          <w:p>
            <w:pPr>
              <w:jc w:val="right"/>
              <w:ind w:right="100"/>
              <w:spacing w:after="0"/>
              <w:rPr>
                <w:sz w:val="20"/>
                <w:szCs w:val="20"/>
                <w:color w:val="auto"/>
              </w:rPr>
            </w:pPr>
            <w:r>
              <w:rPr>
                <w:rFonts w:ascii="Arial" w:cs="Arial" w:eastAsia="Arial" w:hAnsi="Arial"/>
                <w:sz w:val="18"/>
                <w:szCs w:val="18"/>
                <w:color w:val="auto"/>
              </w:rPr>
              <w:t>(14,000,001)</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120" w:type="dxa"/>
            <w:vAlign w:val="bottom"/>
            <w:gridSpan w:val="3"/>
          </w:tcPr>
          <w:p>
            <w:pPr>
              <w:jc w:val="right"/>
              <w:spacing w:after="0"/>
              <w:rPr>
                <w:sz w:val="20"/>
                <w:szCs w:val="20"/>
                <w:color w:val="auto"/>
              </w:rPr>
            </w:pPr>
            <w:r>
              <w:rPr>
                <w:rFonts w:ascii="Arial" w:cs="Arial" w:eastAsia="Arial" w:hAnsi="Arial"/>
                <w:sz w:val="18"/>
                <w:szCs w:val="18"/>
                <w:color w:val="auto"/>
              </w:rPr>
              <w:t>(14,000,001)</w:t>
            </w:r>
          </w:p>
        </w:tc>
      </w:tr>
      <w:tr>
        <w:trPr>
          <w:trHeight w:val="110"/>
        </w:trPr>
        <w:tc>
          <w:tcPr>
            <w:tcW w:w="20" w:type="dxa"/>
            <w:vAlign w:val="bottom"/>
          </w:tcPr>
          <w:p>
            <w:pPr>
              <w:spacing w:after="0"/>
              <w:rPr>
                <w:sz w:val="9"/>
                <w:szCs w:val="9"/>
                <w:color w:val="auto"/>
              </w:rPr>
            </w:pPr>
          </w:p>
        </w:tc>
        <w:tc>
          <w:tcPr>
            <w:tcW w:w="6060" w:type="dxa"/>
            <w:vAlign w:val="bottom"/>
          </w:tcPr>
          <w:p>
            <w:pPr>
              <w:spacing w:after="0"/>
              <w:rPr>
                <w:sz w:val="9"/>
                <w:szCs w:val="9"/>
                <w:color w:val="auto"/>
              </w:rPr>
            </w:pPr>
          </w:p>
        </w:tc>
        <w:tc>
          <w:tcPr>
            <w:tcW w:w="800" w:type="dxa"/>
            <w:vAlign w:val="bottom"/>
          </w:tcPr>
          <w:p>
            <w:pPr>
              <w:spacing w:after="0"/>
              <w:rPr>
                <w:sz w:val="9"/>
                <w:szCs w:val="9"/>
                <w:color w:val="auto"/>
              </w:rPr>
            </w:pPr>
          </w:p>
        </w:tc>
        <w:tc>
          <w:tcPr>
            <w:tcW w:w="2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9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960" w:type="dxa"/>
            <w:vAlign w:val="bottom"/>
          </w:tcPr>
          <w:p>
            <w:pPr>
              <w:spacing w:after="0"/>
              <w:rPr>
                <w:sz w:val="9"/>
                <w:szCs w:val="9"/>
                <w:color w:val="auto"/>
              </w:rPr>
            </w:pPr>
          </w:p>
        </w:tc>
        <w:tc>
          <w:tcPr>
            <w:tcW w:w="60" w:type="dxa"/>
            <w:vAlign w:val="bottom"/>
          </w:tcPr>
          <w:p>
            <w:pPr>
              <w:spacing w:after="0"/>
              <w:rPr>
                <w:sz w:val="9"/>
                <w:szCs w:val="9"/>
                <w:color w:val="auto"/>
              </w:rPr>
            </w:pP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Net income</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14,228,849</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14,228,849</w:t>
            </w:r>
          </w:p>
        </w:tc>
        <w:tc>
          <w:tcPr>
            <w:tcW w:w="60" w:type="dxa"/>
            <w:vAlign w:val="bottom"/>
            <w:shd w:val="clear" w:color="auto" w:fill="CCEEFF"/>
          </w:tcPr>
          <w:p>
            <w:pPr>
              <w:spacing w:after="0"/>
              <w:rPr>
                <w:sz w:val="18"/>
                <w:szCs w:val="18"/>
                <w:color w:val="auto"/>
              </w:rPr>
            </w:pPr>
          </w:p>
        </w:tc>
      </w:tr>
      <w:tr>
        <w:trPr>
          <w:trHeight w:val="222"/>
        </w:trPr>
        <w:tc>
          <w:tcPr>
            <w:tcW w:w="6080" w:type="dxa"/>
            <w:vAlign w:val="bottom"/>
            <w:gridSpan w:val="2"/>
          </w:tcPr>
          <w:p>
            <w:pPr>
              <w:spacing w:after="0"/>
              <w:rPr>
                <w:sz w:val="20"/>
                <w:szCs w:val="20"/>
                <w:color w:val="auto"/>
              </w:rPr>
            </w:pPr>
            <w:r>
              <w:rPr>
                <w:rFonts w:ascii="Arial" w:cs="Arial" w:eastAsia="Arial" w:hAnsi="Arial"/>
                <w:sz w:val="18"/>
                <w:szCs w:val="18"/>
                <w:color w:val="auto"/>
              </w:rPr>
              <w:t>BALANCE (DEFICIT), OCTOBER 31, 2006</w:t>
            </w:r>
          </w:p>
        </w:tc>
        <w:tc>
          <w:tcPr>
            <w:tcW w:w="800" w:type="dxa"/>
            <w:vAlign w:val="bottom"/>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2,408,140</w:t>
            </w:r>
          </w:p>
        </w:tc>
        <w:tc>
          <w:tcPr>
            <w:tcW w:w="1000" w:type="dxa"/>
            <w:vAlign w:val="bottom"/>
            <w:gridSpan w:val="3"/>
          </w:tcPr>
          <w:p>
            <w:pPr>
              <w:jc w:val="right"/>
              <w:ind w:right="10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154,592</w:t>
            </w:r>
          </w:p>
        </w:tc>
        <w:tc>
          <w:tcPr>
            <w:tcW w:w="1220" w:type="dxa"/>
            <w:vAlign w:val="bottom"/>
            <w:gridSpan w:val="3"/>
          </w:tcPr>
          <w:p>
            <w:pPr>
              <w:jc w:val="right"/>
              <w:ind w:right="100"/>
              <w:spacing w:after="0"/>
              <w:rPr>
                <w:sz w:val="20"/>
                <w:szCs w:val="20"/>
                <w:color w:val="auto"/>
              </w:rPr>
            </w:pPr>
            <w:r>
              <w:rPr>
                <w:rFonts w:ascii="Arial" w:cs="Arial" w:eastAsia="Arial" w:hAnsi="Arial"/>
                <w:sz w:val="18"/>
                <w:szCs w:val="18"/>
                <w:u w:val="single" w:color="auto"/>
                <w:color w:val="auto"/>
                <w:w w:val="98"/>
              </w:rPr>
              <w:t>$</w:t>
            </w:r>
            <w:r>
              <w:rPr>
                <w:rFonts w:ascii="Arial" w:cs="Arial" w:eastAsia="Arial" w:hAnsi="Arial"/>
                <w:sz w:val="18"/>
                <w:szCs w:val="18"/>
                <w:color w:val="auto"/>
                <w:w w:val="98"/>
              </w:rPr>
              <w:t>(63,871,511)</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120" w:type="dxa"/>
            <w:vAlign w:val="bottom"/>
            <w:gridSpan w:val="3"/>
          </w:tcPr>
          <w:p>
            <w:pPr>
              <w:jc w:val="right"/>
              <w:spacing w:after="0"/>
              <w:rPr>
                <w:sz w:val="20"/>
                <w:szCs w:val="20"/>
                <w:color w:val="auto"/>
              </w:rPr>
            </w:pPr>
            <w:r>
              <w:rPr>
                <w:rFonts w:ascii="Arial" w:cs="Arial" w:eastAsia="Arial" w:hAnsi="Arial"/>
                <w:sz w:val="18"/>
                <w:szCs w:val="18"/>
                <w:u w:val="single" w:color="auto"/>
                <w:color w:val="auto"/>
                <w:w w:val="98"/>
              </w:rPr>
              <w:t>$</w:t>
            </w:r>
            <w:r>
              <w:rPr>
                <w:rFonts w:ascii="Arial" w:cs="Arial" w:eastAsia="Arial" w:hAnsi="Arial"/>
                <w:sz w:val="18"/>
                <w:szCs w:val="18"/>
                <w:color w:val="auto"/>
                <w:w w:val="98"/>
              </w:rPr>
              <w:t>(61,308,779)</w:t>
            </w:r>
          </w:p>
        </w:tc>
      </w:tr>
      <w:tr>
        <w:trPr>
          <w:trHeight w:val="20"/>
        </w:trPr>
        <w:tc>
          <w:tcPr>
            <w:tcW w:w="20" w:type="dxa"/>
            <w:vAlign w:val="bottom"/>
          </w:tcPr>
          <w:p>
            <w:pPr>
              <w:spacing w:after="0" w:line="20" w:lineRule="exact"/>
              <w:rPr>
                <w:sz w:val="1"/>
                <w:szCs w:val="1"/>
                <w:color w:val="auto"/>
              </w:rPr>
            </w:pPr>
          </w:p>
        </w:tc>
        <w:tc>
          <w:tcPr>
            <w:tcW w:w="606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See accompanying notes.</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- 58</w:t>
      </w:r>
    </w:p>
    <w:p>
      <w:pPr>
        <w:sectPr>
          <w:pgSz w:w="11900" w:h="16838" w:orient="portrait"/>
          <w:cols w:equalWidth="0" w:num="1">
            <w:col w:w="11420"/>
          </w:cols>
          <w:pgMar w:left="240" w:top="459" w:right="239" w:bottom="1440" w:gutter="0" w:footer="0" w:header="0"/>
        </w:sectPr>
      </w:pPr>
    </w:p>
    <w:bookmarkStart w:id="77" w:name="page78"/>
    <w:bookmarkEnd w:id="7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5120"/>
        <w:spacing w:after="0" w:line="262" w:lineRule="auto"/>
        <w:rPr>
          <w:sz w:val="20"/>
          <w:szCs w:val="20"/>
          <w:color w:val="auto"/>
        </w:rPr>
      </w:pPr>
      <w:r>
        <w:rPr>
          <w:rFonts w:ascii="Arial" w:cs="Arial" w:eastAsia="Arial" w:hAnsi="Arial"/>
          <w:sz w:val="18"/>
          <w:szCs w:val="18"/>
          <w:b w:val="1"/>
          <w:bCs w:val="1"/>
          <w:color w:val="auto"/>
        </w:rPr>
        <w:t>INTERNATIONAL HOME FURNISHINGS CENTER, INC. AND SUBSIDIARIES CONSOLIDATED STATEMENTS OF CASH FLOWS Years Ended October 31, 2006, 2005 and 2004</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280" w:type="dxa"/>
            <w:vAlign w:val="bottom"/>
          </w:tcPr>
          <w:p>
            <w:pPr>
              <w:spacing w:after="0"/>
              <w:rPr>
                <w:sz w:val="14"/>
                <w:szCs w:val="14"/>
                <w:color w:val="auto"/>
              </w:rPr>
            </w:pPr>
          </w:p>
        </w:tc>
        <w:tc>
          <w:tcPr>
            <w:tcW w:w="1280" w:type="dxa"/>
            <w:vAlign w:val="bottom"/>
            <w:gridSpan w:val="2"/>
          </w:tcPr>
          <w:p>
            <w:pPr>
              <w:jc w:val="right"/>
              <w:ind w:right="252"/>
              <w:spacing w:after="0"/>
              <w:rPr>
                <w:sz w:val="20"/>
                <w:szCs w:val="20"/>
                <w:color w:val="auto"/>
              </w:rPr>
            </w:pPr>
            <w:r>
              <w:rPr>
                <w:rFonts w:ascii="Arial" w:cs="Arial" w:eastAsia="Arial" w:hAnsi="Arial"/>
                <w:sz w:val="14"/>
                <w:szCs w:val="14"/>
                <w:b w:val="1"/>
                <w:bCs w:val="1"/>
                <w:color w:val="auto"/>
              </w:rPr>
              <w:t>2006</w:t>
            </w: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tcPr>
          <w:p>
            <w:pPr>
              <w:jc w:val="right"/>
              <w:ind w:right="293"/>
              <w:spacing w:after="0"/>
              <w:rPr>
                <w:sz w:val="20"/>
                <w:szCs w:val="20"/>
                <w:color w:val="auto"/>
              </w:rPr>
            </w:pPr>
            <w:r>
              <w:rPr>
                <w:rFonts w:ascii="Arial" w:cs="Arial" w:eastAsia="Arial" w:hAnsi="Arial"/>
                <w:sz w:val="14"/>
                <w:szCs w:val="14"/>
                <w:b w:val="1"/>
                <w:bCs w:val="1"/>
                <w:color w:val="auto"/>
              </w:rPr>
              <w:t>2005</w:t>
            </w: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jc w:val="right"/>
              <w:ind w:right="253"/>
              <w:spacing w:after="0"/>
              <w:rPr>
                <w:sz w:val="20"/>
                <w:szCs w:val="20"/>
                <w:color w:val="auto"/>
              </w:rPr>
            </w:pPr>
            <w:r>
              <w:rPr>
                <w:rFonts w:ascii="Arial" w:cs="Arial" w:eastAsia="Arial" w:hAnsi="Arial"/>
                <w:sz w:val="14"/>
                <w:szCs w:val="14"/>
                <w:b w:val="1"/>
                <w:bCs w:val="1"/>
                <w:color w:val="auto"/>
              </w:rPr>
              <w:t>2004</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280" w:type="dxa"/>
            <w:vAlign w:val="bottom"/>
            <w:shd w:val="clear" w:color="auto" w:fill="CCEEFF"/>
          </w:tcPr>
          <w:p>
            <w:pPr>
              <w:spacing w:after="0"/>
              <w:rPr>
                <w:sz w:val="20"/>
                <w:szCs w:val="20"/>
                <w:color w:val="auto"/>
              </w:rPr>
            </w:pPr>
            <w:r>
              <w:rPr>
                <w:rFonts w:ascii="Arial" w:cs="Arial" w:eastAsia="Arial" w:hAnsi="Arial"/>
                <w:sz w:val="18"/>
                <w:szCs w:val="18"/>
                <w:color w:val="auto"/>
              </w:rPr>
              <w:t>CASH FLOWS FROM OPERATING ACTIVITIES</w:t>
            </w:r>
          </w:p>
        </w:tc>
        <w:tc>
          <w:tcPr>
            <w:tcW w:w="340" w:type="dxa"/>
            <w:vAlign w:val="bottom"/>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tcPr>
          <w:p>
            <w:pPr>
              <w:ind w:left="420"/>
              <w:spacing w:after="0"/>
              <w:rPr>
                <w:sz w:val="20"/>
                <w:szCs w:val="20"/>
                <w:color w:val="auto"/>
              </w:rPr>
            </w:pPr>
            <w:r>
              <w:rPr>
                <w:rFonts w:ascii="Arial" w:cs="Arial" w:eastAsia="Arial" w:hAnsi="Arial"/>
                <w:sz w:val="18"/>
                <w:szCs w:val="18"/>
                <w:color w:val="auto"/>
              </w:rPr>
              <w:t>Net income</w:t>
            </w: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$ 14,228,849</w:t>
            </w:r>
          </w:p>
        </w:tc>
        <w:tc>
          <w:tcPr>
            <w:tcW w:w="4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13,591,221</w:t>
            </w:r>
          </w:p>
        </w:tc>
        <w:tc>
          <w:tcPr>
            <w:tcW w:w="220" w:type="dxa"/>
            <w:vAlign w:val="bottom"/>
          </w:tcPr>
          <w:p>
            <w:pPr>
              <w:spacing w:after="0"/>
              <w:rPr>
                <w:sz w:val="18"/>
                <w:szCs w:val="18"/>
                <w:color w:val="auto"/>
              </w:rPr>
            </w:pP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w w:val="93"/>
              </w:rPr>
              <w:t>13,053,084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3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tcPr>
          <w:p>
            <w:pPr>
              <w:ind w:left="860"/>
              <w:spacing w:after="0"/>
              <w:rPr>
                <w:sz w:val="20"/>
                <w:szCs w:val="20"/>
                <w:color w:val="auto"/>
              </w:rPr>
            </w:pPr>
            <w:r>
              <w:rPr>
                <w:rFonts w:ascii="Arial" w:cs="Arial" w:eastAsia="Arial" w:hAnsi="Arial"/>
                <w:sz w:val="18"/>
                <w:szCs w:val="18"/>
                <w:color w:val="auto"/>
              </w:rPr>
              <w:t>Depreciation and amortization</w:t>
            </w: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3,074,610</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3,520,800</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3,403,981</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shd w:val="clear" w:color="auto" w:fill="CCEEFF"/>
          </w:tcPr>
          <w:p>
            <w:pPr>
              <w:ind w:left="860"/>
              <w:spacing w:after="0"/>
              <w:rPr>
                <w:sz w:val="20"/>
                <w:szCs w:val="20"/>
                <w:color w:val="auto"/>
              </w:rPr>
            </w:pPr>
            <w:r>
              <w:rPr>
                <w:rFonts w:ascii="Arial" w:cs="Arial" w:eastAsia="Arial" w:hAnsi="Arial"/>
                <w:sz w:val="18"/>
                <w:szCs w:val="18"/>
                <w:color w:val="auto"/>
              </w:rPr>
              <w:t>Decrease in fair value of interest rate cap agreements</w:t>
            </w:r>
          </w:p>
        </w:tc>
        <w:tc>
          <w:tcPr>
            <w:tcW w:w="34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80,353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tcPr>
          <w:p>
            <w:pPr>
              <w:ind w:left="860"/>
              <w:spacing w:after="0"/>
              <w:rPr>
                <w:sz w:val="20"/>
                <w:szCs w:val="20"/>
                <w:color w:val="auto"/>
              </w:rPr>
            </w:pPr>
            <w:r>
              <w:rPr>
                <w:rFonts w:ascii="Arial" w:cs="Arial" w:eastAsia="Arial" w:hAnsi="Arial"/>
                <w:sz w:val="18"/>
                <w:szCs w:val="18"/>
                <w:color w:val="auto"/>
              </w:rPr>
              <w:t>Provision for losses on accounts receivable</w:t>
            </w: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3,671</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24,232</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4,805</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shd w:val="clear" w:color="auto" w:fill="CCEEFF"/>
          </w:tcPr>
          <w:p>
            <w:pPr>
              <w:ind w:left="860"/>
              <w:spacing w:after="0"/>
              <w:rPr>
                <w:sz w:val="20"/>
                <w:szCs w:val="20"/>
                <w:color w:val="auto"/>
              </w:rPr>
            </w:pPr>
            <w:r>
              <w:rPr>
                <w:rFonts w:ascii="Arial" w:cs="Arial" w:eastAsia="Arial" w:hAnsi="Arial"/>
                <w:sz w:val="18"/>
                <w:szCs w:val="18"/>
                <w:color w:val="auto"/>
              </w:rPr>
              <w:t>Loss on disposal of property and equipment</w:t>
            </w: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1,778</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tcPr>
          <w:p>
            <w:pPr>
              <w:ind w:left="860"/>
              <w:spacing w:after="0"/>
              <w:rPr>
                <w:sz w:val="20"/>
                <w:szCs w:val="20"/>
                <w:color w:val="auto"/>
              </w:rPr>
            </w:pPr>
            <w:r>
              <w:rPr>
                <w:rFonts w:ascii="Arial" w:cs="Arial" w:eastAsia="Arial" w:hAnsi="Arial"/>
                <w:sz w:val="18"/>
                <w:szCs w:val="18"/>
                <w:color w:val="auto"/>
              </w:rPr>
              <w:t>Non-cash compensation</w:t>
            </w: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38,040</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shd w:val="clear" w:color="auto" w:fill="CCEEFF"/>
          </w:tcPr>
          <w:p>
            <w:pPr>
              <w:ind w:left="860"/>
              <w:spacing w:after="0"/>
              <w:rPr>
                <w:sz w:val="20"/>
                <w:szCs w:val="20"/>
                <w:color w:val="auto"/>
              </w:rPr>
            </w:pPr>
            <w:r>
              <w:rPr>
                <w:rFonts w:ascii="Arial" w:cs="Arial" w:eastAsia="Arial" w:hAnsi="Arial"/>
                <w:sz w:val="18"/>
                <w:szCs w:val="18"/>
                <w:color w:val="auto"/>
              </w:rPr>
              <w:t>Supplemental retirement benefits expense</w:t>
            </w: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572,914</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1,274,317</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167,971</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tcPr>
          <w:p>
            <w:pPr>
              <w:ind w:left="860"/>
              <w:spacing w:after="0"/>
              <w:rPr>
                <w:sz w:val="20"/>
                <w:szCs w:val="20"/>
                <w:color w:val="auto"/>
              </w:rPr>
            </w:pPr>
            <w:r>
              <w:rPr>
                <w:rFonts w:ascii="Arial" w:cs="Arial" w:eastAsia="Arial" w:hAnsi="Arial"/>
                <w:sz w:val="18"/>
                <w:szCs w:val="18"/>
                <w:color w:val="auto"/>
              </w:rPr>
              <w:t>Deferred income taxes</w:t>
            </w:r>
          </w:p>
        </w:tc>
        <w:tc>
          <w:tcPr>
            <w:tcW w:w="1680" w:type="dxa"/>
            <w:vAlign w:val="bottom"/>
            <w:gridSpan w:val="3"/>
          </w:tcPr>
          <w:p>
            <w:pPr>
              <w:jc w:val="right"/>
              <w:ind w:right="340"/>
              <w:spacing w:after="0"/>
              <w:rPr>
                <w:sz w:val="20"/>
                <w:szCs w:val="20"/>
                <w:color w:val="auto"/>
              </w:rPr>
            </w:pPr>
            <w:r>
              <w:rPr>
                <w:rFonts w:ascii="Arial" w:cs="Arial" w:eastAsia="Arial" w:hAnsi="Arial"/>
                <w:sz w:val="18"/>
                <w:szCs w:val="18"/>
                <w:color w:val="auto"/>
              </w:rPr>
              <w:t>(504,000)</w:t>
            </w:r>
          </w:p>
        </w:tc>
        <w:tc>
          <w:tcPr>
            <w:tcW w:w="10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(1,600,000)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(135,000)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shd w:val="clear" w:color="auto" w:fill="CCEEFF"/>
          </w:tcPr>
          <w:p>
            <w:pPr>
              <w:ind w:left="860"/>
              <w:spacing w:after="0"/>
              <w:rPr>
                <w:sz w:val="20"/>
                <w:szCs w:val="20"/>
                <w:color w:val="auto"/>
              </w:rPr>
            </w:pPr>
            <w:r>
              <w:rPr>
                <w:rFonts w:ascii="Arial" w:cs="Arial" w:eastAsia="Arial" w:hAnsi="Arial"/>
                <w:sz w:val="18"/>
                <w:szCs w:val="18"/>
                <w:color w:val="auto"/>
              </w:rPr>
              <w:t>Change in assets and liabilities</w:t>
            </w:r>
          </w:p>
        </w:tc>
        <w:tc>
          <w:tcPr>
            <w:tcW w:w="3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tcPr>
          <w:p>
            <w:pPr>
              <w:ind w:left="1280"/>
              <w:spacing w:after="0"/>
              <w:rPr>
                <w:sz w:val="20"/>
                <w:szCs w:val="20"/>
                <w:color w:val="auto"/>
              </w:rPr>
            </w:pPr>
            <w:r>
              <w:rPr>
                <w:rFonts w:ascii="Arial" w:cs="Arial" w:eastAsia="Arial" w:hAnsi="Arial"/>
                <w:sz w:val="18"/>
                <w:szCs w:val="18"/>
                <w:color w:val="auto"/>
              </w:rPr>
              <w:t>(Increase) decrease in trade and interest receivables</w:t>
            </w: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332,064</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(272,889)</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87,092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shd w:val="clear" w:color="auto" w:fill="CCEEFF"/>
          </w:tcPr>
          <w:p>
            <w:pPr>
              <w:ind w:left="1280"/>
              <w:spacing w:after="0"/>
              <w:rPr>
                <w:sz w:val="20"/>
                <w:szCs w:val="20"/>
                <w:color w:val="auto"/>
              </w:rPr>
            </w:pPr>
            <w:r>
              <w:rPr>
                <w:rFonts w:ascii="Arial" w:cs="Arial" w:eastAsia="Arial" w:hAnsi="Arial"/>
                <w:sz w:val="18"/>
                <w:szCs w:val="18"/>
                <w:color w:val="auto"/>
              </w:rPr>
              <w:t>(Increase) decrease in prepaid expenses</w:t>
            </w:r>
          </w:p>
        </w:tc>
        <w:tc>
          <w:tcPr>
            <w:tcW w:w="168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(148,559)</w:t>
            </w: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(132,374)</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90,699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tcPr>
          <w:p>
            <w:pPr>
              <w:ind w:left="1280"/>
              <w:spacing w:after="0"/>
              <w:rPr>
                <w:sz w:val="20"/>
                <w:szCs w:val="20"/>
                <w:color w:val="auto"/>
              </w:rPr>
            </w:pPr>
            <w:r>
              <w:rPr>
                <w:rFonts w:ascii="Arial" w:cs="Arial" w:eastAsia="Arial" w:hAnsi="Arial"/>
                <w:sz w:val="18"/>
                <w:szCs w:val="18"/>
                <w:color w:val="auto"/>
              </w:rPr>
              <w:t>Increase (decrease) in accounts payable and accrued expenses</w:t>
            </w: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648,461</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(359,128)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342,461</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shd w:val="clear" w:color="auto" w:fill="CCEEFF"/>
          </w:tcPr>
          <w:p>
            <w:pPr>
              <w:ind w:left="1280"/>
              <w:spacing w:after="0"/>
              <w:rPr>
                <w:sz w:val="20"/>
                <w:szCs w:val="20"/>
                <w:color w:val="auto"/>
              </w:rPr>
            </w:pPr>
            <w:r>
              <w:rPr>
                <w:rFonts w:ascii="Arial" w:cs="Arial" w:eastAsia="Arial" w:hAnsi="Arial"/>
                <w:sz w:val="18"/>
                <w:szCs w:val="18"/>
                <w:color w:val="auto"/>
              </w:rPr>
              <w:t>Increase (decrease) in rents received in advance</w:t>
            </w: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1,200,409</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1,912,880</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(752,160)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tcPr>
          <w:p>
            <w:pPr>
              <w:ind w:left="1280"/>
              <w:spacing w:after="0"/>
              <w:rPr>
                <w:sz w:val="20"/>
                <w:szCs w:val="20"/>
                <w:color w:val="auto"/>
              </w:rPr>
            </w:pPr>
            <w:r>
              <w:rPr>
                <w:rFonts w:ascii="Arial" w:cs="Arial" w:eastAsia="Arial" w:hAnsi="Arial"/>
                <w:sz w:val="18"/>
                <w:szCs w:val="18"/>
                <w:color w:val="auto"/>
              </w:rPr>
              <w:t>Increase (decrease) in income taxes payable</w:t>
            </w:r>
          </w:p>
        </w:tc>
        <w:tc>
          <w:tcPr>
            <w:tcW w:w="1680" w:type="dxa"/>
            <w:vAlign w:val="bottom"/>
            <w:gridSpan w:val="3"/>
          </w:tcPr>
          <w:p>
            <w:pPr>
              <w:jc w:val="right"/>
              <w:ind w:right="340"/>
              <w:spacing w:after="0"/>
              <w:rPr>
                <w:sz w:val="20"/>
                <w:szCs w:val="20"/>
                <w:color w:val="auto"/>
              </w:rPr>
            </w:pPr>
            <w:r>
              <w:rPr>
                <w:rFonts w:ascii="Arial" w:cs="Arial" w:eastAsia="Arial" w:hAnsi="Arial"/>
                <w:sz w:val="18"/>
                <w:szCs w:val="18"/>
                <w:color w:val="auto"/>
              </w:rPr>
              <w:t>(609,437)</w:t>
            </w: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730,850</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(213,801)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shd w:val="clear" w:color="auto" w:fill="CCEEFF"/>
          </w:tcPr>
          <w:p>
            <w:pPr>
              <w:ind w:left="1280"/>
              <w:spacing w:after="0"/>
              <w:rPr>
                <w:sz w:val="20"/>
                <w:szCs w:val="20"/>
                <w:color w:val="auto"/>
              </w:rPr>
            </w:pPr>
            <w:r>
              <w:rPr>
                <w:rFonts w:ascii="Arial" w:cs="Arial" w:eastAsia="Arial" w:hAnsi="Arial"/>
                <w:sz w:val="18"/>
                <w:szCs w:val="18"/>
                <w:color w:val="auto"/>
              </w:rPr>
              <w:t>Decrease in supplemental retirement benefits</w:t>
            </w:r>
          </w:p>
        </w:tc>
        <w:tc>
          <w:tcPr>
            <w:tcW w:w="34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(2,602,135)</w:t>
            </w: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(78,876)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(78,876)</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280" w:type="dxa"/>
            <w:vAlign w:val="bottom"/>
          </w:tcPr>
          <w:p>
            <w:pPr>
              <w:ind w:left="1720"/>
              <w:spacing w:after="0"/>
              <w:rPr>
                <w:sz w:val="20"/>
                <w:szCs w:val="20"/>
                <w:color w:val="auto"/>
              </w:rPr>
            </w:pPr>
            <w:r>
              <w:rPr>
                <w:rFonts w:ascii="Arial" w:cs="Arial" w:eastAsia="Arial" w:hAnsi="Arial"/>
                <w:sz w:val="18"/>
                <w:szCs w:val="18"/>
                <w:color w:val="auto"/>
              </w:rPr>
              <w:t>NET CASH PROVIDED BY OPERATING ACTIVITIES</w:t>
            </w:r>
          </w:p>
        </w:tc>
        <w:tc>
          <w:tcPr>
            <w:tcW w:w="340" w:type="dxa"/>
            <w:vAlign w:val="bottom"/>
          </w:tcPr>
          <w:p>
            <w:pPr>
              <w:spacing w:after="0"/>
              <w:rPr>
                <w:sz w:val="20"/>
                <w:szCs w:val="20"/>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16,236,665</w:t>
            </w:r>
          </w:p>
        </w:tc>
        <w:tc>
          <w:tcPr>
            <w:tcW w:w="4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18,611,115</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3"/>
              </w:rPr>
              <w:t>16,050,609</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shd w:val="clear" w:color="auto" w:fill="CCEEFF"/>
          </w:tcPr>
          <w:p>
            <w:pPr>
              <w:spacing w:after="0"/>
              <w:rPr>
                <w:sz w:val="20"/>
                <w:szCs w:val="20"/>
                <w:color w:val="auto"/>
              </w:rPr>
            </w:pPr>
            <w:r>
              <w:rPr>
                <w:rFonts w:ascii="Arial" w:cs="Arial" w:eastAsia="Arial" w:hAnsi="Arial"/>
                <w:sz w:val="18"/>
                <w:szCs w:val="18"/>
                <w:color w:val="auto"/>
              </w:rPr>
              <w:t>CASH FLOWS FROM INVESTING ACTIVITIES</w:t>
            </w:r>
          </w:p>
        </w:tc>
        <w:tc>
          <w:tcPr>
            <w:tcW w:w="3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tcPr>
          <w:p>
            <w:pPr>
              <w:ind w:left="420"/>
              <w:spacing w:after="0"/>
              <w:rPr>
                <w:sz w:val="20"/>
                <w:szCs w:val="20"/>
                <w:color w:val="auto"/>
              </w:rPr>
            </w:pPr>
            <w:r>
              <w:rPr>
                <w:rFonts w:ascii="Arial" w:cs="Arial" w:eastAsia="Arial" w:hAnsi="Arial"/>
                <w:sz w:val="18"/>
                <w:szCs w:val="18"/>
                <w:color w:val="auto"/>
              </w:rPr>
              <w:t>Purchase and construction of property and equipment</w:t>
            </w:r>
          </w:p>
        </w:tc>
        <w:tc>
          <w:tcPr>
            <w:tcW w:w="1680" w:type="dxa"/>
            <w:vAlign w:val="bottom"/>
            <w:gridSpan w:val="3"/>
          </w:tcPr>
          <w:p>
            <w:pPr>
              <w:jc w:val="right"/>
              <w:ind w:right="340"/>
              <w:spacing w:after="0"/>
              <w:rPr>
                <w:sz w:val="20"/>
                <w:szCs w:val="20"/>
                <w:color w:val="auto"/>
              </w:rPr>
            </w:pPr>
            <w:r>
              <w:rPr>
                <w:rFonts w:ascii="Arial" w:cs="Arial" w:eastAsia="Arial" w:hAnsi="Arial"/>
                <w:sz w:val="18"/>
                <w:szCs w:val="18"/>
                <w:color w:val="auto"/>
              </w:rPr>
              <w:t>(2,676,083)</w:t>
            </w:r>
          </w:p>
        </w:tc>
        <w:tc>
          <w:tcPr>
            <w:tcW w:w="10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(1,045,562)</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w w:val="97"/>
              </w:rPr>
              <w:t>(1,314,014)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Purchases of short-term investments</w:t>
            </w:r>
          </w:p>
        </w:tc>
        <w:tc>
          <w:tcPr>
            <w:tcW w:w="168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(23,033,500)</w:t>
            </w: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5"/>
              </w:rPr>
              <w:t>(26,652,016)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8"/>
              </w:rPr>
              <w:t>(26,308,602)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tcPr>
          <w:p>
            <w:pPr>
              <w:ind w:left="420"/>
              <w:spacing w:after="0"/>
              <w:rPr>
                <w:sz w:val="20"/>
                <w:szCs w:val="20"/>
                <w:color w:val="auto"/>
              </w:rPr>
            </w:pPr>
            <w:r>
              <w:rPr>
                <w:rFonts w:ascii="Arial" w:cs="Arial" w:eastAsia="Arial" w:hAnsi="Arial"/>
                <w:sz w:val="18"/>
                <w:szCs w:val="18"/>
                <w:color w:val="auto"/>
              </w:rPr>
              <w:t>Proceeds from sales of short-term investments</w:t>
            </w: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29,214,939</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24,092,071</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w w:val="93"/>
              </w:rPr>
              <w:t>26,415,065</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(Increase) decrease in restricted cash</w:t>
            </w:r>
          </w:p>
        </w:tc>
        <w:tc>
          <w:tcPr>
            <w:tcW w:w="3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20,579,914</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(449,429)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280" w:type="dxa"/>
            <w:vAlign w:val="bottom"/>
            <w:vMerge w:val="restart"/>
          </w:tcPr>
          <w:p>
            <w:pPr>
              <w:ind w:left="1720"/>
              <w:spacing w:after="0"/>
              <w:rPr>
                <w:sz w:val="20"/>
                <w:szCs w:val="20"/>
                <w:color w:val="auto"/>
              </w:rPr>
            </w:pPr>
            <w:r>
              <w:rPr>
                <w:rFonts w:ascii="Arial" w:cs="Arial" w:eastAsia="Arial" w:hAnsi="Arial"/>
                <w:sz w:val="18"/>
                <w:szCs w:val="18"/>
                <w:color w:val="auto"/>
              </w:rPr>
              <w:t>NET CASH PROVIDED (USED) BY INVESTING ACTIVITIES</w:t>
            </w:r>
          </w:p>
        </w:tc>
        <w:tc>
          <w:tcPr>
            <w:tcW w:w="340" w:type="dxa"/>
            <w:vAlign w:val="bottom"/>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7280" w:type="dxa"/>
            <w:vAlign w:val="bottom"/>
            <w:vMerge w:val="continue"/>
          </w:tcPr>
          <w:p>
            <w:pPr>
              <w:spacing w:after="0"/>
              <w:rPr>
                <w:sz w:val="20"/>
                <w:szCs w:val="20"/>
                <w:color w:val="auto"/>
              </w:rPr>
            </w:pPr>
          </w:p>
        </w:tc>
        <w:tc>
          <w:tcPr>
            <w:tcW w:w="34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3,505,356</w:t>
            </w:r>
          </w:p>
        </w:tc>
        <w:tc>
          <w:tcPr>
            <w:tcW w:w="4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16,974,407</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w w:val="97"/>
              </w:rPr>
              <w:t>(1,656,980)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shd w:val="clear" w:color="auto" w:fill="CCEEFF"/>
          </w:tcPr>
          <w:p>
            <w:pPr>
              <w:spacing w:after="0"/>
              <w:rPr>
                <w:sz w:val="20"/>
                <w:szCs w:val="20"/>
                <w:color w:val="auto"/>
              </w:rPr>
            </w:pPr>
            <w:r>
              <w:rPr>
                <w:rFonts w:ascii="Arial" w:cs="Arial" w:eastAsia="Arial" w:hAnsi="Arial"/>
                <w:sz w:val="18"/>
                <w:szCs w:val="18"/>
                <w:color w:val="auto"/>
              </w:rPr>
              <w:t>CASH FLOWS FROM FINANCING ACTIVITIES</w:t>
            </w:r>
          </w:p>
        </w:tc>
        <w:tc>
          <w:tcPr>
            <w:tcW w:w="340" w:type="dxa"/>
            <w:vAlign w:val="bottom"/>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tcPr>
          <w:p>
            <w:pPr>
              <w:ind w:left="420"/>
              <w:spacing w:after="0"/>
              <w:rPr>
                <w:sz w:val="20"/>
                <w:szCs w:val="20"/>
                <w:color w:val="auto"/>
              </w:rPr>
            </w:pPr>
            <w:r>
              <w:rPr>
                <w:rFonts w:ascii="Arial" w:cs="Arial" w:eastAsia="Arial" w:hAnsi="Arial"/>
                <w:sz w:val="18"/>
                <w:szCs w:val="18"/>
                <w:color w:val="auto"/>
              </w:rPr>
              <w:t>Principal payments on long-term debt</w:t>
            </w:r>
          </w:p>
        </w:tc>
        <w:tc>
          <w:tcPr>
            <w:tcW w:w="1680" w:type="dxa"/>
            <w:vAlign w:val="bottom"/>
            <w:gridSpan w:val="3"/>
          </w:tcPr>
          <w:p>
            <w:pPr>
              <w:jc w:val="right"/>
              <w:ind w:right="340"/>
              <w:spacing w:after="0"/>
              <w:rPr>
                <w:sz w:val="20"/>
                <w:szCs w:val="20"/>
                <w:color w:val="auto"/>
              </w:rPr>
            </w:pPr>
            <w:r>
              <w:rPr>
                <w:rFonts w:ascii="Arial" w:cs="Arial" w:eastAsia="Arial" w:hAnsi="Arial"/>
                <w:sz w:val="18"/>
                <w:szCs w:val="18"/>
                <w:color w:val="auto"/>
              </w:rPr>
              <w:t>(16,000,000)</w:t>
            </w:r>
          </w:p>
        </w:tc>
        <w:tc>
          <w:tcPr>
            <w:tcW w:w="10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w w:val="87"/>
              </w:rPr>
              <w:t>(138,515,718)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w w:val="97"/>
              </w:rPr>
              <w:t>(3,158,841)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Proceeds from long-term debt</w:t>
            </w: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11,000,000</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1"/>
              </w:rPr>
              <w:t>125,000,000</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tcPr>
          <w:p>
            <w:pPr>
              <w:ind w:left="420"/>
              <w:spacing w:after="0"/>
              <w:rPr>
                <w:sz w:val="20"/>
                <w:szCs w:val="20"/>
                <w:color w:val="auto"/>
              </w:rPr>
            </w:pPr>
            <w:r>
              <w:rPr>
                <w:rFonts w:ascii="Arial" w:cs="Arial" w:eastAsia="Arial" w:hAnsi="Arial"/>
                <w:sz w:val="18"/>
                <w:szCs w:val="18"/>
                <w:color w:val="auto"/>
              </w:rPr>
              <w:t>Dividends paid</w:t>
            </w:r>
          </w:p>
        </w:tc>
        <w:tc>
          <w:tcPr>
            <w:tcW w:w="1680" w:type="dxa"/>
            <w:vAlign w:val="bottom"/>
            <w:gridSpan w:val="3"/>
          </w:tcPr>
          <w:p>
            <w:pPr>
              <w:jc w:val="right"/>
              <w:ind w:right="340"/>
              <w:spacing w:after="0"/>
              <w:rPr>
                <w:sz w:val="20"/>
                <w:szCs w:val="20"/>
                <w:color w:val="auto"/>
              </w:rPr>
            </w:pPr>
            <w:r>
              <w:rPr>
                <w:rFonts w:ascii="Arial" w:cs="Arial" w:eastAsia="Arial" w:hAnsi="Arial"/>
                <w:sz w:val="18"/>
                <w:szCs w:val="18"/>
                <w:color w:val="auto"/>
              </w:rPr>
              <w:t>(14,000,001)</w:t>
            </w:r>
          </w:p>
        </w:tc>
        <w:tc>
          <w:tcPr>
            <w:tcW w:w="10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(12,000,001)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w w:val="88"/>
              </w:rPr>
              <w:t>(12,000,001)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Financing costs paid</w:t>
            </w:r>
          </w:p>
        </w:tc>
        <w:tc>
          <w:tcPr>
            <w:tcW w:w="3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(808,683)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280" w:type="dxa"/>
            <w:vAlign w:val="bottom"/>
            <w:vMerge w:val="restart"/>
          </w:tcPr>
          <w:p>
            <w:pPr>
              <w:ind w:left="1720"/>
              <w:spacing w:after="0"/>
              <w:rPr>
                <w:sz w:val="20"/>
                <w:szCs w:val="20"/>
                <w:color w:val="auto"/>
              </w:rPr>
            </w:pPr>
            <w:r>
              <w:rPr>
                <w:rFonts w:ascii="Arial" w:cs="Arial" w:eastAsia="Arial" w:hAnsi="Arial"/>
                <w:sz w:val="18"/>
                <w:szCs w:val="18"/>
                <w:color w:val="auto"/>
              </w:rPr>
              <w:t>NET CASH USED BY FINANCING ACTIVITIES</w:t>
            </w:r>
          </w:p>
        </w:tc>
        <w:tc>
          <w:tcPr>
            <w:tcW w:w="340" w:type="dxa"/>
            <w:vAlign w:val="bottom"/>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7280" w:type="dxa"/>
            <w:vAlign w:val="bottom"/>
            <w:vMerge w:val="continue"/>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gridSpan w:val="2"/>
          </w:tcPr>
          <w:p>
            <w:pPr>
              <w:jc w:val="right"/>
              <w:ind w:right="340"/>
              <w:spacing w:after="0"/>
              <w:rPr>
                <w:sz w:val="20"/>
                <w:szCs w:val="20"/>
                <w:color w:val="auto"/>
              </w:rPr>
            </w:pPr>
            <w:r>
              <w:rPr>
                <w:rFonts w:ascii="Arial" w:cs="Arial" w:eastAsia="Arial" w:hAnsi="Arial"/>
                <w:sz w:val="18"/>
                <w:szCs w:val="18"/>
                <w:color w:val="auto"/>
                <w:w w:val="95"/>
              </w:rPr>
              <w:t>(19,000,001)</w:t>
            </w:r>
          </w:p>
        </w:tc>
        <w:tc>
          <w:tcPr>
            <w:tcW w:w="100" w:type="dxa"/>
            <w:vAlign w:val="bottom"/>
          </w:tcPr>
          <w:p>
            <w:pPr>
              <w:spacing w:after="0"/>
              <w:rPr>
                <w:sz w:val="19"/>
                <w:szCs w:val="19"/>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(26,324,402)</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w w:val="88"/>
              </w:rPr>
              <w:t>(15,158,842)</w:t>
            </w: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7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shd w:val="clear" w:color="auto" w:fill="CCEEFF"/>
          </w:tcPr>
          <w:p>
            <w:pPr>
              <w:ind w:left="1720"/>
              <w:spacing w:after="0"/>
              <w:rPr>
                <w:sz w:val="20"/>
                <w:szCs w:val="20"/>
                <w:color w:val="auto"/>
              </w:rPr>
            </w:pPr>
            <w:r>
              <w:rPr>
                <w:rFonts w:ascii="Arial" w:cs="Arial" w:eastAsia="Arial" w:hAnsi="Arial"/>
                <w:sz w:val="18"/>
                <w:szCs w:val="18"/>
                <w:color w:val="auto"/>
                <w:w w:val="99"/>
              </w:rPr>
              <w:t>NET INCREASE (DECREASE) IN CASH AND CASH EQUIVALENTS</w:t>
            </w:r>
          </w:p>
        </w:tc>
        <w:tc>
          <w:tcPr>
            <w:tcW w:w="3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742,020</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9,261,120</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(765,213)</w:t>
            </w:r>
          </w:p>
        </w:tc>
        <w:tc>
          <w:tcPr>
            <w:tcW w:w="0" w:type="dxa"/>
            <w:vAlign w:val="bottom"/>
          </w:tcPr>
          <w:p>
            <w:pPr>
              <w:spacing w:after="0"/>
              <w:rPr>
                <w:sz w:val="1"/>
                <w:szCs w:val="1"/>
                <w:color w:val="auto"/>
              </w:rPr>
            </w:pPr>
          </w:p>
        </w:tc>
      </w:tr>
      <w:tr>
        <w:trPr>
          <w:trHeight w:val="331"/>
        </w:trPr>
        <w:tc>
          <w:tcPr>
            <w:tcW w:w="7300" w:type="dxa"/>
            <w:vAlign w:val="bottom"/>
            <w:gridSpan w:val="2"/>
          </w:tcPr>
          <w:p>
            <w:pPr>
              <w:spacing w:after="0"/>
              <w:rPr>
                <w:sz w:val="20"/>
                <w:szCs w:val="20"/>
                <w:color w:val="auto"/>
              </w:rPr>
            </w:pPr>
            <w:r>
              <w:rPr>
                <w:rFonts w:ascii="Arial" w:cs="Arial" w:eastAsia="Arial" w:hAnsi="Arial"/>
                <w:sz w:val="18"/>
                <w:szCs w:val="18"/>
                <w:color w:val="auto"/>
              </w:rPr>
              <w:t>CASH AND CASH EQUIVALENTS, BEGINNING</w:t>
            </w:r>
          </w:p>
        </w:tc>
        <w:tc>
          <w:tcPr>
            <w:tcW w:w="340" w:type="dxa"/>
            <w:vAlign w:val="bottom"/>
          </w:tcPr>
          <w:p>
            <w:pPr>
              <w:spacing w:after="0"/>
              <w:rPr>
                <w:sz w:val="24"/>
                <w:szCs w:val="24"/>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10,088,879</w:t>
            </w:r>
          </w:p>
        </w:tc>
        <w:tc>
          <w:tcPr>
            <w:tcW w:w="4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827,759</w:t>
            </w: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1,592,972</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shd w:val="clear" w:color="auto" w:fill="CCEEFF"/>
          </w:tcPr>
          <w:p>
            <w:pPr>
              <w:ind w:left="1720"/>
              <w:spacing w:after="0"/>
              <w:rPr>
                <w:sz w:val="20"/>
                <w:szCs w:val="20"/>
                <w:color w:val="auto"/>
              </w:rPr>
            </w:pPr>
            <w:r>
              <w:rPr>
                <w:rFonts w:ascii="Arial" w:cs="Arial" w:eastAsia="Arial" w:hAnsi="Arial"/>
                <w:sz w:val="18"/>
                <w:szCs w:val="18"/>
                <w:color w:val="auto"/>
              </w:rPr>
              <w:t>CASH AND CASH EQUIVALENTS, ENDING</w:t>
            </w: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$ 10,830,899</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10,088,879</w:t>
            </w:r>
          </w:p>
        </w:tc>
        <w:tc>
          <w:tcPr>
            <w:tcW w:w="22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827,759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300" w:type="dxa"/>
            <w:vAlign w:val="bottom"/>
            <w:gridSpan w:val="2"/>
            <w:vMerge w:val="restart"/>
          </w:tcPr>
          <w:p>
            <w:pPr>
              <w:spacing w:after="0"/>
              <w:rPr>
                <w:sz w:val="20"/>
                <w:szCs w:val="20"/>
                <w:color w:val="auto"/>
              </w:rPr>
            </w:pPr>
            <w:r>
              <w:rPr>
                <w:rFonts w:ascii="Arial" w:cs="Arial" w:eastAsia="Arial" w:hAnsi="Arial"/>
                <w:sz w:val="18"/>
                <w:szCs w:val="18"/>
                <w:color w:val="auto"/>
              </w:rPr>
              <w:t>SUPPLEMENTAL DISCLOSURES OF CASH FLOW INFORMATION</w:t>
            </w:r>
          </w:p>
        </w:tc>
        <w:tc>
          <w:tcPr>
            <w:tcW w:w="34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300" w:type="dxa"/>
            <w:vAlign w:val="bottom"/>
            <w:gridSpan w:val="2"/>
            <w:vMerge w:val="continue"/>
          </w:tcPr>
          <w:p>
            <w:pPr>
              <w:spacing w:after="0"/>
              <w:rPr>
                <w:sz w:val="18"/>
                <w:szCs w:val="18"/>
                <w:color w:val="auto"/>
              </w:rPr>
            </w:pPr>
          </w:p>
        </w:tc>
        <w:tc>
          <w:tcPr>
            <w:tcW w:w="3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72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Cash paid during the year for:</w:t>
            </w:r>
          </w:p>
        </w:tc>
        <w:tc>
          <w:tcPr>
            <w:tcW w:w="3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tcPr>
          <w:p>
            <w:pPr>
              <w:ind w:left="860"/>
              <w:spacing w:after="0"/>
              <w:rPr>
                <w:sz w:val="20"/>
                <w:szCs w:val="20"/>
                <w:color w:val="auto"/>
              </w:rPr>
            </w:pPr>
            <w:r>
              <w:rPr>
                <w:rFonts w:ascii="Arial" w:cs="Arial" w:eastAsia="Arial" w:hAnsi="Arial"/>
                <w:sz w:val="18"/>
                <w:szCs w:val="18"/>
                <w:color w:val="auto"/>
              </w:rPr>
              <w:t>Income taxes</w:t>
            </w: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$ 10,336,437</w:t>
            </w:r>
          </w:p>
        </w:tc>
        <w:tc>
          <w:tcPr>
            <w:tcW w:w="4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9,596,150</w:t>
            </w:r>
          </w:p>
        </w:tc>
        <w:tc>
          <w:tcPr>
            <w:tcW w:w="220" w:type="dxa"/>
            <w:vAlign w:val="bottom"/>
          </w:tcPr>
          <w:p>
            <w:pPr>
              <w:spacing w:after="0"/>
              <w:rPr>
                <w:sz w:val="18"/>
                <w:szCs w:val="18"/>
                <w:color w:val="auto"/>
              </w:rPr>
            </w:pP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9,118,801</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80" w:type="dxa"/>
            <w:vAlign w:val="bottom"/>
            <w:shd w:val="clear" w:color="auto" w:fill="CCEEFF"/>
          </w:tcPr>
          <w:p>
            <w:pPr>
              <w:ind w:left="860"/>
              <w:spacing w:after="0"/>
              <w:rPr>
                <w:sz w:val="20"/>
                <w:szCs w:val="20"/>
                <w:color w:val="auto"/>
              </w:rPr>
            </w:pPr>
            <w:r>
              <w:rPr>
                <w:rFonts w:ascii="Arial" w:cs="Arial" w:eastAsia="Arial" w:hAnsi="Arial"/>
                <w:sz w:val="18"/>
                <w:szCs w:val="18"/>
                <w:color w:val="auto"/>
              </w:rPr>
              <w:t>Interest, net of amount capitalized</w:t>
            </w: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4,860,719</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6,779,023</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5,917,765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See accompanying notes.</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- 59</w:t>
      </w:r>
    </w:p>
    <w:p>
      <w:pPr>
        <w:sectPr>
          <w:pgSz w:w="11900" w:h="16838" w:orient="portrait"/>
          <w:cols w:equalWidth="0" w:num="1">
            <w:col w:w="11420"/>
          </w:cols>
          <w:pgMar w:left="240" w:top="459" w:right="239" w:bottom="1440" w:gutter="0" w:footer="0" w:header="0"/>
        </w:sectPr>
      </w:pPr>
    </w:p>
    <w:bookmarkStart w:id="78" w:name="page79"/>
    <w:bookmarkEnd w:id="7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5120"/>
        <w:spacing w:after="0" w:line="262" w:lineRule="auto"/>
        <w:rPr>
          <w:sz w:val="20"/>
          <w:szCs w:val="20"/>
          <w:color w:val="auto"/>
        </w:rPr>
      </w:pPr>
      <w:r>
        <w:rPr>
          <w:rFonts w:ascii="Arial" w:cs="Arial" w:eastAsia="Arial" w:hAnsi="Arial"/>
          <w:sz w:val="18"/>
          <w:szCs w:val="18"/>
          <w:b w:val="1"/>
          <w:bCs w:val="1"/>
          <w:color w:val="auto"/>
        </w:rPr>
        <w:t>INTERNATIONAL HOME FURNISHINGS CENTER, INC. AND SUBSIDIARIES CONSOLIDATED STATEMENTS OF CASH FLOWS Years Ended October 31, 2006, 2005 and 2004</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1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19"/>
              <w:spacing w:after="0"/>
              <w:rPr>
                <w:sz w:val="20"/>
                <w:szCs w:val="20"/>
                <w:color w:val="auto"/>
              </w:rPr>
            </w:pPr>
            <w:r>
              <w:rPr>
                <w:rFonts w:ascii="Arial" w:cs="Arial" w:eastAsia="Arial" w:hAnsi="Arial"/>
                <w:sz w:val="14"/>
                <w:szCs w:val="14"/>
                <w:b w:val="1"/>
                <w:bCs w:val="1"/>
                <w:color w:val="auto"/>
              </w:rPr>
              <w:t>2006</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139"/>
              <w:spacing w:after="0"/>
              <w:rPr>
                <w:sz w:val="20"/>
                <w:szCs w:val="20"/>
                <w:color w:val="auto"/>
              </w:rPr>
            </w:pPr>
            <w:r>
              <w:rPr>
                <w:rFonts w:ascii="Arial" w:cs="Arial" w:eastAsia="Arial" w:hAnsi="Arial"/>
                <w:sz w:val="14"/>
                <w:szCs w:val="14"/>
                <w:b w:val="1"/>
                <w:bCs w:val="1"/>
                <w:color w:val="auto"/>
              </w:rPr>
              <w:t>2005</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219"/>
              <w:spacing w:after="0"/>
              <w:rPr>
                <w:sz w:val="20"/>
                <w:szCs w:val="20"/>
                <w:color w:val="auto"/>
              </w:rPr>
            </w:pPr>
            <w:r>
              <w:rPr>
                <w:rFonts w:ascii="Arial" w:cs="Arial" w:eastAsia="Arial" w:hAnsi="Arial"/>
                <w:sz w:val="14"/>
                <w:szCs w:val="14"/>
                <w:b w:val="1"/>
                <w:bCs w:val="1"/>
                <w:color w:val="auto"/>
              </w:rPr>
              <w:t>2004</w:t>
            </w:r>
          </w:p>
        </w:tc>
        <w:tc>
          <w:tcPr>
            <w:tcW w:w="60" w:type="dxa"/>
            <w:vAlign w:val="bottom"/>
          </w:tcPr>
          <w:p>
            <w:pPr>
              <w:spacing w:after="0"/>
              <w:rPr>
                <w:sz w:val="14"/>
                <w:szCs w:val="14"/>
                <w:color w:val="auto"/>
              </w:rPr>
            </w:pPr>
          </w:p>
        </w:tc>
      </w:tr>
      <w:tr>
        <w:trPr>
          <w:trHeight w:val="210"/>
        </w:trPr>
        <w:tc>
          <w:tcPr>
            <w:tcW w:w="8160" w:type="dxa"/>
            <w:vAlign w:val="bottom"/>
            <w:shd w:val="clear" w:color="auto" w:fill="CCEEFF"/>
          </w:tcPr>
          <w:p>
            <w:pPr>
              <w:spacing w:after="0"/>
              <w:rPr>
                <w:sz w:val="20"/>
                <w:szCs w:val="20"/>
                <w:color w:val="auto"/>
              </w:rPr>
            </w:pPr>
            <w:r>
              <w:rPr>
                <w:rFonts w:ascii="Arial" w:cs="Arial" w:eastAsia="Arial" w:hAnsi="Arial"/>
                <w:sz w:val="18"/>
                <w:szCs w:val="18"/>
                <w:color w:val="auto"/>
              </w:rPr>
              <w:t>SUPPLEMENTAL SCHEDULE OF NONCASH INVESTING AND FINANCING ACTIVITIES</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8160" w:type="dxa"/>
            <w:vAlign w:val="bottom"/>
          </w:tcPr>
          <w:p>
            <w:pPr>
              <w:ind w:left="440"/>
              <w:spacing w:after="0"/>
              <w:rPr>
                <w:sz w:val="20"/>
                <w:szCs w:val="20"/>
                <w:color w:val="auto"/>
              </w:rPr>
            </w:pPr>
            <w:r>
              <w:rPr>
                <w:rFonts w:ascii="Arial" w:cs="Arial" w:eastAsia="Arial" w:hAnsi="Arial"/>
                <w:sz w:val="18"/>
                <w:szCs w:val="18"/>
                <w:color w:val="auto"/>
              </w:rPr>
              <w:t>Accounts payable incurred for acquisition of property and equipment</w:t>
            </w:r>
          </w:p>
        </w:tc>
        <w:tc>
          <w:tcPr>
            <w:tcW w:w="52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498,954</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53,072</w:t>
            </w:r>
          </w:p>
        </w:tc>
        <w:tc>
          <w:tcPr>
            <w:tcW w:w="60" w:type="dxa"/>
            <w:vAlign w:val="bottom"/>
          </w:tcPr>
          <w:p>
            <w:pPr>
              <w:spacing w:after="0"/>
              <w:rPr>
                <w:sz w:val="18"/>
                <w:szCs w:val="18"/>
                <w:color w:val="auto"/>
              </w:rPr>
            </w:pPr>
          </w:p>
        </w:tc>
      </w:tr>
      <w:tr>
        <w:trPr>
          <w:trHeight w:val="20"/>
        </w:trPr>
        <w:tc>
          <w:tcPr>
            <w:tcW w:w="8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02"/>
        </w:trPr>
        <w:tc>
          <w:tcPr>
            <w:tcW w:w="8160" w:type="dxa"/>
            <w:vAlign w:val="bottom"/>
            <w:shd w:val="clear" w:color="auto" w:fill="CCEEFF"/>
          </w:tcPr>
          <w:p>
            <w:pPr>
              <w:ind w:left="440"/>
              <w:spacing w:after="0" w:line="201" w:lineRule="exact"/>
              <w:rPr>
                <w:sz w:val="20"/>
                <w:szCs w:val="20"/>
                <w:color w:val="auto"/>
              </w:rPr>
            </w:pPr>
            <w:r>
              <w:rPr>
                <w:rFonts w:ascii="Arial" w:cs="Arial" w:eastAsia="Arial" w:hAnsi="Arial"/>
                <w:sz w:val="18"/>
                <w:szCs w:val="18"/>
                <w:color w:val="auto"/>
                <w:w w:val="92"/>
              </w:rPr>
              <w:t>Decrease in fair value of interest rate floor agreement, net of deferred income taxes of $0, $190,589 and</w:t>
            </w:r>
          </w:p>
        </w:tc>
        <w:tc>
          <w:tcPr>
            <w:tcW w:w="4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r>
      <w:tr>
        <w:trPr>
          <w:trHeight w:val="224"/>
        </w:trPr>
        <w:tc>
          <w:tcPr>
            <w:tcW w:w="8160" w:type="dxa"/>
            <w:vAlign w:val="bottom"/>
            <w:shd w:val="clear" w:color="auto" w:fill="CCEEFF"/>
          </w:tcPr>
          <w:p>
            <w:pPr>
              <w:ind w:left="660"/>
              <w:spacing w:after="0"/>
              <w:rPr>
                <w:sz w:val="20"/>
                <w:szCs w:val="20"/>
                <w:color w:val="auto"/>
              </w:rPr>
            </w:pPr>
            <w:r>
              <w:rPr>
                <w:rFonts w:ascii="Arial" w:cs="Arial" w:eastAsia="Arial" w:hAnsi="Arial"/>
                <w:sz w:val="18"/>
                <w:szCs w:val="18"/>
                <w:color w:val="auto"/>
              </w:rPr>
              <w:t>$788,361 in 2006, 2005 and 2004, respectively</w:t>
            </w: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8"/>
              </w:rPr>
              <w:t>(298,101)</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(1,233,077)</w:t>
            </w:r>
          </w:p>
        </w:tc>
      </w:tr>
      <w:tr>
        <w:trPr>
          <w:trHeight w:val="20"/>
        </w:trPr>
        <w:tc>
          <w:tcPr>
            <w:tcW w:w="8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See accompanying notes.</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- 60</w:t>
      </w:r>
    </w:p>
    <w:p>
      <w:pPr>
        <w:sectPr>
          <w:pgSz w:w="11900" w:h="16838" w:orient="portrait"/>
          <w:cols w:equalWidth="0" w:num="1">
            <w:col w:w="11420"/>
          </w:cols>
          <w:pgMar w:left="240" w:top="459" w:right="239" w:bottom="1440" w:gutter="0" w:footer="0" w:header="0"/>
        </w:sectPr>
      </w:pPr>
    </w:p>
    <w:bookmarkStart w:id="79" w:name="page80"/>
    <w:bookmarkEnd w:id="7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5060"/>
        <w:spacing w:after="0" w:line="262" w:lineRule="auto"/>
        <w:rPr>
          <w:sz w:val="20"/>
          <w:szCs w:val="20"/>
          <w:color w:val="auto"/>
        </w:rPr>
      </w:pPr>
      <w:r>
        <w:rPr>
          <w:rFonts w:ascii="Arial" w:cs="Arial" w:eastAsia="Arial" w:hAnsi="Arial"/>
          <w:sz w:val="18"/>
          <w:szCs w:val="18"/>
          <w:b w:val="1"/>
          <w:bCs w:val="1"/>
          <w:color w:val="auto"/>
        </w:rPr>
        <w:t>INTERNATIONAL HOME FURNISHINGS CENTER, INC. AND SUBSIDIARIES NOTES TO CONSOLIDATED FINANCIAL STATEMENTS October 31, 2006, 2005 and 2004</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A - DESCRIPTION OF BUSINESS</w:t>
      </w:r>
    </w:p>
    <w:p>
      <w:pPr>
        <w:spacing w:after="0" w:line="96" w:lineRule="exact"/>
        <w:rPr>
          <w:sz w:val="20"/>
          <w:szCs w:val="20"/>
          <w:color w:val="auto"/>
        </w:rPr>
      </w:pPr>
    </w:p>
    <w:p>
      <w:pPr>
        <w:spacing w:after="0" w:line="298" w:lineRule="auto"/>
        <w:rPr>
          <w:sz w:val="20"/>
          <w:szCs w:val="20"/>
          <w:color w:val="auto"/>
        </w:rPr>
      </w:pPr>
      <w:r>
        <w:rPr>
          <w:rFonts w:ascii="Arial" w:cs="Arial" w:eastAsia="Arial" w:hAnsi="Arial"/>
          <w:sz w:val="16"/>
          <w:szCs w:val="16"/>
          <w:color w:val="auto"/>
        </w:rPr>
        <w:t>International Home Furnishings Center, Inc. and its wholly-owned subsidiaries, IHFC Holdings, LLC and IHFC Properties, LLC, (collectively, the “Company”) are the lessors of permanent exhibition space to furniture and accessory manufacturers which are headquartered throughout the United States and in many foreign countries. This exhibition space, located in High Point, North Carolina, is used by the Home Furnishings Industry to showcase its products at the International Home Furnishings Market (the “Market”) held each April and October. The details of the operating leases with the Company’s tenants are described in Note H.</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color w:val="auto"/>
        </w:rPr>
        <w:t>The Company has been in business since June 27, 1919, and operates under the trade name of “International Home Furnishings Center.”</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B - SIGNIFICANT ACCOUNTING POLICIES</w:t>
      </w:r>
    </w:p>
    <w:p>
      <w:pPr>
        <w:spacing w:after="0" w:line="96" w:lineRule="exact"/>
        <w:rPr>
          <w:sz w:val="20"/>
          <w:szCs w:val="20"/>
          <w:color w:val="auto"/>
        </w:rPr>
      </w:pPr>
    </w:p>
    <w:p>
      <w:pPr>
        <w:ind w:right="220"/>
        <w:spacing w:after="0" w:line="268" w:lineRule="auto"/>
        <w:rPr>
          <w:sz w:val="20"/>
          <w:szCs w:val="20"/>
          <w:color w:val="auto"/>
        </w:rPr>
      </w:pPr>
      <w:r>
        <w:rPr>
          <w:rFonts w:ascii="Arial" w:cs="Arial" w:eastAsia="Arial" w:hAnsi="Arial"/>
          <w:sz w:val="18"/>
          <w:szCs w:val="18"/>
          <w:color w:val="auto"/>
        </w:rPr>
        <w:t>The accounting policy relative to the carrying values of property and equipment is indicated in the caption on the consolidated balance sheet. Other significant accounting policies are as follows:</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Principles of Consolidation</w:t>
      </w:r>
    </w:p>
    <w:p>
      <w:pPr>
        <w:spacing w:after="0" w:line="90"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The consolidated financial statements include the accounts of International Home Furnishings Center, Inc. and its wholly-owned subsidiaries, IHFC Holdings, LLC, organized on October 4, 2005 and IHFC Properties, LLC, a company organized on December 21, 2000. All material intercompany transactions have been eliminated.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Operating Revenues</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color w:val="auto"/>
        </w:rPr>
        <w:t>Rental income consists entirely of rentals from exhibition space which are recognized on the straight-line basis over the lives of the leases.</w:t>
      </w:r>
    </w:p>
    <w:p>
      <w:pPr>
        <w:spacing w:after="0" w:line="17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Other revenues consist principally of advertising revenue generated from the Company’s various Market publications and service revenue generated from various services provided to the Company’s tenants. Advertising revenue is recognized in the period the related Market publications are published and service revenue is recognized when the related service has been provided.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Cash and Cash Equivalents</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color w:val="auto"/>
        </w:rPr>
        <w:t>The Company considers all highly liquid investments purchased with an original maturity of three months or less to be cash equivalents.</w:t>
      </w:r>
    </w:p>
    <w:p>
      <w:pPr>
        <w:spacing w:after="0" w:line="15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 - 61</w:t>
      </w:r>
    </w:p>
    <w:p>
      <w:pPr>
        <w:sectPr>
          <w:pgSz w:w="11900" w:h="16838" w:orient="portrait"/>
          <w:cols w:equalWidth="0" w:num="1">
            <w:col w:w="11360"/>
          </w:cols>
          <w:pgMar w:left="240" w:top="459" w:right="299" w:bottom="1440" w:gutter="0" w:footer="0" w:header="0"/>
        </w:sectPr>
      </w:pPr>
    </w:p>
    <w:bookmarkStart w:id="80" w:name="page81"/>
    <w:bookmarkEnd w:id="8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5120"/>
        <w:spacing w:after="0" w:line="262" w:lineRule="auto"/>
        <w:rPr>
          <w:sz w:val="20"/>
          <w:szCs w:val="20"/>
          <w:color w:val="auto"/>
        </w:rPr>
      </w:pPr>
      <w:r>
        <w:rPr>
          <w:rFonts w:ascii="Arial" w:cs="Arial" w:eastAsia="Arial" w:hAnsi="Arial"/>
          <w:sz w:val="18"/>
          <w:szCs w:val="18"/>
          <w:b w:val="1"/>
          <w:bCs w:val="1"/>
          <w:color w:val="auto"/>
        </w:rPr>
        <w:t>INTERNATIONAL HOME FURNISHINGS CENTER, INC. AND SUBSIDIARIES NOTES TO CONSOLIDATED FINANCIAL STATEMENTS October 31, 2006, 2005 and 2004</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B - SIGNIFICANT ACCOUNTING POLICIES (Continued)</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Short-Term Investments</w:t>
      </w:r>
    </w:p>
    <w:p>
      <w:pPr>
        <w:spacing w:after="0" w:line="90" w:lineRule="exact"/>
        <w:rPr>
          <w:sz w:val="20"/>
          <w:szCs w:val="20"/>
          <w:color w:val="auto"/>
        </w:rPr>
      </w:pPr>
    </w:p>
    <w:p>
      <w:pPr>
        <w:ind w:right="200"/>
        <w:spacing w:after="0" w:line="290" w:lineRule="auto"/>
        <w:rPr>
          <w:sz w:val="20"/>
          <w:szCs w:val="20"/>
          <w:color w:val="auto"/>
        </w:rPr>
      </w:pPr>
      <w:r>
        <w:rPr>
          <w:rFonts w:ascii="Arial" w:cs="Arial" w:eastAsia="Arial" w:hAnsi="Arial"/>
          <w:sz w:val="16"/>
          <w:szCs w:val="16"/>
          <w:color w:val="auto"/>
        </w:rPr>
        <w:t>Management determines the appropriate classification of securities at the date individual investment securities are acquired, and the appropriateness of such classification is reassessed at each balance sheet date. Since the Company neither buys investment securities in anticipation of short-term fluctuations in market prices nor commits to holding debt securities to their maturities, investments in debt and marketable equity securities have been classified as available-for-sale. Available-for-sale securities are stated at fair value, and unrealized holding gains and losses, net of the related deferred tax effect, are reported as a separate component of accumulated other comprehensive income in stockholders’ equity. Premiums and discounts on investments in debt securities are amortized over their contractual lives. Interest on debt securities is recognized in income as accrued, and dividends on marketable equity securities are recognized in income when declared. Realized gains and losses are included in income and are determined on the basis of the specific securities sold.</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Property, Equipment and Depreciation</w:t>
      </w:r>
    </w:p>
    <w:p>
      <w:pPr>
        <w:spacing w:after="0" w:line="90" w:lineRule="exact"/>
        <w:rPr>
          <w:sz w:val="20"/>
          <w:szCs w:val="20"/>
          <w:color w:val="auto"/>
        </w:rPr>
      </w:pPr>
    </w:p>
    <w:p>
      <w:pPr>
        <w:ind w:right="240"/>
        <w:spacing w:after="0" w:line="268" w:lineRule="auto"/>
        <w:rPr>
          <w:sz w:val="20"/>
          <w:szCs w:val="20"/>
          <w:color w:val="auto"/>
        </w:rPr>
      </w:pPr>
      <w:r>
        <w:rPr>
          <w:rFonts w:ascii="Arial" w:cs="Arial" w:eastAsia="Arial" w:hAnsi="Arial"/>
          <w:sz w:val="18"/>
          <w:szCs w:val="18"/>
          <w:color w:val="auto"/>
        </w:rPr>
        <w:t>Expenditures for maintenance, repairs, and minor renewals are charged to expense as incurred. Major renewals and betterments are capitalized. Depreciation is provided primarily on the straight-line method over the following estimated useful lives:</w:t>
      </w:r>
    </w:p>
    <w:p>
      <w:pPr>
        <w:spacing w:after="0" w:line="172" w:lineRule="exact"/>
        <w:rPr>
          <w:sz w:val="20"/>
          <w:szCs w:val="20"/>
          <w:color w:val="auto"/>
        </w:rPr>
      </w:pPr>
    </w:p>
    <w:tbl>
      <w:tblPr>
        <w:tblLayout w:type="fixed"/>
        <w:tblInd w:w="1500" w:type="dxa"/>
        <w:tblCellMar>
          <w:top w:w="0" w:type="dxa"/>
          <w:left w:w="0" w:type="dxa"/>
          <w:bottom w:w="0" w:type="dxa"/>
          <w:right w:w="0" w:type="dxa"/>
        </w:tblCellMar>
      </w:tblP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Land improvements</w:t>
            </w:r>
          </w:p>
        </w:tc>
        <w:tc>
          <w:tcPr>
            <w:tcW w:w="3860" w:type="dxa"/>
            <w:vAlign w:val="bottom"/>
          </w:tcPr>
          <w:p>
            <w:pPr>
              <w:jc w:val="right"/>
              <w:spacing w:after="0"/>
              <w:rPr>
                <w:sz w:val="20"/>
                <w:szCs w:val="20"/>
                <w:color w:val="auto"/>
              </w:rPr>
            </w:pPr>
            <w:r>
              <w:rPr>
                <w:rFonts w:ascii="Arial" w:cs="Arial" w:eastAsia="Arial" w:hAnsi="Arial"/>
                <w:sz w:val="18"/>
                <w:szCs w:val="18"/>
                <w:color w:val="auto"/>
              </w:rPr>
              <w:t>10 years</w:t>
            </w: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Building structures</w:t>
            </w:r>
          </w:p>
        </w:tc>
        <w:tc>
          <w:tcPr>
            <w:tcW w:w="3860" w:type="dxa"/>
            <w:vAlign w:val="bottom"/>
          </w:tcPr>
          <w:p>
            <w:pPr>
              <w:jc w:val="right"/>
              <w:spacing w:after="0"/>
              <w:rPr>
                <w:sz w:val="20"/>
                <w:szCs w:val="20"/>
                <w:color w:val="auto"/>
              </w:rPr>
            </w:pPr>
            <w:r>
              <w:rPr>
                <w:rFonts w:ascii="Arial" w:cs="Arial" w:eastAsia="Arial" w:hAnsi="Arial"/>
                <w:sz w:val="18"/>
                <w:szCs w:val="18"/>
                <w:color w:val="auto"/>
              </w:rPr>
              <w:t>20 to 50 years</w:t>
            </w: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Building components</w:t>
            </w:r>
          </w:p>
        </w:tc>
        <w:tc>
          <w:tcPr>
            <w:tcW w:w="3860" w:type="dxa"/>
            <w:vAlign w:val="bottom"/>
          </w:tcPr>
          <w:p>
            <w:pPr>
              <w:jc w:val="right"/>
              <w:spacing w:after="0"/>
              <w:rPr>
                <w:sz w:val="20"/>
                <w:szCs w:val="20"/>
                <w:color w:val="auto"/>
              </w:rPr>
            </w:pPr>
            <w:r>
              <w:rPr>
                <w:rFonts w:ascii="Arial" w:cs="Arial" w:eastAsia="Arial" w:hAnsi="Arial"/>
                <w:sz w:val="18"/>
                <w:szCs w:val="18"/>
                <w:color w:val="auto"/>
              </w:rPr>
              <w:t>5 to 20 years</w:t>
            </w:r>
          </w:p>
        </w:tc>
      </w:tr>
      <w:tr>
        <w:trPr>
          <w:trHeight w:val="222"/>
        </w:trPr>
        <w:tc>
          <w:tcPr>
            <w:tcW w:w="4580" w:type="dxa"/>
            <w:vAlign w:val="bottom"/>
          </w:tcPr>
          <w:p>
            <w:pPr>
              <w:spacing w:after="0"/>
              <w:rPr>
                <w:sz w:val="20"/>
                <w:szCs w:val="20"/>
                <w:color w:val="auto"/>
              </w:rPr>
            </w:pPr>
            <w:r>
              <w:rPr>
                <w:rFonts w:ascii="Arial" w:cs="Arial" w:eastAsia="Arial" w:hAnsi="Arial"/>
                <w:sz w:val="18"/>
                <w:szCs w:val="18"/>
                <w:color w:val="auto"/>
              </w:rPr>
              <w:t>Furniture and equipment</w:t>
            </w:r>
          </w:p>
        </w:tc>
        <w:tc>
          <w:tcPr>
            <w:tcW w:w="3860" w:type="dxa"/>
            <w:vAlign w:val="bottom"/>
          </w:tcPr>
          <w:p>
            <w:pPr>
              <w:jc w:val="right"/>
              <w:spacing w:after="0"/>
              <w:rPr>
                <w:sz w:val="20"/>
                <w:szCs w:val="20"/>
                <w:color w:val="auto"/>
              </w:rPr>
            </w:pPr>
            <w:r>
              <w:rPr>
                <w:rFonts w:ascii="Arial" w:cs="Arial" w:eastAsia="Arial" w:hAnsi="Arial"/>
                <w:sz w:val="18"/>
                <w:szCs w:val="18"/>
                <w:color w:val="auto"/>
              </w:rPr>
              <w:t>3 to 10 years</w:t>
            </w:r>
          </w:p>
        </w:tc>
      </w:tr>
    </w:tbl>
    <w:p>
      <w:pPr>
        <w:spacing w:after="0" w:line="156"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 xml:space="preserve">In accordance with the provisions of Statement of Financial Accounting Standards No. 144, </w:t>
      </w:r>
      <w:r>
        <w:rPr>
          <w:rFonts w:ascii="Arial" w:cs="Arial" w:eastAsia="Arial" w:hAnsi="Arial"/>
          <w:sz w:val="18"/>
          <w:szCs w:val="18"/>
          <w:i w:val="1"/>
          <w:iCs w:val="1"/>
          <w:color w:val="auto"/>
        </w:rPr>
        <w:t>Accounting for the Impairment and Disposal of Long-Lived Assets</w:t>
      </w:r>
      <w:r>
        <w:rPr>
          <w:rFonts w:ascii="Arial" w:cs="Arial" w:eastAsia="Arial" w:hAnsi="Arial"/>
          <w:sz w:val="18"/>
          <w:szCs w:val="18"/>
          <w:color w:val="auto"/>
        </w:rPr>
        <w:t>, the Company periodically reviews long-lived assets when indications of impairment exist, and if the value of the assets is impaired, an impairment loss would be recognized.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Deferred Financing Costs</w:t>
      </w:r>
    </w:p>
    <w:p>
      <w:pPr>
        <w:spacing w:after="0" w:line="90" w:lineRule="exact"/>
        <w:rPr>
          <w:sz w:val="20"/>
          <w:szCs w:val="20"/>
          <w:color w:val="auto"/>
        </w:rPr>
      </w:pPr>
    </w:p>
    <w:p>
      <w:pPr>
        <w:ind w:right="240"/>
        <w:spacing w:after="0" w:line="259" w:lineRule="auto"/>
        <w:rPr>
          <w:sz w:val="20"/>
          <w:szCs w:val="20"/>
          <w:color w:val="auto"/>
        </w:rPr>
      </w:pPr>
      <w:r>
        <w:rPr>
          <w:rFonts w:ascii="Arial" w:cs="Arial" w:eastAsia="Arial" w:hAnsi="Arial"/>
          <w:sz w:val="18"/>
          <w:szCs w:val="18"/>
          <w:color w:val="auto"/>
        </w:rPr>
        <w:t>Costs associated with obtaining long-term financing have been deferred and are being amortized to interest expense on the interest method over the term of the related debt. Amortization of deferred financing costs during the years ended October 31, 2006, 2005 and 2004 was $161,734, $678,967 and $588,618, respectively.</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Reporting Comprehensive Income</w:t>
      </w:r>
    </w:p>
    <w:p>
      <w:pPr>
        <w:spacing w:after="0" w:line="90"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Comprehensive income is the total of net income and other comprehensive income. Other comprehensive income represents changes in equity, other than net income, from transactions and other events and circumstances from non-owner sources. Accordingly, comprehensive income includes all changes in equity during a period except those resulting from investments by stockholders and distributions to stockholders.</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- 62</w:t>
      </w:r>
    </w:p>
    <w:p>
      <w:pPr>
        <w:sectPr>
          <w:pgSz w:w="11900" w:h="16838" w:orient="portrait"/>
          <w:cols w:equalWidth="0" w:num="1">
            <w:col w:w="11420"/>
          </w:cols>
          <w:pgMar w:left="240" w:top="459" w:right="239" w:bottom="1440" w:gutter="0" w:footer="0" w:header="0"/>
        </w:sectPr>
      </w:pPr>
    </w:p>
    <w:bookmarkStart w:id="81" w:name="page82"/>
    <w:bookmarkEnd w:id="8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5100"/>
        <w:spacing w:after="0" w:line="262" w:lineRule="auto"/>
        <w:rPr>
          <w:sz w:val="20"/>
          <w:szCs w:val="20"/>
          <w:color w:val="auto"/>
        </w:rPr>
      </w:pPr>
      <w:r>
        <w:rPr>
          <w:rFonts w:ascii="Arial" w:cs="Arial" w:eastAsia="Arial" w:hAnsi="Arial"/>
          <w:sz w:val="18"/>
          <w:szCs w:val="18"/>
          <w:b w:val="1"/>
          <w:bCs w:val="1"/>
          <w:color w:val="auto"/>
        </w:rPr>
        <w:t>INTERNATIONAL HOME FURNISHINGS CENTER, INC. AND SUBSIDIARIES NOTES TO CONSOLIDATED FINANCIAL STATEMENTS October 31, 2006, 2005 and 2004</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B - SIGNIFICANT ACCOUNTING POLICIES (Continued)</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Derivative Instruments</w:t>
      </w:r>
    </w:p>
    <w:p>
      <w:pPr>
        <w:spacing w:after="0" w:line="9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may hold and issue derivative instruments for the purpose of hedging the risks related to the variability of cash flows caused by changes in interest rates. The Company’s objectives are to decrease the volatility of earnings and cash flows associated with changing interest rates by entering into interest rate floor and cap agreements that effectively limit the range of interest rate exposure on its debt (see Note D).</w:t>
      </w:r>
    </w:p>
    <w:p>
      <w:pPr>
        <w:spacing w:after="0" w:line="140" w:lineRule="exact"/>
        <w:rPr>
          <w:sz w:val="20"/>
          <w:szCs w:val="20"/>
          <w:color w:val="auto"/>
        </w:rPr>
      </w:pPr>
    </w:p>
    <w:p>
      <w:pPr>
        <w:ind w:right="60"/>
        <w:spacing w:after="0" w:line="256" w:lineRule="auto"/>
        <w:rPr>
          <w:sz w:val="20"/>
          <w:szCs w:val="20"/>
          <w:color w:val="auto"/>
        </w:rPr>
      </w:pPr>
      <w:r>
        <w:rPr>
          <w:rFonts w:ascii="Arial" w:cs="Arial" w:eastAsia="Arial" w:hAnsi="Arial"/>
          <w:sz w:val="18"/>
          <w:szCs w:val="18"/>
          <w:color w:val="auto"/>
        </w:rPr>
        <w:t xml:space="preserve">The Company designates its derivatives based upon criteria established by Statement of Financial Accounting Standards No. 133, </w:t>
      </w:r>
      <w:r>
        <w:rPr>
          <w:rFonts w:ascii="Arial" w:cs="Arial" w:eastAsia="Arial" w:hAnsi="Arial"/>
          <w:sz w:val="18"/>
          <w:szCs w:val="18"/>
          <w:i w:val="1"/>
          <w:iCs w:val="1"/>
          <w:color w:val="auto"/>
        </w:rPr>
        <w:t>Accounting for Derivative</w:t>
      </w:r>
      <w:r>
        <w:rPr>
          <w:rFonts w:ascii="Arial" w:cs="Arial" w:eastAsia="Arial" w:hAnsi="Arial"/>
          <w:sz w:val="18"/>
          <w:szCs w:val="18"/>
          <w:color w:val="auto"/>
        </w:rPr>
        <w:t xml:space="preserve"> </w:t>
      </w:r>
      <w:r>
        <w:rPr>
          <w:rFonts w:ascii="Arial" w:cs="Arial" w:eastAsia="Arial" w:hAnsi="Arial"/>
          <w:sz w:val="18"/>
          <w:szCs w:val="18"/>
          <w:i w:val="1"/>
          <w:iCs w:val="1"/>
          <w:color w:val="auto"/>
        </w:rPr>
        <w:t>Instruments and Hedging Activities</w:t>
      </w:r>
      <w:r>
        <w:rPr>
          <w:rFonts w:ascii="Arial" w:cs="Arial" w:eastAsia="Arial" w:hAnsi="Arial"/>
          <w:sz w:val="18"/>
          <w:szCs w:val="18"/>
          <w:color w:val="auto"/>
        </w:rPr>
        <w:t>. For a derivative designated as a cash flow hedge, the effective portion of the derivative’s gain or loss is initially reported as a</w:t>
      </w:r>
      <w:r>
        <w:rPr>
          <w:rFonts w:ascii="Arial" w:cs="Arial" w:eastAsia="Arial" w:hAnsi="Arial"/>
          <w:sz w:val="18"/>
          <w:szCs w:val="18"/>
          <w:i w:val="1"/>
          <w:iCs w:val="1"/>
          <w:color w:val="auto"/>
        </w:rPr>
        <w:t xml:space="preserve"> </w:t>
      </w:r>
      <w:r>
        <w:rPr>
          <w:rFonts w:ascii="Arial" w:cs="Arial" w:eastAsia="Arial" w:hAnsi="Arial"/>
          <w:sz w:val="18"/>
          <w:szCs w:val="18"/>
          <w:color w:val="auto"/>
        </w:rPr>
        <w:t>component of other comprehensive income net of tax and subsequently reclassified into earnings when the hedged exposure affects earnings. The ineffective portion of the gain or loss is reported in earnings immediately.</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Income Taxes</w:t>
      </w:r>
    </w:p>
    <w:p>
      <w:pPr>
        <w:spacing w:after="0" w:line="90" w:lineRule="exact"/>
        <w:rPr>
          <w:sz w:val="20"/>
          <w:szCs w:val="20"/>
          <w:color w:val="auto"/>
        </w:rPr>
      </w:pPr>
    </w:p>
    <w:p>
      <w:pPr>
        <w:ind w:right="220"/>
        <w:spacing w:after="0" w:line="298" w:lineRule="auto"/>
        <w:rPr>
          <w:sz w:val="20"/>
          <w:szCs w:val="20"/>
          <w:color w:val="auto"/>
        </w:rPr>
      </w:pPr>
      <w:r>
        <w:rPr>
          <w:rFonts w:ascii="Arial" w:cs="Arial" w:eastAsia="Arial" w:hAnsi="Arial"/>
          <w:sz w:val="16"/>
          <w:szCs w:val="16"/>
          <w:color w:val="auto"/>
        </w:rPr>
        <w:t>Income taxes are provided for the tax effects of transactions reported in the consolidated financial statements and consist of taxes currently due plus deferred taxes related to temporary differences between the reported amounts of assets and liabilities and their tax bases. The deferred tax assets and liabilities represent the future tax consequences of those differences, which will either be taxable or deductible when the assets and liabilities are recovered or settled. Deferred tax assets and liabilities are adjusted for the effects of changes in tax laws and rates on the date of enactment.</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Earnings Per Common Share</w:t>
      </w:r>
    </w:p>
    <w:p>
      <w:pPr>
        <w:spacing w:after="0" w:line="90" w:lineRule="exact"/>
        <w:rPr>
          <w:sz w:val="20"/>
          <w:szCs w:val="20"/>
          <w:color w:val="auto"/>
        </w:rPr>
      </w:pPr>
    </w:p>
    <w:p>
      <w:pPr>
        <w:ind w:right="400"/>
        <w:spacing w:after="0" w:line="298" w:lineRule="auto"/>
        <w:rPr>
          <w:sz w:val="20"/>
          <w:szCs w:val="20"/>
          <w:color w:val="auto"/>
        </w:rPr>
      </w:pPr>
      <w:r>
        <w:rPr>
          <w:rFonts w:ascii="Arial" w:cs="Arial" w:eastAsia="Arial" w:hAnsi="Arial"/>
          <w:sz w:val="16"/>
          <w:szCs w:val="16"/>
          <w:color w:val="auto"/>
        </w:rPr>
        <w:t xml:space="preserve">The Company follows the provisions of Statement of Financial Accounting Standards No. 128, </w:t>
      </w:r>
      <w:r>
        <w:rPr>
          <w:rFonts w:ascii="Arial" w:cs="Arial" w:eastAsia="Arial" w:hAnsi="Arial"/>
          <w:sz w:val="16"/>
          <w:szCs w:val="16"/>
          <w:i w:val="1"/>
          <w:iCs w:val="1"/>
          <w:color w:val="auto"/>
        </w:rPr>
        <w:t>Earnings Per Share</w:t>
      </w:r>
      <w:r>
        <w:rPr>
          <w:rFonts w:ascii="Arial" w:cs="Arial" w:eastAsia="Arial" w:hAnsi="Arial"/>
          <w:sz w:val="16"/>
          <w:szCs w:val="16"/>
          <w:color w:val="auto"/>
        </w:rPr>
        <w:t>, which specifies the computation, presentation and disclosure requirements for earnings per share (“EPS”). Basic EPS excludes all dilution and has been computed using the weighted average number of common shares outstanding during the year. Diluted EPS reflects the potential dilution that would occur if securities or other contracts to issue common stock were exercised or converted into common stock. The Company has no potential common shares.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Retirement Plans</w:t>
      </w:r>
    </w:p>
    <w:p>
      <w:pPr>
        <w:spacing w:after="0" w:line="90"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The Company maintains a 401(k) qualified retirement plan covering eligible employees under which participants may contribute up to 25% of their compensation subject to maximum allowable contributions. The Company is obligated to contribute, on a matching basis, 50% of the first 6% of compensation voluntarily contributed by participants. The Company may also make additional contributions to the plan if it so elects.</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 - 63</w:t>
      </w:r>
    </w:p>
    <w:p>
      <w:pPr>
        <w:sectPr>
          <w:pgSz w:w="11900" w:h="16838" w:orient="portrait"/>
          <w:cols w:equalWidth="0" w:num="1">
            <w:col w:w="11400"/>
          </w:cols>
          <w:pgMar w:left="240" w:top="459" w:right="259" w:bottom="1440" w:gutter="0" w:footer="0" w:header="0"/>
        </w:sectPr>
      </w:pPr>
    </w:p>
    <w:bookmarkStart w:id="82" w:name="page83"/>
    <w:bookmarkEnd w:id="8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5120"/>
        <w:spacing w:after="0" w:line="262" w:lineRule="auto"/>
        <w:rPr>
          <w:sz w:val="20"/>
          <w:szCs w:val="20"/>
          <w:color w:val="auto"/>
        </w:rPr>
      </w:pPr>
      <w:r>
        <w:rPr>
          <w:rFonts w:ascii="Arial" w:cs="Arial" w:eastAsia="Arial" w:hAnsi="Arial"/>
          <w:sz w:val="18"/>
          <w:szCs w:val="18"/>
          <w:b w:val="1"/>
          <w:bCs w:val="1"/>
          <w:color w:val="auto"/>
        </w:rPr>
        <w:t>INTERNATIONAL HOME FURNISHINGS CENTER, INC. AND SUBSIDIARIES NOTES TO CONSOLIDATED FINANCIAL STATEMENTS October 31, 2006, 2005 and 2004</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B - SIGNIFICANT ACCOUNTING POLICIES (Continued)</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Retirement Plans (Continued)</w:t>
      </w:r>
    </w:p>
    <w:p>
      <w:pPr>
        <w:spacing w:after="0" w:line="90" w:lineRule="exact"/>
        <w:rPr>
          <w:sz w:val="20"/>
          <w:szCs w:val="20"/>
          <w:color w:val="auto"/>
        </w:rPr>
      </w:pPr>
    </w:p>
    <w:p>
      <w:pPr>
        <w:ind w:right="80"/>
        <w:spacing w:after="0" w:line="298" w:lineRule="auto"/>
        <w:rPr>
          <w:sz w:val="20"/>
          <w:szCs w:val="20"/>
          <w:color w:val="auto"/>
        </w:rPr>
      </w:pPr>
      <w:r>
        <w:rPr>
          <w:rFonts w:ascii="Arial" w:cs="Arial" w:eastAsia="Arial" w:hAnsi="Arial"/>
          <w:sz w:val="16"/>
          <w:szCs w:val="16"/>
          <w:color w:val="auto"/>
        </w:rPr>
        <w:t>In 1991, the Company adopted a nonqualified supplemental retirement benefits plan for key management employees. Benefits payable under the plan are based upon 60% of the participant’s average compensation during his or her last five years of employment and are reduced by benefits payable under the Company’s qualified retirement plan and by one-half of the participant’s social security benefits. Benefits under the plan do not vest until the attainment of normal retirement age; however, a reduced benefit is payable if employment terminates prior to normal retirement age because of death or disability.</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Fair Value of Financial Instruments</w:t>
      </w:r>
    </w:p>
    <w:p>
      <w:pPr>
        <w:spacing w:after="0" w:line="90"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The carrying amounts of the Company’s significant financial instruments, none of which are held for trading purposes, approximate fair value at October 31, 2006 and 2005. Cash and cash equivalents, restricted cash, trade receivables, trade payables, accrued property taxes, other accrued expenses, and income taxes payable approximate fair value because of the short maturities of these instruments. Variable rate long-term debt approximates fair value because of its floating interest rate terms. Fixed rate long-term debt approximates fair value because the interest rate approximates current rates available in the market for loans of similar terms and risks.</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Use of Estimates</w:t>
      </w:r>
    </w:p>
    <w:p>
      <w:pPr>
        <w:spacing w:after="0" w:line="90" w:lineRule="exact"/>
        <w:rPr>
          <w:sz w:val="20"/>
          <w:szCs w:val="20"/>
          <w:color w:val="auto"/>
        </w:rPr>
      </w:pPr>
    </w:p>
    <w:p>
      <w:pPr>
        <w:ind w:right="140"/>
        <w:spacing w:after="0" w:line="256" w:lineRule="auto"/>
        <w:rPr>
          <w:sz w:val="20"/>
          <w:szCs w:val="20"/>
          <w:color w:val="auto"/>
        </w:rPr>
      </w:pPr>
      <w:r>
        <w:rPr>
          <w:rFonts w:ascii="Arial" w:cs="Arial" w:eastAsia="Arial" w:hAnsi="Arial"/>
          <w:sz w:val="18"/>
          <w:szCs w:val="18"/>
          <w:color w:val="auto"/>
        </w:rPr>
        <w:t>The preparation of consolidated financial statements in conformity with accounting principles generally accepted in the United States of America requires management to make estimates and assumptions that affect the reported amounts of assets and liabilities and the disclosure of contingent assets and liabilities at the date of the consolidated financial statements and the reported amounts of revenues and expenses during the reporting period. Actual results could differ from those estimates.</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Recent Accounting Pronouncements</w:t>
      </w:r>
    </w:p>
    <w:p>
      <w:pPr>
        <w:spacing w:after="0" w:line="90"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In September 2006, FASB issued SFAS No. 158 “Employers’ Accounting for Defined Benefit Pension and Other Postretirement Plans” (SFAS No. 158), an amendment of FASB Statements No. 87, 88, 106, and 132 (R). For fiscal years ending after December 15, 2006, SFAS No. 158 requires an employer to recognize the funded status of a benefit plan on its balance sheet and to recognize the gains or losses and prior service costs, not already recognized, as a component of other comprehensive income, net of taxes. SFAS No. 158 also requires that the defined benefit plan assets and obligations be measured as of the date of the employer’s fiscal year-end balance sheet effective for fiscal years ending after December 15, 2008. At October 31, 2006, the Company’s nonqualified supplemental retirement plan was underfunded by approximately $2.3 million, of which approximately $2 million was recorded in other liabilities. Had the Company adopted SFAS No. 158 as of October 31, 2006, approximately $300,000 would have been recognized as an additional liability. A similar amount is expected for October 31, 2007, which will be recorded as a liability under SFAS No. 158.</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- 64</w:t>
      </w:r>
    </w:p>
    <w:p>
      <w:pPr>
        <w:sectPr>
          <w:pgSz w:w="11900" w:h="16838" w:orient="portrait"/>
          <w:cols w:equalWidth="0" w:num="1">
            <w:col w:w="11420"/>
          </w:cols>
          <w:pgMar w:left="240" w:top="459" w:right="239" w:bottom="1440" w:gutter="0" w:footer="0" w:header="0"/>
        </w:sectPr>
      </w:pPr>
    </w:p>
    <w:bookmarkStart w:id="83" w:name="page84"/>
    <w:bookmarkEnd w:id="8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5080"/>
        <w:spacing w:after="0" w:line="262" w:lineRule="auto"/>
        <w:rPr>
          <w:sz w:val="20"/>
          <w:szCs w:val="20"/>
          <w:color w:val="auto"/>
        </w:rPr>
      </w:pPr>
      <w:r>
        <w:rPr>
          <w:rFonts w:ascii="Arial" w:cs="Arial" w:eastAsia="Arial" w:hAnsi="Arial"/>
          <w:sz w:val="18"/>
          <w:szCs w:val="18"/>
          <w:b w:val="1"/>
          <w:bCs w:val="1"/>
          <w:color w:val="auto"/>
        </w:rPr>
        <w:t>INTERNATIONAL HOME FURNISHINGS CENTER, INC. AND SUBSIDIARIES NOTES TO CONSOLIDATED FINANCIAL STATEMENTS October 31, 2006, 2005 and 2004</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B - SIGNIFICANT ACCOUNTING POLICIES (Continued)</w:t>
      </w:r>
    </w:p>
    <w:p>
      <w:pPr>
        <w:spacing w:after="0" w:line="177"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FASB Interpretation No. 48 “Accounting for Uncertainty in Income Taxes” (FIN No. 48) was issued in June 2006 to clarify the accounting for uncertainty in income taxes recognized in the financial statements in accordance with SFAS No. 109 “Accounting for Income Taxes”. The interpretation defines a criterion that an individual tax position must meet for any part of the benefit of that position to be recognized in the financial statements. It also provides guidance on measurement, derecognition, classification, interest and penalties, accounting in interim periods, disclosure and transition. The Interpretation is effective for fiscal years beginning after December 15, 2006. The Company has not determined the effect, if any, that the adoption of FIN No. 48 will have on the Company’s financial position or results of operation.</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C - SHORT-TERM INVESTMENTS</w:t>
      </w:r>
    </w:p>
    <w:p>
      <w:pPr>
        <w:spacing w:after="0" w:line="96" w:lineRule="exact"/>
        <w:rPr>
          <w:sz w:val="20"/>
          <w:szCs w:val="20"/>
          <w:color w:val="auto"/>
        </w:rPr>
      </w:pPr>
    </w:p>
    <w:p>
      <w:pPr>
        <w:ind w:right="280"/>
        <w:spacing w:after="0" w:line="256" w:lineRule="auto"/>
        <w:rPr>
          <w:sz w:val="20"/>
          <w:szCs w:val="20"/>
          <w:color w:val="auto"/>
        </w:rPr>
      </w:pPr>
      <w:r>
        <w:rPr>
          <w:rFonts w:ascii="Arial" w:cs="Arial" w:eastAsia="Arial" w:hAnsi="Arial"/>
          <w:sz w:val="18"/>
          <w:szCs w:val="18"/>
          <w:color w:val="auto"/>
        </w:rPr>
        <w:t>The Company’s short-term investments in available-for-sale securities consist of debt and marketable equity securities. Debt securities consist primarily of variable rate obligations of state and local governments and U. S. corporations with short-term maturities ranging from seven to 39 days. Marketable equity securities consist primarily of investments in mutual funds. Fair market value of short-term investments approximates amortized cost at October 31, 2006 and 2005.</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20" w:type="dxa"/>
            <w:vAlign w:val="bottom"/>
          </w:tcPr>
          <w:p>
            <w:pPr>
              <w:spacing w:after="0"/>
              <w:rPr>
                <w:sz w:val="14"/>
                <w:szCs w:val="14"/>
                <w:color w:val="auto"/>
              </w:rPr>
            </w:pPr>
          </w:p>
        </w:tc>
        <w:tc>
          <w:tcPr>
            <w:tcW w:w="75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980" w:type="dxa"/>
            <w:vAlign w:val="bottom"/>
            <w:tcBorders>
              <w:bottom w:val="single" w:sz="8" w:color="auto"/>
            </w:tcBorders>
            <w:gridSpan w:val="5"/>
          </w:tcPr>
          <w:p>
            <w:pPr>
              <w:jc w:val="right"/>
              <w:ind w:right="442"/>
              <w:spacing w:after="0"/>
              <w:rPr>
                <w:sz w:val="20"/>
                <w:szCs w:val="20"/>
                <w:color w:val="auto"/>
              </w:rPr>
            </w:pPr>
            <w:r>
              <w:rPr>
                <w:rFonts w:ascii="Arial" w:cs="Arial" w:eastAsia="Arial" w:hAnsi="Arial"/>
                <w:sz w:val="14"/>
                <w:szCs w:val="14"/>
                <w:b w:val="1"/>
                <w:bCs w:val="1"/>
                <w:color w:val="auto"/>
              </w:rPr>
              <w:t>Amortized Cost</w:t>
            </w:r>
          </w:p>
        </w:tc>
        <w:tc>
          <w:tcPr>
            <w:tcW w:w="0" w:type="dxa"/>
            <w:vAlign w:val="bottom"/>
          </w:tcPr>
          <w:p>
            <w:pPr>
              <w:spacing w:after="0"/>
              <w:rPr>
                <w:sz w:val="1"/>
                <w:szCs w:val="1"/>
                <w:color w:val="auto"/>
              </w:rPr>
            </w:pPr>
          </w:p>
        </w:tc>
      </w:tr>
      <w:tr>
        <w:trPr>
          <w:trHeight w:val="142"/>
        </w:trPr>
        <w:tc>
          <w:tcPr>
            <w:tcW w:w="920" w:type="dxa"/>
            <w:vAlign w:val="bottom"/>
          </w:tcPr>
          <w:p>
            <w:pPr>
              <w:spacing w:after="0"/>
              <w:rPr>
                <w:sz w:val="12"/>
                <w:szCs w:val="12"/>
                <w:color w:val="auto"/>
              </w:rPr>
            </w:pPr>
          </w:p>
        </w:tc>
        <w:tc>
          <w:tcPr>
            <w:tcW w:w="7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Borders>
              <w:bottom w:val="single" w:sz="8" w:color="auto"/>
            </w:tcBorders>
          </w:tcPr>
          <w:p>
            <w:pPr>
              <w:jc w:val="center"/>
              <w:ind w:left="26"/>
              <w:spacing w:after="0" w:line="142" w:lineRule="exact"/>
              <w:rPr>
                <w:sz w:val="20"/>
                <w:szCs w:val="20"/>
                <w:color w:val="auto"/>
              </w:rPr>
            </w:pPr>
            <w:r>
              <w:rPr>
                <w:rFonts w:ascii="Arial" w:cs="Arial" w:eastAsia="Arial" w:hAnsi="Arial"/>
                <w:sz w:val="14"/>
                <w:szCs w:val="14"/>
                <w:b w:val="1"/>
                <w:bCs w:val="1"/>
                <w:color w:val="auto"/>
                <w:w w:val="83"/>
              </w:rPr>
              <w:t>2006</w:t>
            </w:r>
          </w:p>
        </w:tc>
        <w:tc>
          <w:tcPr>
            <w:tcW w:w="80" w:type="dxa"/>
            <w:vAlign w:val="bottom"/>
            <w:tcBorders>
              <w:bottom w:val="single" w:sz="8" w:color="auto"/>
            </w:tcBorders>
          </w:tcPr>
          <w:p>
            <w:pPr>
              <w:spacing w:after="0"/>
              <w:rPr>
                <w:sz w:val="12"/>
                <w:szCs w:val="12"/>
                <w:color w:val="auto"/>
              </w:rPr>
            </w:pPr>
          </w:p>
        </w:tc>
        <w:tc>
          <w:tcPr>
            <w:tcW w:w="380" w:type="dxa"/>
            <w:vAlign w:val="bottom"/>
            <w:gridSpan w:val="2"/>
          </w:tcPr>
          <w:p>
            <w:pPr>
              <w:spacing w:after="0"/>
              <w:rPr>
                <w:sz w:val="12"/>
                <w:szCs w:val="12"/>
                <w:color w:val="auto"/>
              </w:rPr>
            </w:pPr>
          </w:p>
        </w:tc>
        <w:tc>
          <w:tcPr>
            <w:tcW w:w="800" w:type="dxa"/>
            <w:vAlign w:val="bottom"/>
            <w:tcBorders>
              <w:bottom w:val="single" w:sz="8" w:color="auto"/>
            </w:tcBorders>
          </w:tcPr>
          <w:p>
            <w:pPr>
              <w:jc w:val="right"/>
              <w:ind w:right="182"/>
              <w:spacing w:after="0" w:line="142" w:lineRule="exact"/>
              <w:rPr>
                <w:sz w:val="20"/>
                <w:szCs w:val="20"/>
                <w:color w:val="auto"/>
              </w:rPr>
            </w:pPr>
            <w:r>
              <w:rPr>
                <w:rFonts w:ascii="Arial" w:cs="Arial" w:eastAsia="Arial" w:hAnsi="Arial"/>
                <w:sz w:val="14"/>
                <w:szCs w:val="14"/>
                <w:b w:val="1"/>
                <w:bCs w:val="1"/>
                <w:color w:val="auto"/>
              </w:rPr>
              <w:t>2005</w:t>
            </w:r>
          </w:p>
        </w:tc>
        <w:tc>
          <w:tcPr>
            <w:tcW w:w="0" w:type="dxa"/>
            <w:vAlign w:val="bottom"/>
          </w:tcPr>
          <w:p>
            <w:pPr>
              <w:spacing w:after="0"/>
              <w:rPr>
                <w:sz w:val="1"/>
                <w:szCs w:val="1"/>
                <w:color w:val="auto"/>
              </w:rPr>
            </w:pPr>
          </w:p>
        </w:tc>
      </w:tr>
      <w:tr>
        <w:trPr>
          <w:trHeight w:val="210"/>
        </w:trPr>
        <w:tc>
          <w:tcPr>
            <w:tcW w:w="920" w:type="dxa"/>
            <w:vAlign w:val="bottom"/>
          </w:tcPr>
          <w:p>
            <w:pPr>
              <w:spacing w:after="0"/>
              <w:rPr>
                <w:sz w:val="18"/>
                <w:szCs w:val="18"/>
                <w:color w:val="auto"/>
              </w:rPr>
            </w:pPr>
          </w:p>
        </w:tc>
        <w:tc>
          <w:tcPr>
            <w:tcW w:w="7520" w:type="dxa"/>
            <w:vAlign w:val="bottom"/>
            <w:shd w:val="clear" w:color="auto" w:fill="CCEEFF"/>
          </w:tcPr>
          <w:p>
            <w:pPr>
              <w:spacing w:after="0"/>
              <w:rPr>
                <w:sz w:val="20"/>
                <w:szCs w:val="20"/>
                <w:color w:val="auto"/>
              </w:rPr>
            </w:pPr>
            <w:r>
              <w:rPr>
                <w:rFonts w:ascii="Arial" w:cs="Arial" w:eastAsia="Arial" w:hAnsi="Arial"/>
                <w:sz w:val="18"/>
                <w:szCs w:val="18"/>
                <w:color w:val="auto"/>
              </w:rPr>
              <w:t>Debt securities</w:t>
            </w:r>
          </w:p>
        </w:tc>
        <w:tc>
          <w:tcPr>
            <w:tcW w:w="880" w:type="dxa"/>
            <w:vAlign w:val="bottom"/>
            <w:gridSpan w:val="3"/>
            <w:shd w:val="clear" w:color="auto" w:fill="CCEEFF"/>
          </w:tcPr>
          <w:p>
            <w:pPr>
              <w:jc w:val="center"/>
              <w:spacing w:after="0"/>
              <w:rPr>
                <w:sz w:val="20"/>
                <w:szCs w:val="20"/>
                <w:color w:val="auto"/>
              </w:rPr>
            </w:pPr>
            <w:r>
              <w:rPr>
                <w:rFonts w:ascii="Arial" w:cs="Arial" w:eastAsia="Arial" w:hAnsi="Arial"/>
                <w:sz w:val="18"/>
                <w:szCs w:val="18"/>
                <w:color w:val="auto"/>
                <w:w w:val="88"/>
              </w:rPr>
              <w:t>$1,041,745</w:t>
            </w:r>
          </w:p>
        </w:tc>
        <w:tc>
          <w:tcPr>
            <w:tcW w:w="11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$7,102,731</w:t>
            </w:r>
          </w:p>
        </w:tc>
        <w:tc>
          <w:tcPr>
            <w:tcW w:w="0" w:type="dxa"/>
            <w:vAlign w:val="bottom"/>
          </w:tcPr>
          <w:p>
            <w:pPr>
              <w:spacing w:after="0"/>
              <w:rPr>
                <w:sz w:val="1"/>
                <w:szCs w:val="1"/>
                <w:color w:val="auto"/>
              </w:rPr>
            </w:pPr>
          </w:p>
        </w:tc>
      </w:tr>
      <w:tr>
        <w:trPr>
          <w:trHeight w:val="223"/>
        </w:trPr>
        <w:tc>
          <w:tcPr>
            <w:tcW w:w="920" w:type="dxa"/>
            <w:vAlign w:val="bottom"/>
          </w:tcPr>
          <w:p>
            <w:pPr>
              <w:spacing w:after="0"/>
              <w:rPr>
                <w:sz w:val="19"/>
                <w:szCs w:val="19"/>
                <w:color w:val="auto"/>
              </w:rPr>
            </w:pPr>
          </w:p>
        </w:tc>
        <w:tc>
          <w:tcPr>
            <w:tcW w:w="7520" w:type="dxa"/>
            <w:vAlign w:val="bottom"/>
          </w:tcPr>
          <w:p>
            <w:pPr>
              <w:spacing w:after="0"/>
              <w:rPr>
                <w:sz w:val="20"/>
                <w:szCs w:val="20"/>
                <w:color w:val="auto"/>
              </w:rPr>
            </w:pPr>
            <w:r>
              <w:rPr>
                <w:rFonts w:ascii="Arial" w:cs="Arial" w:eastAsia="Arial" w:hAnsi="Arial"/>
                <w:sz w:val="18"/>
                <w:szCs w:val="18"/>
                <w:color w:val="auto"/>
              </w:rPr>
              <w:t>Equity securities</w:t>
            </w:r>
          </w:p>
        </w:tc>
        <w:tc>
          <w:tcPr>
            <w:tcW w:w="80" w:type="dxa"/>
            <w:vAlign w:val="bottom"/>
          </w:tcPr>
          <w:p>
            <w:pPr>
              <w:spacing w:after="0"/>
              <w:rPr>
                <w:sz w:val="19"/>
                <w:szCs w:val="19"/>
                <w:color w:val="auto"/>
              </w:rPr>
            </w:pPr>
          </w:p>
        </w:tc>
        <w:tc>
          <w:tcPr>
            <w:tcW w:w="80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8"/>
                <w:szCs w:val="18"/>
                <w:color w:val="auto"/>
              </w:rPr>
              <w:t>—</w:t>
            </w:r>
          </w:p>
        </w:tc>
        <w:tc>
          <w:tcPr>
            <w:tcW w:w="380" w:type="dxa"/>
            <w:vAlign w:val="bottom"/>
            <w:gridSpan w:val="2"/>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120,453</w:t>
            </w: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752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center"/>
              <w:spacing w:after="0"/>
              <w:rPr>
                <w:sz w:val="20"/>
                <w:szCs w:val="20"/>
                <w:color w:val="auto"/>
              </w:rPr>
            </w:pPr>
            <w:r>
              <w:rPr>
                <w:rFonts w:ascii="Arial" w:cs="Arial" w:eastAsia="Arial" w:hAnsi="Arial"/>
                <w:sz w:val="18"/>
                <w:szCs w:val="18"/>
                <w:u w:val="single" w:color="auto"/>
                <w:color w:val="auto"/>
                <w:w w:val="88"/>
              </w:rPr>
              <w:t>$</w:t>
            </w:r>
            <w:r>
              <w:rPr>
                <w:rFonts w:ascii="Arial" w:cs="Arial" w:eastAsia="Arial" w:hAnsi="Arial"/>
                <w:sz w:val="18"/>
                <w:szCs w:val="18"/>
                <w:color w:val="auto"/>
                <w:w w:val="88"/>
              </w:rPr>
              <w:t>1,041,745</w:t>
            </w:r>
          </w:p>
        </w:tc>
        <w:tc>
          <w:tcPr>
            <w:tcW w:w="1180" w:type="dxa"/>
            <w:vAlign w:val="bottom"/>
            <w:gridSpan w:val="3"/>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7,223,184</w:t>
            </w:r>
          </w:p>
        </w:tc>
        <w:tc>
          <w:tcPr>
            <w:tcW w:w="0" w:type="dxa"/>
            <w:vAlign w:val="bottom"/>
          </w:tcPr>
          <w:p>
            <w:pPr>
              <w:spacing w:after="0"/>
              <w:rPr>
                <w:sz w:val="1"/>
                <w:szCs w:val="1"/>
                <w:color w:val="auto"/>
              </w:rPr>
            </w:pPr>
          </w:p>
        </w:tc>
      </w:tr>
      <w:tr>
        <w:trPr>
          <w:trHeight w:val="20"/>
        </w:trPr>
        <w:tc>
          <w:tcPr>
            <w:tcW w:w="84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NOTE D - LONG-TERM DEBT</w:t>
            </w:r>
          </w:p>
        </w:tc>
        <w:tc>
          <w:tcPr>
            <w:tcW w:w="8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1"/>
        </w:trPr>
        <w:tc>
          <w:tcPr>
            <w:tcW w:w="8440" w:type="dxa"/>
            <w:vAlign w:val="bottom"/>
            <w:gridSpan w:val="2"/>
            <w:vMerge w:val="continue"/>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8440" w:type="dxa"/>
            <w:vAlign w:val="bottom"/>
            <w:gridSpan w:val="2"/>
          </w:tcPr>
          <w:p>
            <w:pPr>
              <w:spacing w:after="0"/>
              <w:rPr>
                <w:sz w:val="20"/>
                <w:szCs w:val="20"/>
                <w:color w:val="auto"/>
              </w:rPr>
            </w:pPr>
            <w:r>
              <w:rPr>
                <w:rFonts w:ascii="Arial" w:cs="Arial" w:eastAsia="Arial" w:hAnsi="Arial"/>
                <w:sz w:val="18"/>
                <w:szCs w:val="18"/>
                <w:color w:val="auto"/>
              </w:rPr>
              <w:t>Long-term debt consists of the following at October 31, 2006 and 2005:</w:t>
            </w: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3"/>
        </w:trPr>
        <w:tc>
          <w:tcPr>
            <w:tcW w:w="920" w:type="dxa"/>
            <w:vAlign w:val="bottom"/>
          </w:tcPr>
          <w:p>
            <w:pPr>
              <w:spacing w:after="0"/>
              <w:rPr>
                <w:sz w:val="24"/>
                <w:szCs w:val="24"/>
                <w:color w:val="auto"/>
              </w:rPr>
            </w:pPr>
          </w:p>
        </w:tc>
        <w:tc>
          <w:tcPr>
            <w:tcW w:w="7520" w:type="dxa"/>
            <w:vAlign w:val="bottom"/>
          </w:tcPr>
          <w:p>
            <w:pPr>
              <w:spacing w:after="0"/>
              <w:rPr>
                <w:sz w:val="24"/>
                <w:szCs w:val="24"/>
                <w:color w:val="auto"/>
              </w:rPr>
            </w:pPr>
          </w:p>
        </w:tc>
        <w:tc>
          <w:tcPr>
            <w:tcW w:w="800" w:type="dxa"/>
            <w:vAlign w:val="bottom"/>
            <w:gridSpan w:val="2"/>
          </w:tcPr>
          <w:p>
            <w:pPr>
              <w:jc w:val="right"/>
              <w:ind w:right="206"/>
              <w:spacing w:after="0"/>
              <w:rPr>
                <w:sz w:val="20"/>
                <w:szCs w:val="20"/>
                <w:color w:val="auto"/>
              </w:rPr>
            </w:pPr>
            <w:r>
              <w:rPr>
                <w:rFonts w:ascii="Arial" w:cs="Arial" w:eastAsia="Arial" w:hAnsi="Arial"/>
                <w:sz w:val="14"/>
                <w:szCs w:val="14"/>
                <w:b w:val="1"/>
                <w:bCs w:val="1"/>
                <w:color w:val="auto"/>
              </w:rPr>
              <w:t>2006</w:t>
            </w:r>
          </w:p>
        </w:tc>
        <w:tc>
          <w:tcPr>
            <w:tcW w:w="80" w:type="dxa"/>
            <w:vAlign w:val="bottom"/>
          </w:tcPr>
          <w:p>
            <w:pPr>
              <w:spacing w:after="0"/>
              <w:rPr>
                <w:sz w:val="24"/>
                <w:szCs w:val="24"/>
                <w:color w:val="auto"/>
              </w:rPr>
            </w:pPr>
          </w:p>
        </w:tc>
        <w:tc>
          <w:tcPr>
            <w:tcW w:w="1180" w:type="dxa"/>
            <w:vAlign w:val="bottom"/>
            <w:gridSpan w:val="3"/>
          </w:tcPr>
          <w:p>
            <w:pPr>
              <w:jc w:val="right"/>
              <w:ind w:right="222"/>
              <w:spacing w:after="0"/>
              <w:rPr>
                <w:sz w:val="20"/>
                <w:szCs w:val="20"/>
                <w:color w:val="auto"/>
              </w:rPr>
            </w:pPr>
            <w:r>
              <w:rPr>
                <w:rFonts w:ascii="Arial" w:cs="Arial" w:eastAsia="Arial" w:hAnsi="Arial"/>
                <w:sz w:val="14"/>
                <w:szCs w:val="14"/>
                <w:b w:val="1"/>
                <w:bCs w:val="1"/>
                <w:color w:val="auto"/>
              </w:rPr>
              <w:t>2005</w:t>
            </w:r>
          </w:p>
        </w:tc>
        <w:tc>
          <w:tcPr>
            <w:tcW w:w="0" w:type="dxa"/>
            <w:vAlign w:val="bottom"/>
          </w:tcPr>
          <w:p>
            <w:pPr>
              <w:spacing w:after="0"/>
              <w:rPr>
                <w:sz w:val="1"/>
                <w:szCs w:val="1"/>
                <w:color w:val="auto"/>
              </w:rPr>
            </w:pPr>
          </w:p>
        </w:tc>
      </w:tr>
      <w:tr>
        <w:trPr>
          <w:trHeight w:val="201"/>
        </w:trPr>
        <w:tc>
          <w:tcPr>
            <w:tcW w:w="920" w:type="dxa"/>
            <w:vAlign w:val="bottom"/>
          </w:tcPr>
          <w:p>
            <w:pPr>
              <w:spacing w:after="0"/>
              <w:rPr>
                <w:sz w:val="17"/>
                <w:szCs w:val="17"/>
                <w:color w:val="auto"/>
              </w:rPr>
            </w:pPr>
          </w:p>
        </w:tc>
        <w:tc>
          <w:tcPr>
            <w:tcW w:w="75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IXIS Real Estate Capital, Inc.</w:t>
            </w:r>
          </w:p>
        </w:tc>
        <w:tc>
          <w:tcPr>
            <w:tcW w:w="80" w:type="dxa"/>
            <w:vAlign w:val="bottom"/>
            <w:tcBorders>
              <w:top w:val="single" w:sz="8" w:color="auto"/>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7520" w:type="dxa"/>
            <w:vAlign w:val="bottom"/>
            <w:shd w:val="clear" w:color="auto" w:fill="CCEEFF"/>
          </w:tcPr>
          <w:p>
            <w:pPr>
              <w:spacing w:after="0"/>
              <w:rPr>
                <w:sz w:val="20"/>
                <w:szCs w:val="20"/>
                <w:color w:val="auto"/>
              </w:rPr>
            </w:pPr>
            <w:r>
              <w:rPr>
                <w:rFonts w:ascii="Arial" w:cs="Arial" w:eastAsia="Arial" w:hAnsi="Arial"/>
                <w:sz w:val="18"/>
                <w:szCs w:val="18"/>
                <w:color w:val="auto"/>
                <w:w w:val="96"/>
              </w:rPr>
              <w:t>Revolving credit agreement with a maximum availability of $25,000,000, maturing on November 1,</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920" w:type="dxa"/>
            <w:vAlign w:val="bottom"/>
          </w:tcPr>
          <w:p>
            <w:pPr>
              <w:spacing w:after="0"/>
              <w:rPr>
                <w:sz w:val="20"/>
                <w:szCs w:val="20"/>
                <w:color w:val="auto"/>
              </w:rPr>
            </w:pPr>
          </w:p>
        </w:tc>
        <w:tc>
          <w:tcPr>
            <w:tcW w:w="7520" w:type="dxa"/>
            <w:vAlign w:val="bottom"/>
            <w:shd w:val="clear" w:color="auto" w:fill="CCEEFF"/>
          </w:tcPr>
          <w:p>
            <w:pPr>
              <w:ind w:left="220"/>
              <w:spacing w:after="0"/>
              <w:rPr>
                <w:sz w:val="20"/>
                <w:szCs w:val="20"/>
                <w:color w:val="auto"/>
              </w:rPr>
            </w:pPr>
            <w:r>
              <w:rPr>
                <w:rFonts w:ascii="Arial" w:cs="Arial" w:eastAsia="Arial" w:hAnsi="Arial"/>
                <w:sz w:val="18"/>
                <w:szCs w:val="18"/>
                <w:color w:val="auto"/>
                <w:w w:val="98"/>
              </w:rPr>
              <w:t>2010. Interest is payable monthly at the LIBOR rate plus .6% (5.9229% at October 31, 2006).</w:t>
            </w:r>
          </w:p>
        </w:tc>
        <w:tc>
          <w:tcPr>
            <w:tcW w:w="88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w w:val="86"/>
              </w:rPr>
              <w:t>$6,000,000</w:t>
            </w:r>
          </w:p>
        </w:tc>
        <w:tc>
          <w:tcPr>
            <w:tcW w:w="11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$ 11,000,000</w:t>
            </w:r>
          </w:p>
        </w:tc>
        <w:tc>
          <w:tcPr>
            <w:tcW w:w="0" w:type="dxa"/>
            <w:vAlign w:val="bottom"/>
          </w:tcPr>
          <w:p>
            <w:pPr>
              <w:spacing w:after="0"/>
              <w:rPr>
                <w:sz w:val="1"/>
                <w:szCs w:val="1"/>
                <w:color w:val="auto"/>
              </w:rPr>
            </w:pPr>
          </w:p>
        </w:tc>
      </w:tr>
      <w:tr>
        <w:trPr>
          <w:trHeight w:val="363"/>
        </w:trPr>
        <w:tc>
          <w:tcPr>
            <w:tcW w:w="920" w:type="dxa"/>
            <w:vAlign w:val="bottom"/>
          </w:tcPr>
          <w:p>
            <w:pPr>
              <w:spacing w:after="0"/>
              <w:rPr>
                <w:sz w:val="24"/>
                <w:szCs w:val="24"/>
                <w:color w:val="auto"/>
              </w:rPr>
            </w:pPr>
          </w:p>
        </w:tc>
        <w:tc>
          <w:tcPr>
            <w:tcW w:w="7520" w:type="dxa"/>
            <w:vAlign w:val="bottom"/>
          </w:tcPr>
          <w:p>
            <w:pPr>
              <w:ind w:left="4580"/>
              <w:spacing w:after="0"/>
              <w:rPr>
                <w:sz w:val="20"/>
                <w:szCs w:val="20"/>
                <w:color w:val="auto"/>
              </w:rPr>
            </w:pPr>
            <w:r>
              <w:rPr>
                <w:rFonts w:ascii="Arial" w:cs="Arial" w:eastAsia="Arial" w:hAnsi="Arial"/>
                <w:sz w:val="18"/>
                <w:szCs w:val="18"/>
                <w:color w:val="auto"/>
              </w:rPr>
              <w:t>F - 65</w:t>
            </w: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80"/>
          </w:cols>
          <w:pgMar w:left="240" w:top="459" w:right="279" w:bottom="1440" w:gutter="0" w:footer="0" w:header="0"/>
        </w:sectPr>
      </w:pPr>
    </w:p>
    <w:bookmarkStart w:id="84" w:name="page85"/>
    <w:bookmarkEnd w:id="8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5120"/>
        <w:spacing w:after="0" w:line="262" w:lineRule="auto"/>
        <w:rPr>
          <w:sz w:val="20"/>
          <w:szCs w:val="20"/>
          <w:color w:val="auto"/>
        </w:rPr>
      </w:pPr>
      <w:r>
        <w:rPr>
          <w:rFonts w:ascii="Arial" w:cs="Arial" w:eastAsia="Arial" w:hAnsi="Arial"/>
          <w:sz w:val="18"/>
          <w:szCs w:val="18"/>
          <w:b w:val="1"/>
          <w:bCs w:val="1"/>
          <w:color w:val="auto"/>
        </w:rPr>
        <w:t>INTERNATIONAL HOME FURNISHINGS CENTER, INC. AND SUBSIDIARIES NOTES TO CONSOLIDATED FINANCIAL STATEMENTS October 31, 2006, 2005 and 2004</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D - LONG-TERM DEBT (Continued)</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120" w:type="dxa"/>
            <w:vAlign w:val="bottom"/>
          </w:tcPr>
          <w:p>
            <w:pPr>
              <w:spacing w:after="0"/>
              <w:rPr>
                <w:sz w:val="14"/>
                <w:szCs w:val="14"/>
                <w:color w:val="auto"/>
              </w:rPr>
            </w:pPr>
          </w:p>
        </w:tc>
        <w:tc>
          <w:tcPr>
            <w:tcW w:w="1040" w:type="dxa"/>
            <w:vAlign w:val="bottom"/>
            <w:tcBorders>
              <w:bottom w:val="single" w:sz="8" w:color="auto"/>
            </w:tcBorders>
          </w:tcPr>
          <w:p>
            <w:pPr>
              <w:jc w:val="right"/>
              <w:ind w:right="296"/>
              <w:spacing w:after="0"/>
              <w:rPr>
                <w:sz w:val="20"/>
                <w:szCs w:val="20"/>
                <w:color w:val="auto"/>
              </w:rPr>
            </w:pPr>
            <w:r>
              <w:rPr>
                <w:rFonts w:ascii="Arial" w:cs="Arial" w:eastAsia="Arial" w:hAnsi="Arial"/>
                <w:sz w:val="14"/>
                <w:szCs w:val="14"/>
                <w:b w:val="1"/>
                <w:bCs w:val="1"/>
                <w:color w:val="auto"/>
              </w:rPr>
              <w:t>2006</w:t>
            </w:r>
          </w:p>
        </w:tc>
        <w:tc>
          <w:tcPr>
            <w:tcW w:w="2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316"/>
              <w:spacing w:after="0"/>
              <w:rPr>
                <w:sz w:val="20"/>
                <w:szCs w:val="20"/>
                <w:color w:val="auto"/>
              </w:rPr>
            </w:pPr>
            <w:r>
              <w:rPr>
                <w:rFonts w:ascii="Arial" w:cs="Arial" w:eastAsia="Arial" w:hAnsi="Arial"/>
                <w:sz w:val="14"/>
                <w:szCs w:val="14"/>
                <w:b w:val="1"/>
                <w:bCs w:val="1"/>
                <w:color w:val="auto"/>
              </w:rPr>
              <w:t>2005</w:t>
            </w:r>
          </w:p>
        </w:tc>
      </w:tr>
      <w:tr>
        <w:trPr>
          <w:trHeight w:val="201"/>
        </w:trPr>
        <w:tc>
          <w:tcPr>
            <w:tcW w:w="9120" w:type="dxa"/>
            <w:vAlign w:val="bottom"/>
            <w:shd w:val="clear" w:color="auto" w:fill="CCEEFF"/>
          </w:tcPr>
          <w:p>
            <w:pPr>
              <w:ind w:left="440"/>
              <w:spacing w:after="0" w:line="201" w:lineRule="exact"/>
              <w:rPr>
                <w:sz w:val="20"/>
                <w:szCs w:val="20"/>
                <w:color w:val="auto"/>
              </w:rPr>
            </w:pPr>
            <w:r>
              <w:rPr>
                <w:rFonts w:ascii="Arial" w:cs="Arial" w:eastAsia="Arial" w:hAnsi="Arial"/>
                <w:sz w:val="18"/>
                <w:szCs w:val="18"/>
                <w:color w:val="auto"/>
                <w:w w:val="94"/>
              </w:rPr>
              <w:t>Term loan payable with interest-only payments due monthly at 4.99%. All principal and unpaid interest is payable in</w:t>
            </w:r>
          </w:p>
        </w:tc>
        <w:tc>
          <w:tcPr>
            <w:tcW w:w="10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r>
      <w:tr>
        <w:trPr>
          <w:trHeight w:val="223"/>
        </w:trPr>
        <w:tc>
          <w:tcPr>
            <w:tcW w:w="9120" w:type="dxa"/>
            <w:vAlign w:val="bottom"/>
            <w:shd w:val="clear" w:color="auto" w:fill="CCEEFF"/>
          </w:tcPr>
          <w:p>
            <w:pPr>
              <w:ind w:left="660"/>
              <w:spacing w:after="0"/>
              <w:rPr>
                <w:sz w:val="20"/>
                <w:szCs w:val="20"/>
                <w:color w:val="auto"/>
              </w:rPr>
            </w:pPr>
            <w:r>
              <w:rPr>
                <w:rFonts w:ascii="Arial" w:cs="Arial" w:eastAsia="Arial" w:hAnsi="Arial"/>
                <w:sz w:val="18"/>
                <w:szCs w:val="18"/>
                <w:color w:val="auto"/>
              </w:rPr>
              <w:t>full on November 1, 2010.</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$ 100,000,000</w:t>
            </w: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100,000,000</w:t>
            </w:r>
          </w:p>
        </w:tc>
      </w:tr>
      <w:tr>
        <w:trPr>
          <w:trHeight w:val="222"/>
        </w:trPr>
        <w:tc>
          <w:tcPr>
            <w:tcW w:w="9120" w:type="dxa"/>
            <w:vAlign w:val="bottom"/>
          </w:tcPr>
          <w:p>
            <w:pPr>
              <w:spacing w:after="0"/>
              <w:rPr>
                <w:sz w:val="19"/>
                <w:szCs w:val="19"/>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106,000,000</w:t>
            </w:r>
          </w:p>
        </w:tc>
        <w:tc>
          <w:tcPr>
            <w:tcW w:w="20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111,000,000</w:t>
            </w:r>
          </w:p>
        </w:tc>
      </w:tr>
      <w:tr>
        <w:trPr>
          <w:trHeight w:val="218"/>
        </w:trPr>
        <w:tc>
          <w:tcPr>
            <w:tcW w:w="9120" w:type="dxa"/>
            <w:vAlign w:val="bottom"/>
            <w:shd w:val="clear" w:color="auto" w:fill="CCEEFF"/>
          </w:tcPr>
          <w:p>
            <w:pPr>
              <w:spacing w:after="0"/>
              <w:rPr>
                <w:sz w:val="20"/>
                <w:szCs w:val="20"/>
                <w:color w:val="auto"/>
              </w:rPr>
            </w:pPr>
            <w:r>
              <w:rPr>
                <w:rFonts w:ascii="Arial" w:cs="Arial" w:eastAsia="Arial" w:hAnsi="Arial"/>
                <w:sz w:val="18"/>
                <w:szCs w:val="18"/>
                <w:color w:val="auto"/>
              </w:rPr>
              <w:t>Less current maturities</w:t>
            </w:r>
          </w:p>
        </w:tc>
        <w:tc>
          <w:tcPr>
            <w:tcW w:w="104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22"/>
        </w:trPr>
        <w:tc>
          <w:tcPr>
            <w:tcW w:w="9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w w:val="88"/>
              </w:rPr>
              <w:t>$ 106,000,000</w:t>
            </w:r>
          </w:p>
        </w:tc>
        <w:tc>
          <w:tcPr>
            <w:tcW w:w="3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w w:val="89"/>
              </w:rPr>
              <w:t>111,000,000</w:t>
            </w:r>
          </w:p>
        </w:tc>
      </w:tr>
      <w:tr>
        <w:trPr>
          <w:trHeight w:val="20"/>
        </w:trPr>
        <w:tc>
          <w:tcPr>
            <w:tcW w:w="9120" w:type="dxa"/>
            <w:vAlign w:val="bottom"/>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r>
    </w:tbl>
    <w:p>
      <w:pPr>
        <w:spacing w:after="0" w:line="167"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The loans payable to IXIS Real Estate Capital, Inc. are secured by substantially all the Company’s real estate and a security interest in the Company’s restricted cash account. The term loan requires that the Company maintain compliance with certain financial ratios. The Company was in compliance with these covenants at October 31, 2006.</w:t>
      </w:r>
    </w:p>
    <w:p>
      <w:pPr>
        <w:spacing w:after="0" w:line="140" w:lineRule="exact"/>
        <w:rPr>
          <w:sz w:val="20"/>
          <w:szCs w:val="20"/>
          <w:color w:val="auto"/>
        </w:rPr>
      </w:pPr>
    </w:p>
    <w:p>
      <w:pPr>
        <w:ind w:right="20"/>
        <w:spacing w:after="0" w:line="289" w:lineRule="auto"/>
        <w:rPr>
          <w:sz w:val="20"/>
          <w:szCs w:val="20"/>
          <w:color w:val="auto"/>
        </w:rPr>
      </w:pPr>
      <w:r>
        <w:rPr>
          <w:rFonts w:ascii="Arial" w:cs="Arial" w:eastAsia="Arial" w:hAnsi="Arial"/>
          <w:sz w:val="16"/>
          <w:szCs w:val="16"/>
          <w:color w:val="auto"/>
        </w:rPr>
        <w:t>During the year ended October 31, 2002, the Company paid $833,000 to execute an interest rate cap agreement that had a notional amount of $124,515,718 at October 31, 2004. The notional amount decreased as principal payments were made on the Company’s term debt with Bank of America, N.A. such that the notional amount of the interest rate cap agreement remained equal to the then outstanding balance of the Company’s term loan with Bank of America, N.A. Under the agreement, the Company received an amount equal to the LIBOR rate in excess of 8%, if any. The Company designated this interest rate cap agreement as a cash flow hedge of interest payments once the LIBOR rate exceeded 8%. Since the LIBOR rate remained below 8% during the years ended October 31, 2005 and 2004, the hedge was not in effect; therefore, the $82 and $80,353 decrease in the fair value of the interest rate cap agreement was charged to earnings during the years ended October 31, 2005 and 2004, respectively, as a component of other nonoperating expense. The interest rate cap agreement was terminated in October 2005 in conjunction with the refinancing of the Company’s term loan with Bank of America, N.A.</w:t>
      </w:r>
    </w:p>
    <w:p>
      <w:pPr>
        <w:spacing w:after="0" w:line="118" w:lineRule="exact"/>
        <w:rPr>
          <w:sz w:val="20"/>
          <w:szCs w:val="20"/>
          <w:color w:val="auto"/>
        </w:rPr>
      </w:pPr>
    </w:p>
    <w:p>
      <w:pPr>
        <w:ind w:right="20"/>
        <w:spacing w:after="0" w:line="253" w:lineRule="auto"/>
        <w:rPr>
          <w:sz w:val="20"/>
          <w:szCs w:val="20"/>
          <w:color w:val="auto"/>
        </w:rPr>
      </w:pPr>
      <w:r>
        <w:rPr>
          <w:rFonts w:ascii="Arial" w:cs="Arial" w:eastAsia="Arial" w:hAnsi="Arial"/>
          <w:sz w:val="18"/>
          <w:szCs w:val="18"/>
          <w:color w:val="auto"/>
        </w:rPr>
        <w:t>The Company also entered into an interest rate floor agreement during the year ended October 31, 2002. In connection with the execution of the floor agreement, the Company received $833,000. The notional amount of the floor agreement was $124,515,718 at October 31, 2004. The notional amount decreased as principal payments were made on the Company’s term debt with Bank of America, N.A. Under the agreement, the Company paid an amount equal to the excess of 2.63% over the LIBOR rate, if any. Since the LIBOR rate decreased below the floor of 2.63% during the year ended October 31, 2004, the hedge was in effect; therefore, the change in fair value of the interest rate floor agreement has been recorded in accumulated other comprehensive income, net of tax, for the year ended October 2004. The interest rate floor agreement was terminated in October 2005 in conjunction with the refinancing of the Company’s term debt with Bank of America, N.A.</w:t>
      </w:r>
    </w:p>
    <w:p>
      <w:pPr>
        <w:spacing w:after="0" w:line="147" w:lineRule="exact"/>
        <w:rPr>
          <w:sz w:val="20"/>
          <w:szCs w:val="20"/>
          <w:color w:val="auto"/>
        </w:rPr>
      </w:pPr>
    </w:p>
    <w:p>
      <w:pPr>
        <w:ind w:right="300"/>
        <w:spacing w:after="0" w:line="268" w:lineRule="auto"/>
        <w:rPr>
          <w:sz w:val="20"/>
          <w:szCs w:val="20"/>
          <w:color w:val="auto"/>
        </w:rPr>
      </w:pPr>
      <w:r>
        <w:rPr>
          <w:rFonts w:ascii="Arial" w:cs="Arial" w:eastAsia="Arial" w:hAnsi="Arial"/>
          <w:sz w:val="18"/>
          <w:szCs w:val="18"/>
          <w:color w:val="auto"/>
        </w:rPr>
        <w:t>Interest costs for the years ended October 31, 2006, 2005 and 2004 in the amount of $17,667, $7,790 and $22,438, respectively, were capitalized as part of the building construction costs.</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- 66</w:t>
      </w:r>
    </w:p>
    <w:p>
      <w:pPr>
        <w:sectPr>
          <w:pgSz w:w="11900" w:h="16838" w:orient="portrait"/>
          <w:cols w:equalWidth="0" w:num="1">
            <w:col w:w="11420"/>
          </w:cols>
          <w:pgMar w:left="240" w:top="459" w:right="239" w:bottom="1440" w:gutter="0" w:footer="0" w:header="0"/>
        </w:sectPr>
      </w:pPr>
    </w:p>
    <w:bookmarkStart w:id="85" w:name="page86"/>
    <w:bookmarkEnd w:id="8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380"/>
        <w:spacing w:after="0" w:line="262" w:lineRule="auto"/>
        <w:rPr>
          <w:sz w:val="20"/>
          <w:szCs w:val="20"/>
          <w:color w:val="auto"/>
        </w:rPr>
      </w:pPr>
      <w:r>
        <w:rPr>
          <w:rFonts w:ascii="Arial" w:cs="Arial" w:eastAsia="Arial" w:hAnsi="Arial"/>
          <w:sz w:val="18"/>
          <w:szCs w:val="18"/>
          <w:b w:val="1"/>
          <w:bCs w:val="1"/>
          <w:color w:val="auto"/>
        </w:rPr>
        <w:t>INTERNATIONAL HOME FURNISHINGS CENTER, INC. AND SUBSIDIARIES NOTES TO CONSOLIDATED FINANCIAL STATEMENTS October 31, 2006, 2005 and 2004</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E - INCOME TAXES</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color w:val="auto"/>
        </w:rPr>
        <w:t>The provision for income taxes consists of the following for the years ended October 31, 2006, 2005 and 2004:</w:t>
      </w:r>
    </w:p>
    <w:p>
      <w:pPr>
        <w:spacing w:after="0" w:line="207"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7020" w:type="dxa"/>
            <w:vAlign w:val="bottom"/>
            <w:vMerge w:val="restart"/>
          </w:tcPr>
          <w:p>
            <w:pPr>
              <w:spacing w:after="0"/>
              <w:rPr>
                <w:sz w:val="20"/>
                <w:szCs w:val="20"/>
                <w:color w:val="auto"/>
              </w:rPr>
            </w:pPr>
            <w:r>
              <w:rPr>
                <w:rFonts w:ascii="Arial" w:cs="Arial" w:eastAsia="Arial" w:hAnsi="Arial"/>
                <w:sz w:val="18"/>
                <w:szCs w:val="18"/>
                <w:color w:val="auto"/>
              </w:rPr>
              <w:t>Federal:</w:t>
            </w:r>
          </w:p>
        </w:tc>
        <w:tc>
          <w:tcPr>
            <w:tcW w:w="800" w:type="dxa"/>
            <w:vAlign w:val="bottom"/>
          </w:tcPr>
          <w:p>
            <w:pPr>
              <w:jc w:val="right"/>
              <w:ind w:right="175"/>
              <w:spacing w:after="0"/>
              <w:rPr>
                <w:sz w:val="20"/>
                <w:szCs w:val="20"/>
                <w:color w:val="auto"/>
              </w:rPr>
            </w:pPr>
            <w:r>
              <w:rPr>
                <w:rFonts w:ascii="Arial" w:cs="Arial" w:eastAsia="Arial" w:hAnsi="Arial"/>
                <w:sz w:val="14"/>
                <w:szCs w:val="14"/>
                <w:b w:val="1"/>
                <w:bCs w:val="1"/>
                <w:color w:val="auto"/>
              </w:rPr>
              <w:t>2006</w:t>
            </w:r>
          </w:p>
        </w:tc>
        <w:tc>
          <w:tcPr>
            <w:tcW w:w="280" w:type="dxa"/>
            <w:vAlign w:val="bottom"/>
          </w:tcPr>
          <w:p>
            <w:pPr>
              <w:spacing w:after="0"/>
              <w:rPr>
                <w:sz w:val="14"/>
                <w:szCs w:val="14"/>
                <w:color w:val="auto"/>
              </w:rPr>
            </w:pPr>
          </w:p>
        </w:tc>
        <w:tc>
          <w:tcPr>
            <w:tcW w:w="1060" w:type="dxa"/>
            <w:vAlign w:val="bottom"/>
            <w:gridSpan w:val="2"/>
          </w:tcPr>
          <w:p>
            <w:pPr>
              <w:jc w:val="right"/>
              <w:ind w:right="212"/>
              <w:spacing w:after="0"/>
              <w:rPr>
                <w:sz w:val="20"/>
                <w:szCs w:val="20"/>
                <w:color w:val="auto"/>
              </w:rPr>
            </w:pPr>
            <w:r>
              <w:rPr>
                <w:rFonts w:ascii="Arial" w:cs="Arial" w:eastAsia="Arial" w:hAnsi="Arial"/>
                <w:sz w:val="14"/>
                <w:szCs w:val="14"/>
                <w:b w:val="1"/>
                <w:bCs w:val="1"/>
                <w:color w:val="auto"/>
              </w:rPr>
              <w:t>2005</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1"/>
        </w:trPr>
        <w:tc>
          <w:tcPr>
            <w:tcW w:w="7020" w:type="dxa"/>
            <w:vAlign w:val="bottom"/>
            <w:vMerge w:val="continue"/>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2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020" w:type="dxa"/>
            <w:vAlign w:val="bottom"/>
          </w:tcPr>
          <w:p>
            <w:pPr>
              <w:ind w:left="440"/>
              <w:spacing w:after="0"/>
              <w:rPr>
                <w:sz w:val="20"/>
                <w:szCs w:val="20"/>
                <w:color w:val="auto"/>
              </w:rPr>
            </w:pPr>
            <w:r>
              <w:rPr>
                <w:rFonts w:ascii="Arial" w:cs="Arial" w:eastAsia="Arial" w:hAnsi="Arial"/>
                <w:sz w:val="18"/>
                <w:szCs w:val="18"/>
                <w:color w:val="auto"/>
              </w:rPr>
              <w:t>Current</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$8,029,000</w:t>
            </w:r>
          </w:p>
        </w:tc>
        <w:tc>
          <w:tcPr>
            <w:tcW w:w="280" w:type="dxa"/>
            <w:vAlign w:val="bottom"/>
          </w:tcPr>
          <w:p>
            <w:pPr>
              <w:spacing w:after="0"/>
              <w:rPr>
                <w:sz w:val="18"/>
                <w:szCs w:val="18"/>
                <w:color w:val="auto"/>
              </w:rPr>
            </w:pPr>
          </w:p>
        </w:tc>
        <w:tc>
          <w:tcPr>
            <w:tcW w:w="1120" w:type="dxa"/>
            <w:vAlign w:val="bottom"/>
            <w:gridSpan w:val="3"/>
          </w:tcPr>
          <w:p>
            <w:pPr>
              <w:jc w:val="right"/>
              <w:ind w:right="60"/>
              <w:spacing w:after="0"/>
              <w:rPr>
                <w:sz w:val="20"/>
                <w:szCs w:val="20"/>
                <w:color w:val="auto"/>
              </w:rPr>
            </w:pPr>
            <w:r>
              <w:rPr>
                <w:rFonts w:ascii="Arial" w:cs="Arial" w:eastAsia="Arial" w:hAnsi="Arial"/>
                <w:sz w:val="18"/>
                <w:szCs w:val="18"/>
                <w:color w:val="auto"/>
              </w:rPr>
              <w:t>$ 8,532,000</w:t>
            </w:r>
          </w:p>
        </w:tc>
        <w:tc>
          <w:tcPr>
            <w:tcW w:w="0" w:type="dxa"/>
            <w:vAlign w:val="bottom"/>
          </w:tcPr>
          <w:p>
            <w:pPr>
              <w:spacing w:after="0"/>
              <w:rPr>
                <w:sz w:val="1"/>
                <w:szCs w:val="1"/>
                <w:color w:val="auto"/>
              </w:rPr>
            </w:pPr>
          </w:p>
        </w:tc>
      </w:tr>
      <w:tr>
        <w:trPr>
          <w:trHeight w:val="223"/>
        </w:trPr>
        <w:tc>
          <w:tcPr>
            <w:tcW w:w="7020" w:type="dxa"/>
            <w:vAlign w:val="bottom"/>
          </w:tcPr>
          <w:p>
            <w:pPr>
              <w:ind w:left="440"/>
              <w:spacing w:after="0"/>
              <w:rPr>
                <w:sz w:val="20"/>
                <w:szCs w:val="20"/>
                <w:color w:val="auto"/>
              </w:rPr>
            </w:pPr>
            <w:r>
              <w:rPr>
                <w:rFonts w:ascii="Arial" w:cs="Arial" w:eastAsia="Arial" w:hAnsi="Arial"/>
                <w:sz w:val="18"/>
                <w:szCs w:val="18"/>
                <w:color w:val="auto"/>
              </w:rPr>
              <w:t>Deferred</w:t>
            </w: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(416,000)</w:t>
            </w:r>
          </w:p>
        </w:tc>
        <w:tc>
          <w:tcPr>
            <w:tcW w:w="1120" w:type="dxa"/>
            <w:vAlign w:val="bottom"/>
            <w:gridSpan w:val="3"/>
          </w:tcPr>
          <w:p>
            <w:pPr>
              <w:jc w:val="right"/>
              <w:spacing w:after="0"/>
              <w:rPr>
                <w:sz w:val="20"/>
                <w:szCs w:val="20"/>
                <w:color w:val="auto"/>
              </w:rPr>
            </w:pPr>
            <w:r>
              <w:rPr>
                <w:rFonts w:ascii="Arial" w:cs="Arial" w:eastAsia="Arial" w:hAnsi="Arial"/>
                <w:sz w:val="18"/>
                <w:szCs w:val="18"/>
                <w:color w:val="auto"/>
              </w:rPr>
              <w:t>(1,328,000)</w:t>
            </w:r>
          </w:p>
        </w:tc>
        <w:tc>
          <w:tcPr>
            <w:tcW w:w="0" w:type="dxa"/>
            <w:vAlign w:val="bottom"/>
          </w:tcPr>
          <w:p>
            <w:pPr>
              <w:spacing w:after="0"/>
              <w:rPr>
                <w:sz w:val="1"/>
                <w:szCs w:val="1"/>
                <w:color w:val="auto"/>
              </w:rPr>
            </w:pPr>
          </w:p>
        </w:tc>
      </w:tr>
      <w:tr>
        <w:trPr>
          <w:trHeight w:val="20"/>
        </w:trPr>
        <w:tc>
          <w:tcPr>
            <w:tcW w:w="70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70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7,613,000</w:t>
            </w:r>
          </w:p>
        </w:tc>
        <w:tc>
          <w:tcPr>
            <w:tcW w:w="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gridSpan w:val="2"/>
          </w:tcPr>
          <w:p>
            <w:pPr>
              <w:jc w:val="right"/>
              <w:ind w:right="60"/>
              <w:spacing w:after="0"/>
              <w:rPr>
                <w:sz w:val="20"/>
                <w:szCs w:val="20"/>
                <w:color w:val="auto"/>
              </w:rPr>
            </w:pPr>
            <w:r>
              <w:rPr>
                <w:rFonts w:ascii="Arial" w:cs="Arial" w:eastAsia="Arial" w:hAnsi="Arial"/>
                <w:sz w:val="18"/>
                <w:szCs w:val="18"/>
                <w:color w:val="auto"/>
              </w:rPr>
              <w:t>7,204,000</w:t>
            </w:r>
          </w:p>
        </w:tc>
        <w:tc>
          <w:tcPr>
            <w:tcW w:w="0" w:type="dxa"/>
            <w:vAlign w:val="bottom"/>
          </w:tcPr>
          <w:p>
            <w:pPr>
              <w:spacing w:after="0"/>
              <w:rPr>
                <w:sz w:val="1"/>
                <w:szCs w:val="1"/>
                <w:color w:val="auto"/>
              </w:rPr>
            </w:pPr>
          </w:p>
        </w:tc>
      </w:tr>
      <w:tr>
        <w:trPr>
          <w:trHeight w:val="318"/>
        </w:trPr>
        <w:tc>
          <w:tcPr>
            <w:tcW w:w="7020" w:type="dxa"/>
            <w:vAlign w:val="bottom"/>
          </w:tcPr>
          <w:p>
            <w:pPr>
              <w:spacing w:after="0"/>
              <w:rPr>
                <w:sz w:val="20"/>
                <w:szCs w:val="20"/>
                <w:color w:val="auto"/>
              </w:rPr>
            </w:pPr>
            <w:r>
              <w:rPr>
                <w:rFonts w:ascii="Arial" w:cs="Arial" w:eastAsia="Arial" w:hAnsi="Arial"/>
                <w:sz w:val="18"/>
                <w:szCs w:val="18"/>
                <w:color w:val="auto"/>
              </w:rPr>
              <w:t>State:</w:t>
            </w: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7020" w:type="dxa"/>
            <w:vAlign w:val="bottom"/>
          </w:tcPr>
          <w:p>
            <w:pPr>
              <w:ind w:left="440"/>
              <w:spacing w:after="0"/>
              <w:rPr>
                <w:sz w:val="20"/>
                <w:szCs w:val="20"/>
                <w:color w:val="auto"/>
              </w:rPr>
            </w:pPr>
            <w:r>
              <w:rPr>
                <w:rFonts w:ascii="Arial" w:cs="Arial" w:eastAsia="Arial" w:hAnsi="Arial"/>
                <w:sz w:val="18"/>
                <w:szCs w:val="18"/>
                <w:color w:val="auto"/>
              </w:rPr>
              <w:t>Current</w:t>
            </w:r>
          </w:p>
        </w:tc>
        <w:tc>
          <w:tcPr>
            <w:tcW w:w="800" w:type="dxa"/>
            <w:vAlign w:val="bottom"/>
          </w:tcPr>
          <w:p>
            <w:pPr>
              <w:jc w:val="right"/>
              <w:spacing w:after="0"/>
              <w:rPr>
                <w:sz w:val="20"/>
                <w:szCs w:val="20"/>
                <w:color w:val="auto"/>
              </w:rPr>
            </w:pPr>
            <w:r>
              <w:rPr>
                <w:rFonts w:ascii="Arial" w:cs="Arial" w:eastAsia="Arial" w:hAnsi="Arial"/>
                <w:sz w:val="18"/>
                <w:szCs w:val="18"/>
                <w:color w:val="auto"/>
                <w:w w:val="97"/>
              </w:rPr>
              <w:t>1,698,000</w:t>
            </w:r>
          </w:p>
        </w:tc>
        <w:tc>
          <w:tcPr>
            <w:tcW w:w="280" w:type="dxa"/>
            <w:vAlign w:val="bottom"/>
          </w:tcPr>
          <w:p>
            <w:pPr>
              <w:spacing w:after="0"/>
              <w:rPr>
                <w:sz w:val="18"/>
                <w:szCs w:val="18"/>
                <w:color w:val="auto"/>
              </w:rPr>
            </w:pPr>
          </w:p>
        </w:tc>
        <w:tc>
          <w:tcPr>
            <w:tcW w:w="1120" w:type="dxa"/>
            <w:vAlign w:val="bottom"/>
            <w:gridSpan w:val="3"/>
          </w:tcPr>
          <w:p>
            <w:pPr>
              <w:jc w:val="right"/>
              <w:ind w:right="60"/>
              <w:spacing w:after="0"/>
              <w:rPr>
                <w:sz w:val="20"/>
                <w:szCs w:val="20"/>
                <w:color w:val="auto"/>
              </w:rPr>
            </w:pPr>
            <w:r>
              <w:rPr>
                <w:rFonts w:ascii="Arial" w:cs="Arial" w:eastAsia="Arial" w:hAnsi="Arial"/>
                <w:sz w:val="18"/>
                <w:szCs w:val="18"/>
                <w:color w:val="auto"/>
              </w:rPr>
              <w:t>1,795,000</w:t>
            </w:r>
          </w:p>
        </w:tc>
        <w:tc>
          <w:tcPr>
            <w:tcW w:w="0" w:type="dxa"/>
            <w:vAlign w:val="bottom"/>
          </w:tcPr>
          <w:p>
            <w:pPr>
              <w:spacing w:after="0"/>
              <w:rPr>
                <w:sz w:val="1"/>
                <w:szCs w:val="1"/>
                <w:color w:val="auto"/>
              </w:rPr>
            </w:pPr>
          </w:p>
        </w:tc>
      </w:tr>
      <w:tr>
        <w:trPr>
          <w:trHeight w:val="223"/>
        </w:trPr>
        <w:tc>
          <w:tcPr>
            <w:tcW w:w="7020" w:type="dxa"/>
            <w:vAlign w:val="bottom"/>
          </w:tcPr>
          <w:p>
            <w:pPr>
              <w:ind w:left="440"/>
              <w:spacing w:after="0"/>
              <w:rPr>
                <w:sz w:val="20"/>
                <w:szCs w:val="20"/>
                <w:color w:val="auto"/>
              </w:rPr>
            </w:pPr>
            <w:r>
              <w:rPr>
                <w:rFonts w:ascii="Arial" w:cs="Arial" w:eastAsia="Arial" w:hAnsi="Arial"/>
                <w:sz w:val="18"/>
                <w:szCs w:val="18"/>
                <w:color w:val="auto"/>
              </w:rPr>
              <w:t>Deferred</w:t>
            </w: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(88,000)</w:t>
            </w:r>
          </w:p>
        </w:tc>
        <w:tc>
          <w:tcPr>
            <w:tcW w:w="1120" w:type="dxa"/>
            <w:vAlign w:val="bottom"/>
            <w:gridSpan w:val="3"/>
          </w:tcPr>
          <w:p>
            <w:pPr>
              <w:jc w:val="right"/>
              <w:spacing w:after="0"/>
              <w:rPr>
                <w:sz w:val="20"/>
                <w:szCs w:val="20"/>
                <w:color w:val="auto"/>
              </w:rPr>
            </w:pPr>
            <w:r>
              <w:rPr>
                <w:rFonts w:ascii="Arial" w:cs="Arial" w:eastAsia="Arial" w:hAnsi="Arial"/>
                <w:sz w:val="18"/>
                <w:szCs w:val="18"/>
                <w:color w:val="auto"/>
              </w:rPr>
              <w:t>(272,000)</w:t>
            </w:r>
          </w:p>
        </w:tc>
        <w:tc>
          <w:tcPr>
            <w:tcW w:w="0" w:type="dxa"/>
            <w:vAlign w:val="bottom"/>
          </w:tcPr>
          <w:p>
            <w:pPr>
              <w:spacing w:after="0"/>
              <w:rPr>
                <w:sz w:val="1"/>
                <w:szCs w:val="1"/>
                <w:color w:val="auto"/>
              </w:rPr>
            </w:pPr>
          </w:p>
        </w:tc>
      </w:tr>
      <w:tr>
        <w:trPr>
          <w:trHeight w:val="20"/>
        </w:trPr>
        <w:tc>
          <w:tcPr>
            <w:tcW w:w="70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70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1,610,000</w:t>
            </w:r>
          </w:p>
        </w:tc>
        <w:tc>
          <w:tcPr>
            <w:tcW w:w="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gridSpan w:val="2"/>
          </w:tcPr>
          <w:p>
            <w:pPr>
              <w:jc w:val="right"/>
              <w:ind w:right="60"/>
              <w:spacing w:after="0"/>
              <w:rPr>
                <w:sz w:val="20"/>
                <w:szCs w:val="20"/>
                <w:color w:val="auto"/>
              </w:rPr>
            </w:pPr>
            <w:r>
              <w:rPr>
                <w:rFonts w:ascii="Arial" w:cs="Arial" w:eastAsia="Arial" w:hAnsi="Arial"/>
                <w:sz w:val="18"/>
                <w:szCs w:val="18"/>
                <w:color w:val="auto"/>
              </w:rPr>
              <w:t>1,523,000</w:t>
            </w:r>
          </w:p>
        </w:tc>
        <w:tc>
          <w:tcPr>
            <w:tcW w:w="0" w:type="dxa"/>
            <w:vAlign w:val="bottom"/>
          </w:tcPr>
          <w:p>
            <w:pPr>
              <w:spacing w:after="0"/>
              <w:rPr>
                <w:sz w:val="1"/>
                <w:szCs w:val="1"/>
                <w:color w:val="auto"/>
              </w:rPr>
            </w:pPr>
          </w:p>
        </w:tc>
      </w:tr>
      <w:tr>
        <w:trPr>
          <w:trHeight w:val="20"/>
        </w:trPr>
        <w:tc>
          <w:tcPr>
            <w:tcW w:w="7020" w:type="dxa"/>
            <w:vAlign w:val="bottom"/>
            <w:vMerge w:val="restart"/>
          </w:tcPr>
          <w:p>
            <w:pPr>
              <w:ind w:left="880"/>
              <w:spacing w:after="0"/>
              <w:rPr>
                <w:sz w:val="20"/>
                <w:szCs w:val="20"/>
                <w:color w:val="auto"/>
              </w:rPr>
            </w:pPr>
            <w:r>
              <w:rPr>
                <w:rFonts w:ascii="Arial" w:cs="Arial" w:eastAsia="Arial" w:hAnsi="Arial"/>
                <w:sz w:val="18"/>
                <w:szCs w:val="18"/>
                <w:color w:val="auto"/>
              </w:rPr>
              <w:t>TOTAL</w:t>
            </w:r>
          </w:p>
        </w:tc>
        <w:tc>
          <w:tcPr>
            <w:tcW w:w="8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7020" w:type="dxa"/>
            <w:vAlign w:val="bottom"/>
            <w:vMerge w:val="continue"/>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9,223,000</w:t>
            </w:r>
          </w:p>
        </w:tc>
        <w:tc>
          <w:tcPr>
            <w:tcW w:w="280" w:type="dxa"/>
            <w:vAlign w:val="bottom"/>
          </w:tcPr>
          <w:p>
            <w:pPr>
              <w:spacing w:after="0"/>
              <w:rPr>
                <w:sz w:val="19"/>
                <w:szCs w:val="19"/>
                <w:color w:val="auto"/>
              </w:rPr>
            </w:pPr>
          </w:p>
        </w:tc>
        <w:tc>
          <w:tcPr>
            <w:tcW w:w="1120" w:type="dxa"/>
            <w:vAlign w:val="bottom"/>
            <w:gridSpan w:val="3"/>
          </w:tcPr>
          <w:p>
            <w:pPr>
              <w:jc w:val="right"/>
              <w:ind w:right="60"/>
              <w:spacing w:after="0"/>
              <w:rPr>
                <w:sz w:val="20"/>
                <w:szCs w:val="20"/>
                <w:color w:val="auto"/>
              </w:rPr>
            </w:pPr>
            <w:r>
              <w:rPr>
                <w:rFonts w:ascii="Arial" w:cs="Arial" w:eastAsia="Arial" w:hAnsi="Arial"/>
                <w:sz w:val="18"/>
                <w:szCs w:val="18"/>
                <w:color w:val="auto"/>
              </w:rPr>
              <w:t>$ 8,727,000</w:t>
            </w:r>
          </w:p>
        </w:tc>
        <w:tc>
          <w:tcPr>
            <w:tcW w:w="0" w:type="dxa"/>
            <w:vAlign w:val="bottom"/>
          </w:tcPr>
          <w:p>
            <w:pPr>
              <w:spacing w:after="0"/>
              <w:rPr>
                <w:sz w:val="1"/>
                <w:szCs w:val="1"/>
                <w:color w:val="auto"/>
              </w:rPr>
            </w:pPr>
          </w:p>
        </w:tc>
      </w:tr>
      <w:tr>
        <w:trPr>
          <w:trHeight w:val="20"/>
        </w:trPr>
        <w:tc>
          <w:tcPr>
            <w:tcW w:w="70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-1379855</wp:posOffset>
            </wp:positionV>
            <wp:extent cx="6663690" cy="13716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6663690" cy="137160"/>
                    </a:xfrm>
                    <a:prstGeom prst="rect">
                      <a:avLst/>
                    </a:prstGeom>
                    <a:noFill/>
                  </pic:spPr>
                </pic:pic>
              </a:graphicData>
            </a:graphic>
          </wp:anchor>
        </w:drawing>
        <w:drawing>
          <wp:anchor simplePos="0" relativeHeight="251657728" behindDoc="1" locked="0" layoutInCell="0" allowOverlap="1">
            <wp:simplePos x="0" y="0"/>
            <wp:positionH relativeFrom="column">
              <wp:posOffset>296545</wp:posOffset>
            </wp:positionH>
            <wp:positionV relativeFrom="paragraph">
              <wp:posOffset>-1105535</wp:posOffset>
            </wp:positionV>
            <wp:extent cx="6663690" cy="13716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6663690" cy="137160"/>
                    </a:xfrm>
                    <a:prstGeom prst="rect">
                      <a:avLst/>
                    </a:prstGeom>
                    <a:noFill/>
                  </pic:spPr>
                </pic:pic>
              </a:graphicData>
            </a:graphic>
          </wp:anchor>
        </w:drawing>
        <w:drawing>
          <wp:anchor simplePos="0" relativeHeight="251657728" behindDoc="1" locked="0" layoutInCell="0" allowOverlap="1">
            <wp:simplePos x="0" y="0"/>
            <wp:positionH relativeFrom="column">
              <wp:posOffset>296545</wp:posOffset>
            </wp:positionH>
            <wp:positionV relativeFrom="paragraph">
              <wp:posOffset>-745490</wp:posOffset>
            </wp:positionV>
            <wp:extent cx="6663690" cy="13716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6663690" cy="137160"/>
                    </a:xfrm>
                    <a:prstGeom prst="rect">
                      <a:avLst/>
                    </a:prstGeom>
                    <a:noFill/>
                  </pic:spPr>
                </pic:pic>
              </a:graphicData>
            </a:graphic>
          </wp:anchor>
        </w:drawing>
        <w:drawing>
          <wp:anchor simplePos="0" relativeHeight="251657728" behindDoc="1" locked="0" layoutInCell="0" allowOverlap="1">
            <wp:simplePos x="0" y="0"/>
            <wp:positionH relativeFrom="column">
              <wp:posOffset>296545</wp:posOffset>
            </wp:positionH>
            <wp:positionV relativeFrom="paragraph">
              <wp:posOffset>-471170</wp:posOffset>
            </wp:positionV>
            <wp:extent cx="6663690" cy="13716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6663690" cy="137160"/>
                    </a:xfrm>
                    <a:prstGeom prst="rect">
                      <a:avLst/>
                    </a:prstGeom>
                    <a:noFill/>
                  </pic:spPr>
                </pic:pic>
              </a:graphicData>
            </a:graphic>
          </wp:anchor>
        </w:drawing>
        <w:drawing>
          <wp:anchor simplePos="0" relativeHeight="251657728" behindDoc="1" locked="0" layoutInCell="0" allowOverlap="1">
            <wp:simplePos x="0" y="0"/>
            <wp:positionH relativeFrom="column">
              <wp:posOffset>296545</wp:posOffset>
            </wp:positionH>
            <wp:positionV relativeFrom="paragraph">
              <wp:posOffset>-162560</wp:posOffset>
            </wp:positionV>
            <wp:extent cx="6663690" cy="13716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6663690" cy="137160"/>
                    </a:xfrm>
                    <a:prstGeom prst="rect">
                      <a:avLst/>
                    </a:prstGeom>
                    <a:noFill/>
                  </pic:spPr>
                </pic:pic>
              </a:graphicData>
            </a:graphic>
          </wp:anchor>
        </w:drawing>
      </w:r>
    </w:p>
    <w:p>
      <w:pPr>
        <w:spacing w:after="0" w:line="147" w:lineRule="exact"/>
        <w:rPr>
          <w:sz w:val="20"/>
          <w:szCs w:val="20"/>
          <w:color w:val="auto"/>
        </w:rPr>
      </w:pPr>
    </w:p>
    <w:p>
      <w:pPr>
        <w:spacing w:after="0"/>
        <w:rPr>
          <w:sz w:val="20"/>
          <w:szCs w:val="20"/>
          <w:color w:val="auto"/>
        </w:rPr>
      </w:pPr>
      <w:r>
        <w:rPr>
          <w:rFonts w:ascii="Arial" w:cs="Arial" w:eastAsia="Arial" w:hAnsi="Arial"/>
          <w:sz w:val="16"/>
          <w:szCs w:val="16"/>
          <w:color w:val="auto"/>
        </w:rPr>
        <w:t>A reconciliation of the income tax provision at the federal statutory rate to the income tax provision at the effective tax rate is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20" w:type="dxa"/>
            <w:vAlign w:val="bottom"/>
            <w:vMerge w:val="restart"/>
          </w:tcPr>
          <w:p>
            <w:pPr>
              <w:ind w:left="460"/>
              <w:spacing w:after="0"/>
              <w:rPr>
                <w:sz w:val="20"/>
                <w:szCs w:val="20"/>
                <w:color w:val="auto"/>
              </w:rPr>
            </w:pPr>
            <w:r>
              <w:rPr>
                <w:rFonts w:ascii="Arial" w:cs="Arial" w:eastAsia="Arial" w:hAnsi="Arial"/>
                <w:sz w:val="18"/>
                <w:szCs w:val="18"/>
                <w:color w:val="auto"/>
              </w:rPr>
              <w:t>Income taxes computed at the federal statutory rate</w:t>
            </w:r>
          </w:p>
        </w:tc>
        <w:tc>
          <w:tcPr>
            <w:tcW w:w="3240" w:type="dxa"/>
            <w:vAlign w:val="bottom"/>
            <w:gridSpan w:val="2"/>
          </w:tcPr>
          <w:p>
            <w:pPr>
              <w:jc w:val="right"/>
              <w:ind w:right="172"/>
              <w:spacing w:after="0"/>
              <w:rPr>
                <w:sz w:val="20"/>
                <w:szCs w:val="20"/>
                <w:color w:val="auto"/>
              </w:rPr>
            </w:pPr>
            <w:r>
              <w:rPr>
                <w:rFonts w:ascii="Arial" w:cs="Arial" w:eastAsia="Arial" w:hAnsi="Arial"/>
                <w:sz w:val="14"/>
                <w:szCs w:val="14"/>
                <w:b w:val="1"/>
                <w:bCs w:val="1"/>
                <w:color w:val="auto"/>
              </w:rPr>
              <w:t>2006</w:t>
            </w:r>
          </w:p>
        </w:tc>
        <w:tc>
          <w:tcPr>
            <w:tcW w:w="460" w:type="dxa"/>
            <w:vAlign w:val="bottom"/>
          </w:tcPr>
          <w:p>
            <w:pPr>
              <w:spacing w:after="0"/>
              <w:rPr>
                <w:sz w:val="14"/>
                <w:szCs w:val="14"/>
                <w:color w:val="auto"/>
              </w:rPr>
            </w:pPr>
          </w:p>
        </w:tc>
        <w:tc>
          <w:tcPr>
            <w:tcW w:w="800" w:type="dxa"/>
            <w:vAlign w:val="bottom"/>
          </w:tcPr>
          <w:p>
            <w:pPr>
              <w:jc w:val="right"/>
              <w:ind w:right="175"/>
              <w:spacing w:after="0"/>
              <w:rPr>
                <w:sz w:val="20"/>
                <w:szCs w:val="20"/>
                <w:color w:val="auto"/>
              </w:rPr>
            </w:pPr>
            <w:r>
              <w:rPr>
                <w:rFonts w:ascii="Arial" w:cs="Arial" w:eastAsia="Arial" w:hAnsi="Arial"/>
                <w:sz w:val="14"/>
                <w:szCs w:val="14"/>
                <w:b w:val="1"/>
                <w:bCs w:val="1"/>
                <w:color w:val="auto"/>
              </w:rPr>
              <w:t>2005</w:t>
            </w: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1"/>
        </w:trPr>
        <w:tc>
          <w:tcPr>
            <w:tcW w:w="5120" w:type="dxa"/>
            <w:vAlign w:val="bottom"/>
            <w:vMerge w:val="continue"/>
          </w:tcPr>
          <w:p>
            <w:pPr>
              <w:spacing w:after="0"/>
              <w:rPr>
                <w:sz w:val="17"/>
                <w:szCs w:val="17"/>
                <w:color w:val="auto"/>
              </w:rPr>
            </w:pPr>
          </w:p>
        </w:tc>
        <w:tc>
          <w:tcPr>
            <w:tcW w:w="2440" w:type="dxa"/>
            <w:vAlign w:val="bottom"/>
          </w:tcPr>
          <w:p>
            <w:pPr>
              <w:spacing w:after="0"/>
              <w:rPr>
                <w:sz w:val="17"/>
                <w:szCs w:val="17"/>
                <w:color w:val="auto"/>
              </w:rPr>
            </w:pPr>
          </w:p>
        </w:tc>
        <w:tc>
          <w:tcPr>
            <w:tcW w:w="800" w:type="dxa"/>
            <w:vAlign w:val="bottom"/>
            <w:tcBorders>
              <w:top w:val="single" w:sz="8" w:color="auto"/>
            </w:tcBorders>
          </w:tcPr>
          <w:p>
            <w:pPr>
              <w:jc w:val="right"/>
              <w:spacing w:after="0" w:line="201" w:lineRule="exact"/>
              <w:rPr>
                <w:sz w:val="20"/>
                <w:szCs w:val="20"/>
                <w:color w:val="auto"/>
              </w:rPr>
            </w:pPr>
            <w:r>
              <w:rPr>
                <w:rFonts w:ascii="Arial" w:cs="Arial" w:eastAsia="Arial" w:hAnsi="Arial"/>
                <w:sz w:val="18"/>
                <w:szCs w:val="18"/>
                <w:color w:val="auto"/>
                <w:w w:val="86"/>
              </w:rPr>
              <w:t>$8,208,000</w:t>
            </w:r>
          </w:p>
        </w:tc>
        <w:tc>
          <w:tcPr>
            <w:tcW w:w="460" w:type="dxa"/>
            <w:vAlign w:val="bottom"/>
          </w:tcPr>
          <w:p>
            <w:pPr>
              <w:spacing w:after="0"/>
              <w:rPr>
                <w:sz w:val="17"/>
                <w:szCs w:val="17"/>
                <w:color w:val="auto"/>
              </w:rPr>
            </w:pPr>
          </w:p>
        </w:tc>
        <w:tc>
          <w:tcPr>
            <w:tcW w:w="800" w:type="dxa"/>
            <w:vAlign w:val="bottom"/>
            <w:tcBorders>
              <w:top w:val="single" w:sz="8" w:color="auto"/>
            </w:tcBorders>
          </w:tcPr>
          <w:p>
            <w:pPr>
              <w:jc w:val="right"/>
              <w:spacing w:after="0" w:line="201" w:lineRule="exact"/>
              <w:rPr>
                <w:sz w:val="20"/>
                <w:szCs w:val="20"/>
                <w:color w:val="auto"/>
              </w:rPr>
            </w:pPr>
            <w:r>
              <w:rPr>
                <w:rFonts w:ascii="Arial" w:cs="Arial" w:eastAsia="Arial" w:hAnsi="Arial"/>
                <w:sz w:val="18"/>
                <w:szCs w:val="18"/>
                <w:color w:val="auto"/>
                <w:w w:val="86"/>
              </w:rPr>
              <w:t>$7,811,000</w:t>
            </w: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120" w:type="dxa"/>
            <w:vAlign w:val="bottom"/>
          </w:tcPr>
          <w:p>
            <w:pPr>
              <w:ind w:left="460"/>
              <w:spacing w:after="0"/>
              <w:rPr>
                <w:sz w:val="20"/>
                <w:szCs w:val="20"/>
                <w:color w:val="auto"/>
              </w:rPr>
            </w:pPr>
            <w:r>
              <w:rPr>
                <w:rFonts w:ascii="Arial" w:cs="Arial" w:eastAsia="Arial" w:hAnsi="Arial"/>
                <w:sz w:val="18"/>
                <w:szCs w:val="18"/>
                <w:color w:val="auto"/>
              </w:rPr>
              <w:t>State taxes, net of federal benefit</w:t>
            </w:r>
          </w:p>
        </w:tc>
        <w:tc>
          <w:tcPr>
            <w:tcW w:w="3240" w:type="dxa"/>
            <w:vAlign w:val="bottom"/>
            <w:gridSpan w:val="2"/>
          </w:tcPr>
          <w:p>
            <w:pPr>
              <w:jc w:val="right"/>
              <w:spacing w:after="0"/>
              <w:rPr>
                <w:sz w:val="20"/>
                <w:szCs w:val="20"/>
                <w:color w:val="auto"/>
              </w:rPr>
            </w:pPr>
            <w:r>
              <w:rPr>
                <w:rFonts w:ascii="Arial" w:cs="Arial" w:eastAsia="Arial" w:hAnsi="Arial"/>
                <w:sz w:val="18"/>
                <w:szCs w:val="18"/>
                <w:color w:val="auto"/>
              </w:rPr>
              <w:t>1,048,000</w:t>
            </w:r>
          </w:p>
        </w:tc>
        <w:tc>
          <w:tcPr>
            <w:tcW w:w="460" w:type="dxa"/>
            <w:vAlign w:val="bottom"/>
          </w:tcPr>
          <w:p>
            <w:pPr>
              <w:spacing w:after="0"/>
              <w:rPr>
                <w:sz w:val="18"/>
                <w:szCs w:val="18"/>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991,000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20" w:type="dxa"/>
            <w:vAlign w:val="bottom"/>
          </w:tcPr>
          <w:p>
            <w:pPr>
              <w:ind w:left="460"/>
              <w:spacing w:after="0"/>
              <w:rPr>
                <w:sz w:val="20"/>
                <w:szCs w:val="20"/>
                <w:color w:val="auto"/>
              </w:rPr>
            </w:pPr>
            <w:r>
              <w:rPr>
                <w:rFonts w:ascii="Arial" w:cs="Arial" w:eastAsia="Arial" w:hAnsi="Arial"/>
                <w:sz w:val="18"/>
                <w:szCs w:val="18"/>
                <w:color w:val="auto"/>
              </w:rPr>
              <w:t>Nontaxable investment income</w:t>
            </w:r>
          </w:p>
        </w:tc>
        <w:tc>
          <w:tcPr>
            <w:tcW w:w="3700" w:type="dxa"/>
            <w:vAlign w:val="bottom"/>
            <w:gridSpan w:val="3"/>
          </w:tcPr>
          <w:p>
            <w:pPr>
              <w:jc w:val="right"/>
              <w:ind w:right="400"/>
              <w:spacing w:after="0"/>
              <w:rPr>
                <w:sz w:val="20"/>
                <w:szCs w:val="20"/>
                <w:color w:val="auto"/>
              </w:rPr>
            </w:pPr>
            <w:r>
              <w:rPr>
                <w:rFonts w:ascii="Arial" w:cs="Arial" w:eastAsia="Arial" w:hAnsi="Arial"/>
                <w:sz w:val="18"/>
                <w:szCs w:val="18"/>
                <w:color w:val="auto"/>
              </w:rPr>
              <w:t>(37,000)</w:t>
            </w:r>
          </w:p>
        </w:tc>
        <w:tc>
          <w:tcPr>
            <w:tcW w:w="860" w:type="dxa"/>
            <w:vAlign w:val="bottom"/>
            <w:gridSpan w:val="3"/>
          </w:tcPr>
          <w:p>
            <w:pPr>
              <w:jc w:val="right"/>
              <w:spacing w:after="0"/>
              <w:rPr>
                <w:sz w:val="20"/>
                <w:szCs w:val="20"/>
                <w:color w:val="auto"/>
              </w:rPr>
            </w:pPr>
            <w:r>
              <w:rPr>
                <w:rFonts w:ascii="Arial" w:cs="Arial" w:eastAsia="Arial" w:hAnsi="Arial"/>
                <w:sz w:val="18"/>
                <w:szCs w:val="18"/>
                <w:color w:val="auto"/>
              </w:rPr>
              <w:t>(42,000)</w:t>
            </w:r>
          </w:p>
        </w:tc>
        <w:tc>
          <w:tcPr>
            <w:tcW w:w="0" w:type="dxa"/>
            <w:vAlign w:val="bottom"/>
          </w:tcPr>
          <w:p>
            <w:pPr>
              <w:spacing w:after="0"/>
              <w:rPr>
                <w:sz w:val="1"/>
                <w:szCs w:val="1"/>
                <w:color w:val="auto"/>
              </w:rPr>
            </w:pPr>
          </w:p>
        </w:tc>
      </w:tr>
      <w:tr>
        <w:trPr>
          <w:trHeight w:val="223"/>
        </w:trPr>
        <w:tc>
          <w:tcPr>
            <w:tcW w:w="5120" w:type="dxa"/>
            <w:vAlign w:val="bottom"/>
          </w:tcPr>
          <w:p>
            <w:pPr>
              <w:ind w:left="460"/>
              <w:spacing w:after="0"/>
              <w:rPr>
                <w:sz w:val="20"/>
                <w:szCs w:val="20"/>
                <w:color w:val="auto"/>
              </w:rPr>
            </w:pPr>
            <w:r>
              <w:rPr>
                <w:rFonts w:ascii="Arial" w:cs="Arial" w:eastAsia="Arial" w:hAnsi="Arial"/>
                <w:sz w:val="18"/>
                <w:szCs w:val="18"/>
                <w:color w:val="auto"/>
              </w:rPr>
              <w:t>Other, net</w:t>
            </w:r>
          </w:p>
        </w:tc>
        <w:tc>
          <w:tcPr>
            <w:tcW w:w="24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4,000</w:t>
            </w:r>
          </w:p>
        </w:tc>
        <w:tc>
          <w:tcPr>
            <w:tcW w:w="460" w:type="dxa"/>
            <w:vAlign w:val="bottom"/>
          </w:tcPr>
          <w:p>
            <w:pPr>
              <w:spacing w:after="0"/>
              <w:rPr>
                <w:sz w:val="19"/>
                <w:szCs w:val="19"/>
                <w:color w:val="auto"/>
              </w:rPr>
            </w:pPr>
          </w:p>
        </w:tc>
        <w:tc>
          <w:tcPr>
            <w:tcW w:w="860" w:type="dxa"/>
            <w:vAlign w:val="bottom"/>
            <w:gridSpan w:val="3"/>
          </w:tcPr>
          <w:p>
            <w:pPr>
              <w:jc w:val="right"/>
              <w:spacing w:after="0"/>
              <w:rPr>
                <w:sz w:val="20"/>
                <w:szCs w:val="20"/>
                <w:color w:val="auto"/>
              </w:rPr>
            </w:pPr>
            <w:r>
              <w:rPr>
                <w:rFonts w:ascii="Arial" w:cs="Arial" w:eastAsia="Arial" w:hAnsi="Arial"/>
                <w:sz w:val="18"/>
                <w:szCs w:val="18"/>
                <w:color w:val="auto"/>
              </w:rPr>
              <w:t>(33,000)</w:t>
            </w:r>
          </w:p>
        </w:tc>
        <w:tc>
          <w:tcPr>
            <w:tcW w:w="0" w:type="dxa"/>
            <w:vAlign w:val="bottom"/>
          </w:tcPr>
          <w:p>
            <w:pPr>
              <w:spacing w:after="0"/>
              <w:rPr>
                <w:sz w:val="1"/>
                <w:szCs w:val="1"/>
                <w:color w:val="auto"/>
              </w:rPr>
            </w:pPr>
          </w:p>
        </w:tc>
      </w:tr>
      <w:tr>
        <w:trPr>
          <w:trHeight w:val="20"/>
        </w:trPr>
        <w:tc>
          <w:tcPr>
            <w:tcW w:w="51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5120" w:type="dxa"/>
            <w:vAlign w:val="bottom"/>
          </w:tcPr>
          <w:p>
            <w:pPr>
              <w:spacing w:after="0"/>
              <w:rPr>
                <w:sz w:val="19"/>
                <w:szCs w:val="19"/>
                <w:color w:val="auto"/>
              </w:rPr>
            </w:pPr>
          </w:p>
        </w:tc>
        <w:tc>
          <w:tcPr>
            <w:tcW w:w="324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8,727,000</w:t>
            </w:r>
          </w:p>
        </w:tc>
        <w:tc>
          <w:tcPr>
            <w:tcW w:w="460" w:type="dxa"/>
            <w:vAlign w:val="bottom"/>
          </w:tcPr>
          <w:p>
            <w:pPr>
              <w:spacing w:after="0"/>
              <w:rPr>
                <w:sz w:val="19"/>
                <w:szCs w:val="19"/>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8,770,000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120" w:type="dxa"/>
            <w:vAlign w:val="bottom"/>
            <w:vMerge w:val="restart"/>
          </w:tcPr>
          <w:p>
            <w:pPr>
              <w:spacing w:after="0"/>
              <w:rPr>
                <w:sz w:val="20"/>
                <w:szCs w:val="20"/>
                <w:color w:val="auto"/>
              </w:rPr>
            </w:pPr>
            <w:r>
              <w:rPr>
                <w:rFonts w:ascii="Arial" w:cs="Arial" w:eastAsia="Arial" w:hAnsi="Arial"/>
                <w:sz w:val="18"/>
                <w:szCs w:val="18"/>
                <w:color w:val="auto"/>
                <w:w w:val="96"/>
              </w:rPr>
              <w:t>The components of deferred income taxes consist of the following:</w:t>
            </w:r>
          </w:p>
        </w:tc>
        <w:tc>
          <w:tcPr>
            <w:tcW w:w="24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5120" w:type="dxa"/>
            <w:vAlign w:val="bottom"/>
            <w:vMerge w:val="continue"/>
          </w:tcPr>
          <w:p>
            <w:pPr>
              <w:spacing w:after="0"/>
              <w:rPr>
                <w:sz w:val="24"/>
                <w:szCs w:val="24"/>
                <w:color w:val="auto"/>
              </w:rPr>
            </w:pPr>
          </w:p>
        </w:tc>
        <w:tc>
          <w:tcPr>
            <w:tcW w:w="24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3"/>
        </w:trPr>
        <w:tc>
          <w:tcPr>
            <w:tcW w:w="5120" w:type="dxa"/>
            <w:vAlign w:val="bottom"/>
            <w:vMerge w:val="restart"/>
          </w:tcPr>
          <w:p>
            <w:pPr>
              <w:ind w:left="460"/>
              <w:spacing w:after="0"/>
              <w:rPr>
                <w:sz w:val="20"/>
                <w:szCs w:val="20"/>
                <w:color w:val="auto"/>
              </w:rPr>
            </w:pPr>
            <w:r>
              <w:rPr>
                <w:rFonts w:ascii="Arial" w:cs="Arial" w:eastAsia="Arial" w:hAnsi="Arial"/>
                <w:sz w:val="18"/>
                <w:szCs w:val="18"/>
                <w:color w:val="auto"/>
              </w:rPr>
              <w:t>Deferred income tax assets:</w:t>
            </w:r>
          </w:p>
        </w:tc>
        <w:tc>
          <w:tcPr>
            <w:tcW w:w="24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0" w:type="dxa"/>
            <w:vAlign w:val="bottom"/>
            <w:tcBorders>
              <w:bottom w:val="single" w:sz="8" w:color="auto"/>
            </w:tcBorders>
          </w:tcPr>
          <w:p>
            <w:pPr>
              <w:jc w:val="right"/>
              <w:ind w:right="175"/>
              <w:spacing w:after="0"/>
              <w:rPr>
                <w:sz w:val="20"/>
                <w:szCs w:val="20"/>
                <w:color w:val="auto"/>
              </w:rPr>
            </w:pPr>
            <w:r>
              <w:rPr>
                <w:rFonts w:ascii="Arial" w:cs="Arial" w:eastAsia="Arial" w:hAnsi="Arial"/>
                <w:sz w:val="14"/>
                <w:szCs w:val="14"/>
                <w:b w:val="1"/>
                <w:bCs w:val="1"/>
                <w:color w:val="auto"/>
              </w:rPr>
              <w:t>2006</w:t>
            </w: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1"/>
        </w:trPr>
        <w:tc>
          <w:tcPr>
            <w:tcW w:w="5120" w:type="dxa"/>
            <w:vAlign w:val="bottom"/>
            <w:vMerge w:val="continue"/>
          </w:tcPr>
          <w:p>
            <w:pPr>
              <w:spacing w:after="0"/>
              <w:rPr>
                <w:sz w:val="17"/>
                <w:szCs w:val="17"/>
                <w:color w:val="auto"/>
              </w:rPr>
            </w:pPr>
          </w:p>
        </w:tc>
        <w:tc>
          <w:tcPr>
            <w:tcW w:w="24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120" w:type="dxa"/>
            <w:vAlign w:val="bottom"/>
          </w:tcPr>
          <w:p>
            <w:pPr>
              <w:ind w:left="900"/>
              <w:spacing w:after="0"/>
              <w:rPr>
                <w:sz w:val="20"/>
                <w:szCs w:val="20"/>
                <w:color w:val="auto"/>
              </w:rPr>
            </w:pPr>
            <w:r>
              <w:rPr>
                <w:rFonts w:ascii="Arial" w:cs="Arial" w:eastAsia="Arial" w:hAnsi="Arial"/>
                <w:sz w:val="18"/>
                <w:szCs w:val="18"/>
                <w:color w:val="auto"/>
              </w:rPr>
              <w:t>Rents received in advance</w:t>
            </w:r>
          </w:p>
        </w:tc>
        <w:tc>
          <w:tcPr>
            <w:tcW w:w="24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w w:val="86"/>
              </w:rPr>
              <w:t>$4,902,000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5120" w:type="dxa"/>
            <w:vAlign w:val="bottom"/>
          </w:tcPr>
          <w:p>
            <w:pPr>
              <w:ind w:left="900"/>
              <w:spacing w:after="0"/>
              <w:rPr>
                <w:sz w:val="20"/>
                <w:szCs w:val="20"/>
                <w:color w:val="auto"/>
              </w:rPr>
            </w:pPr>
            <w:r>
              <w:rPr>
                <w:rFonts w:ascii="Arial" w:cs="Arial" w:eastAsia="Arial" w:hAnsi="Arial"/>
                <w:sz w:val="18"/>
                <w:szCs w:val="18"/>
                <w:color w:val="auto"/>
              </w:rPr>
              <w:t>Supplemental retirement benefits</w:t>
            </w:r>
          </w:p>
        </w:tc>
        <w:tc>
          <w:tcPr>
            <w:tcW w:w="24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8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w w:val="97"/>
              </w:rPr>
              <w:t>1,268,000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120" w:type="dxa"/>
            <w:vAlign w:val="bottom"/>
          </w:tcPr>
          <w:p>
            <w:pPr>
              <w:ind w:left="1340"/>
              <w:spacing w:after="0"/>
              <w:rPr>
                <w:sz w:val="20"/>
                <w:szCs w:val="20"/>
                <w:color w:val="auto"/>
              </w:rPr>
            </w:pPr>
            <w:r>
              <w:rPr>
                <w:rFonts w:ascii="Arial" w:cs="Arial" w:eastAsia="Arial" w:hAnsi="Arial"/>
                <w:sz w:val="18"/>
                <w:szCs w:val="18"/>
                <w:color w:val="auto"/>
              </w:rPr>
              <w:t>TOTAL DEFERRED TAX ASSETS</w:t>
            </w:r>
          </w:p>
        </w:tc>
        <w:tc>
          <w:tcPr>
            <w:tcW w:w="24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w w:val="97"/>
              </w:rPr>
              <w:t>6,170,000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5120" w:type="dxa"/>
            <w:vAlign w:val="bottom"/>
          </w:tcPr>
          <w:p>
            <w:pPr>
              <w:ind w:left="460"/>
              <w:spacing w:after="0"/>
              <w:rPr>
                <w:sz w:val="20"/>
                <w:szCs w:val="20"/>
                <w:color w:val="auto"/>
              </w:rPr>
            </w:pPr>
            <w:r>
              <w:rPr>
                <w:rFonts w:ascii="Arial" w:cs="Arial" w:eastAsia="Arial" w:hAnsi="Arial"/>
                <w:sz w:val="18"/>
                <w:szCs w:val="18"/>
                <w:color w:val="auto"/>
              </w:rPr>
              <w:t>Deferred income tax liabilities:</w:t>
            </w:r>
          </w:p>
        </w:tc>
        <w:tc>
          <w:tcPr>
            <w:tcW w:w="24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5120" w:type="dxa"/>
            <w:vAlign w:val="bottom"/>
          </w:tcPr>
          <w:p>
            <w:pPr>
              <w:ind w:left="900"/>
              <w:spacing w:after="0"/>
              <w:rPr>
                <w:sz w:val="20"/>
                <w:szCs w:val="20"/>
                <w:color w:val="auto"/>
              </w:rPr>
            </w:pPr>
            <w:r>
              <w:rPr>
                <w:rFonts w:ascii="Arial" w:cs="Arial" w:eastAsia="Arial" w:hAnsi="Arial"/>
                <w:sz w:val="18"/>
                <w:szCs w:val="18"/>
                <w:color w:val="auto"/>
              </w:rPr>
              <w:t>Depreciation</w:t>
            </w:r>
          </w:p>
        </w:tc>
        <w:tc>
          <w:tcPr>
            <w:tcW w:w="24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860" w:type="dxa"/>
            <w:vAlign w:val="bottom"/>
            <w:gridSpan w:val="3"/>
          </w:tcPr>
          <w:p>
            <w:pPr>
              <w:jc w:val="right"/>
              <w:spacing w:after="0"/>
              <w:rPr>
                <w:sz w:val="20"/>
                <w:szCs w:val="20"/>
                <w:color w:val="auto"/>
              </w:rPr>
            </w:pPr>
            <w:r>
              <w:rPr>
                <w:rFonts w:ascii="Arial" w:cs="Arial" w:eastAsia="Arial" w:hAnsi="Arial"/>
                <w:sz w:val="18"/>
                <w:szCs w:val="18"/>
                <w:color w:val="auto"/>
              </w:rPr>
              <w:t>(180,000)</w:t>
            </w:r>
          </w:p>
        </w:tc>
        <w:tc>
          <w:tcPr>
            <w:tcW w:w="0" w:type="dxa"/>
            <w:vAlign w:val="bottom"/>
          </w:tcPr>
          <w:p>
            <w:pPr>
              <w:spacing w:after="0"/>
              <w:rPr>
                <w:sz w:val="1"/>
                <w:szCs w:val="1"/>
                <w:color w:val="auto"/>
              </w:rPr>
            </w:pPr>
          </w:p>
        </w:tc>
      </w:tr>
      <w:tr>
        <w:trPr>
          <w:trHeight w:val="20"/>
        </w:trPr>
        <w:tc>
          <w:tcPr>
            <w:tcW w:w="5120" w:type="dxa"/>
            <w:vAlign w:val="bottom"/>
            <w:vMerge w:val="restart"/>
          </w:tcPr>
          <w:p>
            <w:pPr>
              <w:ind w:left="1340"/>
              <w:spacing w:after="0"/>
              <w:rPr>
                <w:sz w:val="20"/>
                <w:szCs w:val="20"/>
                <w:color w:val="auto"/>
              </w:rPr>
            </w:pPr>
            <w:r>
              <w:rPr>
                <w:rFonts w:ascii="Arial" w:cs="Arial" w:eastAsia="Arial" w:hAnsi="Arial"/>
                <w:sz w:val="18"/>
                <w:szCs w:val="18"/>
                <w:color w:val="auto"/>
              </w:rPr>
              <w:t>TOTAL DEFERRED TAX LIABILITIES</w:t>
            </w:r>
          </w:p>
        </w:tc>
        <w:tc>
          <w:tcPr>
            <w:tcW w:w="24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5120" w:type="dxa"/>
            <w:vAlign w:val="bottom"/>
            <w:vMerge w:val="continue"/>
          </w:tcPr>
          <w:p>
            <w:pPr>
              <w:spacing w:after="0"/>
              <w:rPr>
                <w:sz w:val="19"/>
                <w:szCs w:val="19"/>
                <w:color w:val="auto"/>
              </w:rPr>
            </w:pPr>
          </w:p>
        </w:tc>
        <w:tc>
          <w:tcPr>
            <w:tcW w:w="24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860" w:type="dxa"/>
            <w:vAlign w:val="bottom"/>
            <w:gridSpan w:val="3"/>
          </w:tcPr>
          <w:p>
            <w:pPr>
              <w:jc w:val="right"/>
              <w:spacing w:after="0"/>
              <w:rPr>
                <w:sz w:val="20"/>
                <w:szCs w:val="20"/>
                <w:color w:val="auto"/>
              </w:rPr>
            </w:pPr>
            <w:r>
              <w:rPr>
                <w:rFonts w:ascii="Arial" w:cs="Arial" w:eastAsia="Arial" w:hAnsi="Arial"/>
                <w:sz w:val="18"/>
                <w:szCs w:val="18"/>
                <w:color w:val="auto"/>
              </w:rPr>
              <w:t>(180,000)</w:t>
            </w:r>
          </w:p>
        </w:tc>
        <w:tc>
          <w:tcPr>
            <w:tcW w:w="0" w:type="dxa"/>
            <w:vAlign w:val="bottom"/>
          </w:tcPr>
          <w:p>
            <w:pPr>
              <w:spacing w:after="0"/>
              <w:rPr>
                <w:sz w:val="1"/>
                <w:szCs w:val="1"/>
                <w:color w:val="auto"/>
              </w:rPr>
            </w:pPr>
          </w:p>
        </w:tc>
      </w:tr>
      <w:tr>
        <w:trPr>
          <w:trHeight w:val="223"/>
        </w:trPr>
        <w:tc>
          <w:tcPr>
            <w:tcW w:w="5120" w:type="dxa"/>
            <w:vAlign w:val="bottom"/>
          </w:tcPr>
          <w:p>
            <w:pPr>
              <w:ind w:left="1760"/>
              <w:spacing w:after="0"/>
              <w:rPr>
                <w:sz w:val="20"/>
                <w:szCs w:val="20"/>
                <w:color w:val="auto"/>
              </w:rPr>
            </w:pPr>
            <w:r>
              <w:rPr>
                <w:rFonts w:ascii="Arial" w:cs="Arial" w:eastAsia="Arial" w:hAnsi="Arial"/>
                <w:sz w:val="18"/>
                <w:szCs w:val="18"/>
                <w:color w:val="auto"/>
              </w:rPr>
              <w:t>TOTAL NET DEFERRED TAX ASSETS</w:t>
            </w:r>
          </w:p>
        </w:tc>
        <w:tc>
          <w:tcPr>
            <w:tcW w:w="24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82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5,990,000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120" w:type="dxa"/>
            <w:vAlign w:val="bottom"/>
          </w:tcPr>
          <w:p>
            <w:pPr>
              <w:spacing w:after="0" w:line="20" w:lineRule="exact"/>
              <w:rPr>
                <w:sz w:val="1"/>
                <w:szCs w:val="1"/>
                <w:color w:val="auto"/>
              </w:rPr>
            </w:pPr>
          </w:p>
        </w:tc>
        <w:tc>
          <w:tcPr>
            <w:tcW w:w="3700" w:type="dxa"/>
            <w:vAlign w:val="bottom"/>
            <w:gridSpan w:val="3"/>
            <w:vMerge w:val="restart"/>
          </w:tcPr>
          <w:p>
            <w:pPr>
              <w:jc w:val="right"/>
              <w:ind w:right="2900"/>
              <w:spacing w:after="0"/>
              <w:rPr>
                <w:sz w:val="20"/>
                <w:szCs w:val="20"/>
                <w:color w:val="auto"/>
              </w:rPr>
            </w:pPr>
            <w:r>
              <w:rPr>
                <w:rFonts w:ascii="Arial" w:cs="Arial" w:eastAsia="Arial" w:hAnsi="Arial"/>
                <w:sz w:val="18"/>
                <w:szCs w:val="18"/>
                <w:color w:val="auto"/>
              </w:rPr>
              <w:t>F - 67</w:t>
            </w: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5120" w:type="dxa"/>
            <w:vAlign w:val="bottom"/>
          </w:tcPr>
          <w:p>
            <w:pPr>
              <w:spacing w:after="0"/>
              <w:rPr>
                <w:sz w:val="24"/>
                <w:szCs w:val="24"/>
                <w:color w:val="auto"/>
              </w:rPr>
            </w:pPr>
          </w:p>
        </w:tc>
        <w:tc>
          <w:tcPr>
            <w:tcW w:w="3700" w:type="dxa"/>
            <w:vAlign w:val="bottom"/>
            <w:gridSpan w:val="3"/>
            <w:vMerge w:val="continue"/>
          </w:tcPr>
          <w:p>
            <w:pPr>
              <w:spacing w:after="0"/>
              <w:rPr>
                <w:sz w:val="24"/>
                <w:szCs w:val="24"/>
                <w:color w:val="auto"/>
              </w:rPr>
            </w:pPr>
          </w:p>
        </w:tc>
        <w:tc>
          <w:tcPr>
            <w:tcW w:w="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-2639695</wp:posOffset>
            </wp:positionV>
            <wp:extent cx="6663690" cy="13716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6663690" cy="137160"/>
                    </a:xfrm>
                    <a:prstGeom prst="rect">
                      <a:avLst/>
                    </a:prstGeom>
                    <a:noFill/>
                  </pic:spPr>
                </pic:pic>
              </a:graphicData>
            </a:graphic>
          </wp:anchor>
        </w:drawing>
        <w:drawing>
          <wp:anchor simplePos="0" relativeHeight="251657728" behindDoc="1" locked="0" layoutInCell="0" allowOverlap="1">
            <wp:simplePos x="0" y="0"/>
            <wp:positionH relativeFrom="column">
              <wp:posOffset>296545</wp:posOffset>
            </wp:positionH>
            <wp:positionV relativeFrom="paragraph">
              <wp:posOffset>-2364740</wp:posOffset>
            </wp:positionV>
            <wp:extent cx="6663690" cy="13716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6663690" cy="137160"/>
                    </a:xfrm>
                    <a:prstGeom prst="rect">
                      <a:avLst/>
                    </a:prstGeom>
                    <a:noFill/>
                  </pic:spPr>
                </pic:pic>
              </a:graphicData>
            </a:graphic>
          </wp:anchor>
        </w:drawing>
        <w:drawing>
          <wp:anchor simplePos="0" relativeHeight="251657728" behindDoc="1" locked="0" layoutInCell="0" allowOverlap="1">
            <wp:simplePos x="0" y="0"/>
            <wp:positionH relativeFrom="column">
              <wp:posOffset>296545</wp:posOffset>
            </wp:positionH>
            <wp:positionV relativeFrom="paragraph">
              <wp:posOffset>-2073275</wp:posOffset>
            </wp:positionV>
            <wp:extent cx="6663690" cy="13716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6663690" cy="137160"/>
                    </a:xfrm>
                    <a:prstGeom prst="rect">
                      <a:avLst/>
                    </a:prstGeom>
                    <a:noFill/>
                  </pic:spPr>
                </pic:pic>
              </a:graphicData>
            </a:graphic>
          </wp:anchor>
        </w:drawing>
        <w:drawing>
          <wp:anchor simplePos="0" relativeHeight="251657728" behindDoc="1" locked="0" layoutInCell="0" allowOverlap="1">
            <wp:simplePos x="0" y="0"/>
            <wp:positionH relativeFrom="column">
              <wp:posOffset>296545</wp:posOffset>
            </wp:positionH>
            <wp:positionV relativeFrom="paragraph">
              <wp:posOffset>-1430020</wp:posOffset>
            </wp:positionV>
            <wp:extent cx="6663690" cy="13716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6663690" cy="137160"/>
                    </a:xfrm>
                    <a:prstGeom prst="rect">
                      <a:avLst/>
                    </a:prstGeom>
                    <a:noFill/>
                  </pic:spPr>
                </pic:pic>
              </a:graphicData>
            </a:graphic>
          </wp:anchor>
        </w:drawing>
        <w:drawing>
          <wp:anchor simplePos="0" relativeHeight="251657728" behindDoc="1" locked="0" layoutInCell="0" allowOverlap="1">
            <wp:simplePos x="0" y="0"/>
            <wp:positionH relativeFrom="column">
              <wp:posOffset>296545</wp:posOffset>
            </wp:positionH>
            <wp:positionV relativeFrom="paragraph">
              <wp:posOffset>-1155700</wp:posOffset>
            </wp:positionV>
            <wp:extent cx="6663690" cy="13716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6663690" cy="137160"/>
                    </a:xfrm>
                    <a:prstGeom prst="rect">
                      <a:avLst/>
                    </a:prstGeom>
                    <a:noFill/>
                  </pic:spPr>
                </pic:pic>
              </a:graphicData>
            </a:graphic>
          </wp:anchor>
        </w:drawing>
        <w:drawing>
          <wp:anchor simplePos="0" relativeHeight="251657728" behindDoc="1" locked="0" layoutInCell="0" allowOverlap="1">
            <wp:simplePos x="0" y="0"/>
            <wp:positionH relativeFrom="column">
              <wp:posOffset>296545</wp:posOffset>
            </wp:positionH>
            <wp:positionV relativeFrom="paragraph">
              <wp:posOffset>-847090</wp:posOffset>
            </wp:positionV>
            <wp:extent cx="6663690" cy="13716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6663690" cy="137160"/>
                    </a:xfrm>
                    <a:prstGeom prst="rect">
                      <a:avLst/>
                    </a:prstGeom>
                    <a:noFill/>
                  </pic:spPr>
                </pic:pic>
              </a:graphicData>
            </a:graphic>
          </wp:anchor>
        </w:drawing>
        <w:drawing>
          <wp:anchor simplePos="0" relativeHeight="251657728" behindDoc="1" locked="0" layoutInCell="0" allowOverlap="1">
            <wp:simplePos x="0" y="0"/>
            <wp:positionH relativeFrom="column">
              <wp:posOffset>296545</wp:posOffset>
            </wp:positionH>
            <wp:positionV relativeFrom="paragraph">
              <wp:posOffset>-555625</wp:posOffset>
            </wp:positionV>
            <wp:extent cx="6663690" cy="13716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6663690" cy="13716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260"/>
        <w:spacing w:after="0"/>
        <w:rPr>
          <w:sz w:val="20"/>
          <w:szCs w:val="20"/>
          <w:color w:val="auto"/>
        </w:rPr>
      </w:pPr>
      <w:r>
        <w:rPr>
          <w:rFonts w:ascii="Arial" w:cs="Arial" w:eastAsia="Arial" w:hAnsi="Arial"/>
          <w:sz w:val="14"/>
          <w:szCs w:val="14"/>
          <w:b w:val="1"/>
          <w:bCs w:val="1"/>
          <w:color w:val="auto"/>
        </w:rPr>
        <w:t>2004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0</wp:posOffset>
            </wp:positionV>
            <wp:extent cx="506095"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506095" cy="8890"/>
                    </a:xfrm>
                    <a:prstGeom prst="rect">
                      <a:avLst/>
                    </a:prstGeom>
                    <a:noFill/>
                  </pic:spPr>
                </pic:pic>
              </a:graphicData>
            </a:graphic>
          </wp:anchor>
        </w:drawing>
      </w:r>
    </w:p>
    <w:p>
      <w:pPr>
        <w:spacing w:after="0" w:line="202" w:lineRule="exact"/>
        <w:rPr>
          <w:sz w:val="20"/>
          <w:szCs w:val="20"/>
          <w:color w:val="auto"/>
        </w:rPr>
      </w:pPr>
    </w:p>
    <w:p>
      <w:pPr>
        <w:jc w:val="both"/>
        <w:ind w:left="180" w:hanging="180"/>
        <w:spacing w:after="0" w:line="319" w:lineRule="auto"/>
        <w:rPr>
          <w:sz w:val="20"/>
          <w:szCs w:val="20"/>
          <w:color w:val="auto"/>
        </w:rPr>
      </w:pPr>
      <w:r>
        <w:rPr>
          <w:rFonts w:ascii="Arial" w:cs="Arial" w:eastAsia="Arial" w:hAnsi="Arial"/>
          <w:sz w:val="15"/>
          <w:szCs w:val="15"/>
          <w:color w:val="auto"/>
        </w:rPr>
        <w:t>$7,385,000 (111,000)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-10795</wp:posOffset>
            </wp:positionV>
            <wp:extent cx="506095"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506095" cy="8890"/>
                    </a:xfrm>
                    <a:prstGeom prst="rect">
                      <a:avLst/>
                    </a:prstGeom>
                    <a:noFill/>
                  </pic:spPr>
                </pic:pic>
              </a:graphicData>
            </a:graphic>
          </wp:anchor>
        </w:drawing>
      </w:r>
    </w:p>
    <w:p>
      <w:pPr>
        <w:ind w:left="100"/>
        <w:spacing w:after="0"/>
        <w:rPr>
          <w:sz w:val="20"/>
          <w:szCs w:val="20"/>
          <w:color w:val="auto"/>
        </w:rPr>
      </w:pPr>
      <w:r>
        <w:rPr>
          <w:rFonts w:ascii="Arial" w:cs="Arial" w:eastAsia="Arial" w:hAnsi="Arial"/>
          <w:sz w:val="16"/>
          <w:szCs w:val="16"/>
          <w:color w:val="auto"/>
        </w:rPr>
        <w:t>7,274,000</w:t>
      </w:r>
    </w:p>
    <w:p>
      <w:pPr>
        <w:spacing w:after="0" w:line="356" w:lineRule="exact"/>
        <w:rPr>
          <w:sz w:val="20"/>
          <w:szCs w:val="20"/>
          <w:color w:val="auto"/>
        </w:rPr>
      </w:pPr>
    </w:p>
    <w:p>
      <w:pPr>
        <w:jc w:val="right"/>
        <w:ind w:right="60"/>
        <w:spacing w:after="0"/>
        <w:rPr>
          <w:sz w:val="20"/>
          <w:szCs w:val="20"/>
          <w:color w:val="auto"/>
        </w:rPr>
      </w:pPr>
      <w:r>
        <w:rPr>
          <w:rFonts w:ascii="Arial" w:cs="Arial" w:eastAsia="Arial" w:hAnsi="Arial"/>
          <w:sz w:val="16"/>
          <w:szCs w:val="16"/>
          <w:color w:val="auto"/>
        </w:rPr>
        <w:t>1,520,000</w:t>
      </w:r>
    </w:p>
    <w:p>
      <w:pPr>
        <w:spacing w:after="0" w:line="3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(24,000)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6985</wp:posOffset>
            </wp:positionV>
            <wp:extent cx="506095"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506095" cy="8890"/>
                    </a:xfrm>
                    <a:prstGeom prst="rect">
                      <a:avLst/>
                    </a:prstGeom>
                    <a:noFill/>
                  </pic:spPr>
                </pic:pic>
              </a:graphicData>
            </a:graphic>
          </wp:anchor>
        </w:drawing>
      </w:r>
    </w:p>
    <w:p>
      <w:pPr>
        <w:spacing w:after="0" w:line="10" w:lineRule="exact"/>
        <w:rPr>
          <w:sz w:val="20"/>
          <w:szCs w:val="20"/>
          <w:color w:val="auto"/>
        </w:rPr>
      </w:pPr>
    </w:p>
    <w:p>
      <w:pPr>
        <w:ind w:left="100"/>
        <w:spacing w:after="0"/>
        <w:rPr>
          <w:sz w:val="20"/>
          <w:szCs w:val="20"/>
          <w:color w:val="auto"/>
        </w:rPr>
      </w:pPr>
      <w:r>
        <w:rPr>
          <w:rFonts w:ascii="Arial" w:cs="Arial" w:eastAsia="Arial" w:hAnsi="Arial"/>
          <w:sz w:val="16"/>
          <w:szCs w:val="16"/>
          <w:u w:val="single" w:color="auto"/>
          <w:color w:val="auto"/>
        </w:rPr>
        <w:t>1,496,000</w:t>
      </w:r>
    </w:p>
    <w:p>
      <w:pPr>
        <w:spacing w:after="0" w:line="59" w:lineRule="exact"/>
        <w:rPr>
          <w:sz w:val="20"/>
          <w:szCs w:val="20"/>
          <w:color w:val="auto"/>
        </w:rPr>
      </w:pPr>
    </w:p>
    <w:p>
      <w:pPr>
        <w:spacing w:after="0"/>
        <w:rPr>
          <w:sz w:val="20"/>
          <w:szCs w:val="20"/>
          <w:color w:val="auto"/>
        </w:rPr>
      </w:pPr>
      <w:r>
        <w:rPr>
          <w:rFonts w:ascii="Arial" w:cs="Arial" w:eastAsia="Arial" w:hAnsi="Arial"/>
          <w:sz w:val="16"/>
          <w:szCs w:val="16"/>
          <w:u w:val="single" w:color="auto"/>
          <w:color w:val="auto"/>
        </w:rPr>
        <w:t>$8,770,000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42545</wp:posOffset>
            </wp:positionV>
            <wp:extent cx="506095"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50609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ind w:right="60"/>
        <w:spacing w:after="0"/>
        <w:rPr>
          <w:sz w:val="20"/>
          <w:szCs w:val="20"/>
          <w:color w:val="auto"/>
        </w:rPr>
      </w:pPr>
      <w:r>
        <w:rPr>
          <w:rFonts w:ascii="Arial" w:cs="Arial" w:eastAsia="Arial" w:hAnsi="Arial"/>
          <w:sz w:val="14"/>
          <w:szCs w:val="14"/>
          <w:b w:val="1"/>
          <w:bCs w:val="1"/>
          <w:color w:val="auto"/>
        </w:rPr>
        <w:t>2004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0</wp:posOffset>
            </wp:positionV>
            <wp:extent cx="506095"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506095" cy="8890"/>
                    </a:xfrm>
                    <a:prstGeom prst="rect">
                      <a:avLst/>
                    </a:prstGeom>
                    <a:noFill/>
                  </pic:spPr>
                </pic:pic>
              </a:graphicData>
            </a:graphic>
          </wp:anchor>
        </w:drawing>
      </w:r>
    </w:p>
    <w:p>
      <w:pPr>
        <w:jc w:val="both"/>
        <w:ind w:left="220" w:hanging="225"/>
        <w:spacing w:after="0" w:line="288" w:lineRule="auto"/>
        <w:rPr>
          <w:sz w:val="20"/>
          <w:szCs w:val="20"/>
          <w:color w:val="auto"/>
        </w:rPr>
      </w:pPr>
      <w:r>
        <w:rPr>
          <w:rFonts w:ascii="Arial" w:cs="Arial" w:eastAsia="Arial" w:hAnsi="Arial"/>
          <w:sz w:val="16"/>
          <w:szCs w:val="16"/>
          <w:color w:val="auto"/>
        </w:rPr>
        <w:t>$7,638,000 972,400 (21,300) 180,900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-10795</wp:posOffset>
            </wp:positionV>
            <wp:extent cx="506095"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506095" cy="8890"/>
                    </a:xfrm>
                    <a:prstGeom prst="rect">
                      <a:avLst/>
                    </a:prstGeom>
                    <a:noFill/>
                  </pic:spPr>
                </pic:pic>
              </a:graphicData>
            </a:graphic>
          </wp:anchor>
        </w:drawing>
      </w:r>
    </w:p>
    <w:p>
      <w:pPr>
        <w:spacing w:after="0"/>
        <w:rPr>
          <w:sz w:val="20"/>
          <w:szCs w:val="20"/>
          <w:color w:val="auto"/>
        </w:rPr>
      </w:pPr>
      <w:r>
        <w:rPr>
          <w:rFonts w:ascii="Arial" w:cs="Arial" w:eastAsia="Arial" w:hAnsi="Arial"/>
          <w:sz w:val="16"/>
          <w:szCs w:val="16"/>
          <w:u w:val="single" w:color="auto"/>
          <w:color w:val="auto"/>
        </w:rPr>
        <w:t>$9,223,000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42545</wp:posOffset>
            </wp:positionV>
            <wp:extent cx="506095"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50609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260"/>
        <w:spacing w:after="0"/>
        <w:rPr>
          <w:sz w:val="20"/>
          <w:szCs w:val="20"/>
          <w:color w:val="auto"/>
        </w:rPr>
      </w:pPr>
      <w:r>
        <w:rPr>
          <w:rFonts w:ascii="Arial" w:cs="Arial" w:eastAsia="Arial" w:hAnsi="Arial"/>
          <w:sz w:val="14"/>
          <w:szCs w:val="14"/>
          <w:b w:val="1"/>
          <w:bCs w:val="1"/>
          <w:color w:val="auto"/>
        </w:rPr>
        <w:t>2005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0</wp:posOffset>
            </wp:positionV>
            <wp:extent cx="506095"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506095" cy="8890"/>
                    </a:xfrm>
                    <a:prstGeom prst="rect">
                      <a:avLst/>
                    </a:prstGeom>
                    <a:noFill/>
                  </pic:spPr>
                </pic:pic>
              </a:graphicData>
            </a:graphic>
          </wp:anchor>
        </w:drawing>
      </w:r>
    </w:p>
    <w:p>
      <w:pPr>
        <w:spacing w:after="0" w:line="202" w:lineRule="exact"/>
        <w:rPr>
          <w:sz w:val="20"/>
          <w:szCs w:val="20"/>
          <w:color w:val="auto"/>
        </w:rPr>
      </w:pPr>
    </w:p>
    <w:p>
      <w:pPr>
        <w:jc w:val="right"/>
        <w:ind w:right="60"/>
        <w:spacing w:after="0" w:line="319" w:lineRule="auto"/>
        <w:rPr>
          <w:sz w:val="20"/>
          <w:szCs w:val="20"/>
          <w:color w:val="auto"/>
        </w:rPr>
      </w:pPr>
      <w:r>
        <w:rPr>
          <w:rFonts w:ascii="Arial" w:cs="Arial" w:eastAsia="Arial" w:hAnsi="Arial"/>
          <w:sz w:val="15"/>
          <w:szCs w:val="15"/>
          <w:color w:val="auto"/>
        </w:rPr>
        <w:t xml:space="preserve">$4,420,000 </w:t>
      </w:r>
      <w:r>
        <w:rPr>
          <w:rFonts w:ascii="Arial" w:cs="Arial" w:eastAsia="Arial" w:hAnsi="Arial"/>
          <w:sz w:val="15"/>
          <w:szCs w:val="15"/>
          <w:u w:val="single" w:color="auto"/>
          <w:color w:val="auto"/>
        </w:rPr>
        <w:t>1,587,000</w:t>
      </w:r>
    </w:p>
    <w:p>
      <w:pPr>
        <w:spacing w:after="0" w:line="1" w:lineRule="exact"/>
        <w:rPr>
          <w:sz w:val="20"/>
          <w:szCs w:val="20"/>
          <w:color w:val="auto"/>
        </w:rPr>
      </w:pPr>
    </w:p>
    <w:p>
      <w:pPr>
        <w:jc w:val="right"/>
        <w:ind w:right="60"/>
        <w:spacing w:after="0"/>
        <w:rPr>
          <w:sz w:val="20"/>
          <w:szCs w:val="20"/>
          <w:color w:val="auto"/>
        </w:rPr>
      </w:pPr>
      <w:r>
        <w:rPr>
          <w:rFonts w:ascii="Arial" w:cs="Arial" w:eastAsia="Arial" w:hAnsi="Arial"/>
          <w:sz w:val="16"/>
          <w:szCs w:val="16"/>
          <w:u w:val="single" w:color="auto"/>
          <w:color w:val="auto"/>
        </w:rPr>
        <w:t>6,007,000</w:t>
      </w:r>
    </w:p>
    <w:p>
      <w:pPr>
        <w:spacing w:after="0" w:line="275" w:lineRule="exact"/>
        <w:rPr>
          <w:sz w:val="20"/>
          <w:szCs w:val="20"/>
          <w:color w:val="auto"/>
        </w:rPr>
      </w:pPr>
    </w:p>
    <w:p>
      <w:pPr>
        <w:jc w:val="right"/>
        <w:spacing w:after="0" w:line="342" w:lineRule="auto"/>
        <w:rPr>
          <w:sz w:val="20"/>
          <w:szCs w:val="20"/>
          <w:color w:val="auto"/>
        </w:rPr>
      </w:pPr>
      <w:r>
        <w:rPr>
          <w:rFonts w:ascii="Arial" w:cs="Arial" w:eastAsia="Arial" w:hAnsi="Arial"/>
          <w:sz w:val="16"/>
          <w:szCs w:val="16"/>
          <w:color w:val="auto"/>
        </w:rPr>
        <w:t xml:space="preserve">(521,000) (521,000) </w:t>
      </w:r>
      <w:r>
        <w:rPr>
          <w:rFonts w:ascii="Arial" w:cs="Arial" w:eastAsia="Arial" w:hAnsi="Arial"/>
          <w:sz w:val="16"/>
          <w:szCs w:val="16"/>
          <w:u w:val="single" w:color="auto"/>
          <w:color w:val="auto"/>
        </w:rPr>
        <w:t>$5,486,000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-356235</wp:posOffset>
            </wp:positionV>
            <wp:extent cx="506095"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506095"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-201930</wp:posOffset>
            </wp:positionV>
            <wp:extent cx="506095"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506095"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-30480</wp:posOffset>
            </wp:positionV>
            <wp:extent cx="506095"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506095" cy="8890"/>
                    </a:xfrm>
                    <a:prstGeom prst="rect">
                      <a:avLst/>
                    </a:prstGeom>
                    <a:noFill/>
                  </pic:spPr>
                </pic:pic>
              </a:graphicData>
            </a:graphic>
          </wp:anchor>
        </w:drawing>
      </w:r>
    </w:p>
    <w:p>
      <w:pPr>
        <w:sectPr>
          <w:pgSz w:w="11900" w:h="16838" w:orient="portrait"/>
          <w:cols w:equalWidth="0" w:num="2">
            <w:col w:w="9680" w:space="420"/>
            <w:col w:w="860"/>
          </w:cols>
          <w:pgMar w:left="240" w:top="459" w:right="699" w:bottom="1440" w:gutter="0" w:footer="0" w:header="0"/>
        </w:sectPr>
      </w:pPr>
    </w:p>
    <w:bookmarkStart w:id="86" w:name="page87"/>
    <w:bookmarkEnd w:id="8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5100"/>
        <w:spacing w:after="0" w:line="262" w:lineRule="auto"/>
        <w:rPr>
          <w:sz w:val="20"/>
          <w:szCs w:val="20"/>
          <w:color w:val="auto"/>
        </w:rPr>
      </w:pPr>
      <w:r>
        <w:rPr>
          <w:rFonts w:ascii="Arial" w:cs="Arial" w:eastAsia="Arial" w:hAnsi="Arial"/>
          <w:sz w:val="18"/>
          <w:szCs w:val="18"/>
          <w:b w:val="1"/>
          <w:bCs w:val="1"/>
          <w:color w:val="auto"/>
        </w:rPr>
        <w:t>INTERNATIONAL HOME FURNISHINGS CENTER, INC. AND SUBSIDIARIES NOTES TO CONSOLIDATED FINANCIAL STATEMENTS October 31, 2006, 2005 and 2004</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F - COMMITMENTS AND CONTINGENCIES</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Land Lease</w:t>
      </w:r>
    </w:p>
    <w:p>
      <w:pPr>
        <w:spacing w:after="0" w:line="90"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During 1975, the Company completed construction of an eleven-story exhibition building. The building is constructed on land leased from the City of High Point, North Carolina under a noncancelable lease. The lease is for an initial term of fifty years with three options to renew for periods of ten years each and a final renewal option for nineteen years. Annual rental under the lease is $163,689 as of October 31, 2006 and is subject to adjustment at the end of each five-year period, such adjustment being computed as defined in the lease agreement. As part of the lease agreement, the Company constructed a theater complex for public use and office space for use by the City of High Point on the lower levels of the building. Annual rental cash payments over the initial fifty-year lease term are being reduced by $39,121 which represents amortization of the cost of the theater and office complex constructed for the City of High Point. The unamortized cost of the theater and office complex is reported on the consolidated balance sheet as prepaid rent. At the termination of the lease, the building becomes the property of the City of High Point. Under the terms of the lease, the Company is responsible for all expenses applicable to the exhibition portion of the building. The City of High Point is responsible for all expenses applicable to the theater complex and office space constructed for use by the City.</w:t>
      </w:r>
    </w:p>
    <w:p>
      <w:pPr>
        <w:spacing w:after="0" w:line="120"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9700" w:type="dxa"/>
            <w:vAlign w:val="bottom"/>
            <w:gridSpan w:val="2"/>
          </w:tcPr>
          <w:p>
            <w:pPr>
              <w:jc w:val="right"/>
              <w:ind w:right="3972"/>
              <w:spacing w:after="0"/>
              <w:rPr>
                <w:sz w:val="20"/>
                <w:szCs w:val="20"/>
                <w:color w:val="auto"/>
              </w:rPr>
            </w:pPr>
            <w:r>
              <w:rPr>
                <w:rFonts w:ascii="Arial" w:cs="Arial" w:eastAsia="Arial" w:hAnsi="Arial"/>
                <w:sz w:val="18"/>
                <w:szCs w:val="18"/>
                <w:color w:val="auto"/>
                <w:w w:val="87"/>
              </w:rPr>
              <w:t>Future minimum lease payments due under the terms of the lease are as follows:</w:t>
            </w: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r>
      <w:tr>
        <w:trPr>
          <w:trHeight w:val="205"/>
        </w:trPr>
        <w:tc>
          <w:tcPr>
            <w:tcW w:w="920" w:type="dxa"/>
            <w:vAlign w:val="bottom"/>
          </w:tcPr>
          <w:p>
            <w:pPr>
              <w:spacing w:after="0"/>
              <w:rPr>
                <w:sz w:val="17"/>
                <w:szCs w:val="17"/>
                <w:color w:val="auto"/>
              </w:rPr>
            </w:pPr>
          </w:p>
        </w:tc>
        <w:tc>
          <w:tcPr>
            <w:tcW w:w="8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r>
      <w:tr>
        <w:trPr>
          <w:trHeight w:val="216"/>
        </w:trPr>
        <w:tc>
          <w:tcPr>
            <w:tcW w:w="920" w:type="dxa"/>
            <w:vAlign w:val="bottom"/>
          </w:tcPr>
          <w:p>
            <w:pPr>
              <w:spacing w:after="0"/>
              <w:rPr>
                <w:sz w:val="18"/>
                <w:szCs w:val="18"/>
                <w:color w:val="auto"/>
              </w:rPr>
            </w:pPr>
          </w:p>
        </w:tc>
        <w:tc>
          <w:tcPr>
            <w:tcW w:w="8780" w:type="dxa"/>
            <w:vAlign w:val="bottom"/>
            <w:shd w:val="clear" w:color="auto" w:fill="CCEEFF"/>
          </w:tcPr>
          <w:p>
            <w:pPr>
              <w:spacing w:after="0"/>
              <w:rPr>
                <w:sz w:val="20"/>
                <w:szCs w:val="20"/>
                <w:color w:val="auto"/>
              </w:rPr>
            </w:pPr>
            <w:r>
              <w:rPr>
                <w:rFonts w:ascii="Arial" w:cs="Arial" w:eastAsia="Arial" w:hAnsi="Arial"/>
                <w:sz w:val="18"/>
                <w:szCs w:val="18"/>
                <w:color w:val="auto"/>
              </w:rPr>
              <w:t>Year Ending October 31,</w:t>
            </w: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r>
      <w:tr>
        <w:trPr>
          <w:trHeight w:val="216"/>
        </w:trPr>
        <w:tc>
          <w:tcPr>
            <w:tcW w:w="920" w:type="dxa"/>
            <w:vAlign w:val="bottom"/>
          </w:tcPr>
          <w:p>
            <w:pPr>
              <w:spacing w:after="0"/>
              <w:rPr>
                <w:sz w:val="18"/>
                <w:szCs w:val="18"/>
                <w:color w:val="auto"/>
              </w:rPr>
            </w:pPr>
          </w:p>
        </w:tc>
        <w:tc>
          <w:tcPr>
            <w:tcW w:w="8780" w:type="dxa"/>
            <w:vAlign w:val="bottom"/>
          </w:tcPr>
          <w:p>
            <w:pPr>
              <w:jc w:val="right"/>
              <w:ind w:right="7912"/>
              <w:spacing w:after="0"/>
              <w:rPr>
                <w:sz w:val="20"/>
                <w:szCs w:val="20"/>
                <w:color w:val="auto"/>
              </w:rPr>
            </w:pPr>
            <w:r>
              <w:rPr>
                <w:rFonts w:ascii="Arial" w:cs="Arial" w:eastAsia="Arial" w:hAnsi="Arial"/>
                <w:sz w:val="18"/>
                <w:szCs w:val="18"/>
                <w:color w:val="auto"/>
              </w:rPr>
              <w:t>2007</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124,568</w:t>
            </w:r>
          </w:p>
        </w:tc>
      </w:tr>
      <w:tr>
        <w:trPr>
          <w:trHeight w:val="216"/>
        </w:trPr>
        <w:tc>
          <w:tcPr>
            <w:tcW w:w="920" w:type="dxa"/>
            <w:vAlign w:val="bottom"/>
          </w:tcPr>
          <w:p>
            <w:pPr>
              <w:spacing w:after="0"/>
              <w:rPr>
                <w:sz w:val="18"/>
                <w:szCs w:val="18"/>
                <w:color w:val="auto"/>
              </w:rPr>
            </w:pPr>
          </w:p>
        </w:tc>
        <w:tc>
          <w:tcPr>
            <w:tcW w:w="8780" w:type="dxa"/>
            <w:vAlign w:val="bottom"/>
            <w:shd w:val="clear" w:color="auto" w:fill="CCEEFF"/>
          </w:tcPr>
          <w:p>
            <w:pPr>
              <w:jc w:val="right"/>
              <w:ind w:right="7912"/>
              <w:spacing w:after="0"/>
              <w:rPr>
                <w:sz w:val="20"/>
                <w:szCs w:val="20"/>
                <w:color w:val="auto"/>
              </w:rPr>
            </w:pPr>
            <w:r>
              <w:rPr>
                <w:rFonts w:ascii="Arial" w:cs="Arial" w:eastAsia="Arial" w:hAnsi="Arial"/>
                <w:sz w:val="18"/>
                <w:szCs w:val="18"/>
                <w:color w:val="auto"/>
              </w:rPr>
              <w:t>2008</w:t>
            </w: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124,568</w:t>
            </w:r>
          </w:p>
        </w:tc>
      </w:tr>
      <w:tr>
        <w:trPr>
          <w:trHeight w:val="216"/>
        </w:trPr>
        <w:tc>
          <w:tcPr>
            <w:tcW w:w="920" w:type="dxa"/>
            <w:vAlign w:val="bottom"/>
          </w:tcPr>
          <w:p>
            <w:pPr>
              <w:spacing w:after="0"/>
              <w:rPr>
                <w:sz w:val="18"/>
                <w:szCs w:val="18"/>
                <w:color w:val="auto"/>
              </w:rPr>
            </w:pPr>
          </w:p>
        </w:tc>
        <w:tc>
          <w:tcPr>
            <w:tcW w:w="8780" w:type="dxa"/>
            <w:vAlign w:val="bottom"/>
          </w:tcPr>
          <w:p>
            <w:pPr>
              <w:jc w:val="right"/>
              <w:ind w:right="7912"/>
              <w:spacing w:after="0"/>
              <w:rPr>
                <w:sz w:val="20"/>
                <w:szCs w:val="20"/>
                <w:color w:val="auto"/>
              </w:rPr>
            </w:pPr>
            <w:r>
              <w:rPr>
                <w:rFonts w:ascii="Arial" w:cs="Arial" w:eastAsia="Arial" w:hAnsi="Arial"/>
                <w:sz w:val="18"/>
                <w:szCs w:val="18"/>
                <w:color w:val="auto"/>
              </w:rPr>
              <w:t>2009</w:t>
            </w: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124,568</w:t>
            </w:r>
          </w:p>
        </w:tc>
      </w:tr>
      <w:tr>
        <w:trPr>
          <w:trHeight w:val="216"/>
        </w:trPr>
        <w:tc>
          <w:tcPr>
            <w:tcW w:w="920" w:type="dxa"/>
            <w:vAlign w:val="bottom"/>
          </w:tcPr>
          <w:p>
            <w:pPr>
              <w:spacing w:after="0"/>
              <w:rPr>
                <w:sz w:val="18"/>
                <w:szCs w:val="18"/>
                <w:color w:val="auto"/>
              </w:rPr>
            </w:pPr>
          </w:p>
        </w:tc>
        <w:tc>
          <w:tcPr>
            <w:tcW w:w="8780" w:type="dxa"/>
            <w:vAlign w:val="bottom"/>
            <w:shd w:val="clear" w:color="auto" w:fill="CCEEFF"/>
          </w:tcPr>
          <w:p>
            <w:pPr>
              <w:jc w:val="right"/>
              <w:ind w:right="7912"/>
              <w:spacing w:after="0"/>
              <w:rPr>
                <w:sz w:val="20"/>
                <w:szCs w:val="20"/>
                <w:color w:val="auto"/>
              </w:rPr>
            </w:pPr>
            <w:r>
              <w:rPr>
                <w:rFonts w:ascii="Arial" w:cs="Arial" w:eastAsia="Arial" w:hAnsi="Arial"/>
                <w:sz w:val="18"/>
                <w:szCs w:val="18"/>
                <w:color w:val="auto"/>
              </w:rPr>
              <w:t>2010</w:t>
            </w: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124,568</w:t>
            </w:r>
          </w:p>
        </w:tc>
      </w:tr>
      <w:tr>
        <w:trPr>
          <w:trHeight w:val="216"/>
        </w:trPr>
        <w:tc>
          <w:tcPr>
            <w:tcW w:w="920" w:type="dxa"/>
            <w:vAlign w:val="bottom"/>
          </w:tcPr>
          <w:p>
            <w:pPr>
              <w:spacing w:after="0"/>
              <w:rPr>
                <w:sz w:val="18"/>
                <w:szCs w:val="18"/>
                <w:color w:val="auto"/>
              </w:rPr>
            </w:pPr>
          </w:p>
        </w:tc>
        <w:tc>
          <w:tcPr>
            <w:tcW w:w="8780" w:type="dxa"/>
            <w:vAlign w:val="bottom"/>
          </w:tcPr>
          <w:p>
            <w:pPr>
              <w:jc w:val="right"/>
              <w:ind w:right="7912"/>
              <w:spacing w:after="0"/>
              <w:rPr>
                <w:sz w:val="20"/>
                <w:szCs w:val="20"/>
                <w:color w:val="auto"/>
              </w:rPr>
            </w:pPr>
            <w:r>
              <w:rPr>
                <w:rFonts w:ascii="Arial" w:cs="Arial" w:eastAsia="Arial" w:hAnsi="Arial"/>
                <w:sz w:val="18"/>
                <w:szCs w:val="18"/>
                <w:color w:val="auto"/>
              </w:rPr>
              <w:t>2011</w:t>
            </w: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124,568</w:t>
            </w:r>
          </w:p>
        </w:tc>
      </w:tr>
      <w:tr>
        <w:trPr>
          <w:trHeight w:val="216"/>
        </w:trPr>
        <w:tc>
          <w:tcPr>
            <w:tcW w:w="920" w:type="dxa"/>
            <w:vAlign w:val="bottom"/>
          </w:tcPr>
          <w:p>
            <w:pPr>
              <w:spacing w:after="0"/>
              <w:rPr>
                <w:sz w:val="18"/>
                <w:szCs w:val="18"/>
                <w:color w:val="auto"/>
              </w:rPr>
            </w:pPr>
          </w:p>
        </w:tc>
        <w:tc>
          <w:tcPr>
            <w:tcW w:w="8780" w:type="dxa"/>
            <w:vAlign w:val="bottom"/>
            <w:shd w:val="clear" w:color="auto" w:fill="CCEEFF"/>
          </w:tcPr>
          <w:p>
            <w:pPr>
              <w:spacing w:after="0"/>
              <w:rPr>
                <w:sz w:val="20"/>
                <w:szCs w:val="20"/>
                <w:color w:val="auto"/>
              </w:rPr>
            </w:pPr>
            <w:r>
              <w:rPr>
                <w:rFonts w:ascii="Arial" w:cs="Arial" w:eastAsia="Arial" w:hAnsi="Arial"/>
                <w:sz w:val="18"/>
                <w:szCs w:val="18"/>
                <w:color w:val="auto"/>
              </w:rPr>
              <w:t>Due after five years</w:t>
            </w:r>
          </w:p>
        </w:tc>
        <w:tc>
          <w:tcPr>
            <w:tcW w:w="10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1,442,913</w:t>
            </w:r>
          </w:p>
        </w:tc>
      </w:tr>
      <w:tr>
        <w:trPr>
          <w:trHeight w:val="222"/>
        </w:trPr>
        <w:tc>
          <w:tcPr>
            <w:tcW w:w="920" w:type="dxa"/>
            <w:vAlign w:val="bottom"/>
          </w:tcPr>
          <w:p>
            <w:pPr>
              <w:spacing w:after="0"/>
              <w:rPr>
                <w:sz w:val="19"/>
                <w:szCs w:val="19"/>
                <w:color w:val="auto"/>
              </w:rPr>
            </w:pPr>
          </w:p>
        </w:tc>
        <w:tc>
          <w:tcPr>
            <w:tcW w:w="878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4"/>
              </w:rPr>
              <w:t>2,065,753</w:t>
            </w:r>
          </w:p>
        </w:tc>
      </w:tr>
      <w:tr>
        <w:trPr>
          <w:trHeight w:val="20"/>
        </w:trPr>
        <w:tc>
          <w:tcPr>
            <w:tcW w:w="920" w:type="dxa"/>
            <w:vAlign w:val="bottom"/>
          </w:tcPr>
          <w:p>
            <w:pPr>
              <w:spacing w:after="0" w:line="20" w:lineRule="exact"/>
              <w:rPr>
                <w:sz w:val="1"/>
                <w:szCs w:val="1"/>
                <w:color w:val="auto"/>
              </w:rPr>
            </w:pPr>
          </w:p>
        </w:tc>
        <w:tc>
          <w:tcPr>
            <w:tcW w:w="87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bl>
    <w:p>
      <w:pPr>
        <w:spacing w:after="0" w:line="24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Other Commitments</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color w:val="auto"/>
        </w:rPr>
        <w:t>At October 31, 2006, the Company has outstanding commitments for building improvements of approximately $595,000.</w:t>
      </w:r>
    </w:p>
    <w:p>
      <w:pPr>
        <w:spacing w:after="0" w:line="171"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color w:val="auto"/>
        </w:rPr>
        <w:t>The Company has entered into a noncancelable elevator maintenance contract that expires January 31, 2007. The contract requires monthly payments of $21,000, with a 4% escalation cap over the life of the contract.</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- 68</w:t>
      </w:r>
    </w:p>
    <w:p>
      <w:pPr>
        <w:sectPr>
          <w:pgSz w:w="11900" w:h="16838" w:orient="portrait"/>
          <w:cols w:equalWidth="0" w:num="1">
            <w:col w:w="11400"/>
          </w:cols>
          <w:pgMar w:left="240" w:top="459" w:right="259" w:bottom="1440" w:gutter="0" w:footer="0" w:header="0"/>
        </w:sectPr>
      </w:pPr>
    </w:p>
    <w:bookmarkStart w:id="87" w:name="page88"/>
    <w:bookmarkEnd w:id="8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5040"/>
        <w:spacing w:after="0" w:line="262" w:lineRule="auto"/>
        <w:rPr>
          <w:sz w:val="20"/>
          <w:szCs w:val="20"/>
          <w:color w:val="auto"/>
        </w:rPr>
      </w:pPr>
      <w:r>
        <w:rPr>
          <w:rFonts w:ascii="Arial" w:cs="Arial" w:eastAsia="Arial" w:hAnsi="Arial"/>
          <w:sz w:val="18"/>
          <w:szCs w:val="18"/>
          <w:b w:val="1"/>
          <w:bCs w:val="1"/>
          <w:color w:val="auto"/>
        </w:rPr>
        <w:t>INTERNATIONAL HOME FURNISHINGS CENTER, INC. AND SUBSIDIARIES NOTES TO CONSOLIDATED FINANCIAL STATEMENTS October 31, 2006, 2005 and 2004</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F - COMMITMENTS AND CONTINGENCIES (Continued)</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Contingencies</w:t>
      </w:r>
    </w:p>
    <w:p>
      <w:pPr>
        <w:spacing w:after="0" w:line="90"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 xml:space="preserve">Financial Accounting Standards Board Statement 143, </w:t>
      </w:r>
      <w:r>
        <w:rPr>
          <w:rFonts w:ascii="Arial" w:cs="Arial" w:eastAsia="Arial" w:hAnsi="Arial"/>
          <w:sz w:val="16"/>
          <w:szCs w:val="16"/>
          <w:i w:val="1"/>
          <w:iCs w:val="1"/>
          <w:color w:val="auto"/>
        </w:rPr>
        <w:t>Accounting for Conditional Asset Retirement Obligations,</w:t>
      </w:r>
      <w:r>
        <w:rPr>
          <w:rFonts w:ascii="Arial" w:cs="Arial" w:eastAsia="Arial" w:hAnsi="Arial"/>
          <w:sz w:val="16"/>
          <w:szCs w:val="16"/>
          <w:color w:val="auto"/>
        </w:rPr>
        <w:t xml:space="preserve"> requires that the Company evaluate its assets to determine the existence of future retirement liabilities resulting from statutory or contractual responsibilities. As of October 31, 2006, the company was unable to estimate the range of settlement dates and the related probabilities for certain asbestos remediation asset retirement obligations (AROs). These conditional AROs are primarily related to fireproofing material containing asbestos installed on portions of its skeletal steel in one exhibition building totaling approximately 376,000 square feet. The asbestos is not subject to abatement unless the buildings are either demolished or the company undertakes major renovations. Because these conditional obligations have indeterminate settlement dates, the company could not develop a reasonable estimate of their fair values. The company will continue to assess its ability to estimate fair values at each future reporting date. The liability will be recognized once sufficient additional information becomes available.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G - RETIREMENT EXPENSE</w:t>
      </w:r>
    </w:p>
    <w:p>
      <w:pPr>
        <w:spacing w:after="0" w:line="96"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color w:val="auto"/>
        </w:rPr>
        <w:t>Amounts expensed under the Company’s 401(k) qualified retirement plan amounted to $189,861, $185,407, and $178,247 for the years ended October 31, 2006, 2005 and 2004, respectively.</w:t>
      </w:r>
    </w:p>
    <w:p>
      <w:pPr>
        <w:spacing w:after="0" w:line="132" w:lineRule="exact"/>
        <w:rPr>
          <w:sz w:val="20"/>
          <w:szCs w:val="20"/>
          <w:color w:val="auto"/>
        </w:rPr>
      </w:pPr>
    </w:p>
    <w:p>
      <w:pPr>
        <w:ind w:right="140"/>
        <w:spacing w:after="0" w:line="268" w:lineRule="auto"/>
        <w:rPr>
          <w:sz w:val="20"/>
          <w:szCs w:val="20"/>
          <w:color w:val="auto"/>
        </w:rPr>
      </w:pPr>
      <w:r>
        <w:rPr>
          <w:rFonts w:ascii="Arial" w:cs="Arial" w:eastAsia="Arial" w:hAnsi="Arial"/>
          <w:sz w:val="18"/>
          <w:szCs w:val="18"/>
          <w:color w:val="auto"/>
        </w:rPr>
        <w:t>The following table sets forth the benefit obligation, and the funded status of the Company’s nonqualified supplemental retirement plan, amounts recognized in the Company’s financial statements; and the principal weighted average assumptions used:</w:t>
      </w:r>
    </w:p>
    <w:p>
      <w:pPr>
        <w:spacing w:after="0" w:line="168"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4140" w:type="dxa"/>
            <w:vAlign w:val="bottom"/>
          </w:tcPr>
          <w:p>
            <w:pPr>
              <w:spacing w:after="0"/>
              <w:rPr>
                <w:sz w:val="14"/>
                <w:szCs w:val="14"/>
                <w:color w:val="auto"/>
              </w:rPr>
            </w:pPr>
          </w:p>
        </w:tc>
        <w:tc>
          <w:tcPr>
            <w:tcW w:w="3760" w:type="dxa"/>
            <w:vAlign w:val="bottom"/>
            <w:gridSpan w:val="2"/>
          </w:tcPr>
          <w:p>
            <w:pPr>
              <w:jc w:val="right"/>
              <w:ind w:right="212"/>
              <w:spacing w:after="0"/>
              <w:rPr>
                <w:sz w:val="20"/>
                <w:szCs w:val="20"/>
                <w:color w:val="auto"/>
              </w:rPr>
            </w:pPr>
            <w:r>
              <w:rPr>
                <w:rFonts w:ascii="Arial" w:cs="Arial" w:eastAsia="Arial" w:hAnsi="Arial"/>
                <w:sz w:val="14"/>
                <w:szCs w:val="14"/>
                <w:b w:val="1"/>
                <w:bCs w:val="1"/>
                <w:color w:val="auto"/>
              </w:rPr>
              <w:t>2006</w:t>
            </w:r>
          </w:p>
        </w:tc>
        <w:tc>
          <w:tcPr>
            <w:tcW w:w="460" w:type="dxa"/>
            <w:vAlign w:val="bottom"/>
          </w:tcPr>
          <w:p>
            <w:pPr>
              <w:spacing w:after="0"/>
              <w:rPr>
                <w:sz w:val="14"/>
                <w:szCs w:val="14"/>
                <w:color w:val="auto"/>
              </w:rPr>
            </w:pPr>
          </w:p>
        </w:tc>
        <w:tc>
          <w:tcPr>
            <w:tcW w:w="800" w:type="dxa"/>
            <w:vAlign w:val="bottom"/>
          </w:tcPr>
          <w:p>
            <w:pPr>
              <w:jc w:val="right"/>
              <w:ind w:right="174"/>
              <w:spacing w:after="0"/>
              <w:rPr>
                <w:sz w:val="20"/>
                <w:szCs w:val="20"/>
                <w:color w:val="auto"/>
              </w:rPr>
            </w:pPr>
            <w:r>
              <w:rPr>
                <w:rFonts w:ascii="Arial" w:cs="Arial" w:eastAsia="Arial" w:hAnsi="Arial"/>
                <w:sz w:val="14"/>
                <w:szCs w:val="14"/>
                <w:b w:val="1"/>
                <w:bCs w:val="1"/>
                <w:color w:val="auto"/>
              </w:rPr>
              <w:t>2005</w:t>
            </w:r>
          </w:p>
        </w:tc>
        <w:tc>
          <w:tcPr>
            <w:tcW w:w="260" w:type="dxa"/>
            <w:vAlign w:val="bottom"/>
          </w:tcPr>
          <w:p>
            <w:pPr>
              <w:spacing w:after="0"/>
              <w:rPr>
                <w:sz w:val="14"/>
                <w:szCs w:val="14"/>
                <w:color w:val="auto"/>
              </w:rPr>
            </w:pPr>
          </w:p>
        </w:tc>
        <w:tc>
          <w:tcPr>
            <w:tcW w:w="1020" w:type="dxa"/>
            <w:vAlign w:val="bottom"/>
            <w:gridSpan w:val="2"/>
          </w:tcPr>
          <w:p>
            <w:pPr>
              <w:jc w:val="right"/>
              <w:ind w:right="172"/>
              <w:spacing w:after="0"/>
              <w:rPr>
                <w:sz w:val="20"/>
                <w:szCs w:val="20"/>
                <w:color w:val="auto"/>
              </w:rPr>
            </w:pPr>
            <w:r>
              <w:rPr>
                <w:rFonts w:ascii="Arial" w:cs="Arial" w:eastAsia="Arial" w:hAnsi="Arial"/>
                <w:sz w:val="14"/>
                <w:szCs w:val="14"/>
                <w:b w:val="1"/>
                <w:bCs w:val="1"/>
                <w:color w:val="auto"/>
              </w:rPr>
              <w:t>2004</w:t>
            </w:r>
          </w:p>
        </w:tc>
        <w:tc>
          <w:tcPr>
            <w:tcW w:w="60" w:type="dxa"/>
            <w:vAlign w:val="bottom"/>
          </w:tcPr>
          <w:p>
            <w:pPr>
              <w:spacing w:after="0"/>
              <w:rPr>
                <w:sz w:val="14"/>
                <w:szCs w:val="14"/>
                <w:color w:val="auto"/>
              </w:rPr>
            </w:pPr>
          </w:p>
        </w:tc>
      </w:tr>
      <w:tr>
        <w:trPr>
          <w:trHeight w:val="210"/>
        </w:trPr>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Reconciliation of benefit obligation</w:t>
            </w:r>
          </w:p>
        </w:tc>
        <w:tc>
          <w:tcPr>
            <w:tcW w:w="2880" w:type="dxa"/>
            <w:vAlign w:val="bottom"/>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4140" w:type="dxa"/>
            <w:vAlign w:val="bottom"/>
          </w:tcPr>
          <w:p>
            <w:pPr>
              <w:ind w:left="440"/>
              <w:spacing w:after="0"/>
              <w:rPr>
                <w:sz w:val="20"/>
                <w:szCs w:val="20"/>
                <w:color w:val="auto"/>
              </w:rPr>
            </w:pPr>
            <w:r>
              <w:rPr>
                <w:rFonts w:ascii="Arial" w:cs="Arial" w:eastAsia="Arial" w:hAnsi="Arial"/>
                <w:sz w:val="18"/>
                <w:szCs w:val="18"/>
                <w:color w:val="auto"/>
              </w:rPr>
              <w:t>Obligation at November 1</w:t>
            </w:r>
          </w:p>
        </w:tc>
        <w:tc>
          <w:tcPr>
            <w:tcW w:w="3760" w:type="dxa"/>
            <w:vAlign w:val="bottom"/>
            <w:gridSpan w:val="2"/>
          </w:tcPr>
          <w:p>
            <w:pPr>
              <w:jc w:val="right"/>
              <w:spacing w:after="0"/>
              <w:rPr>
                <w:sz w:val="20"/>
                <w:szCs w:val="20"/>
                <w:color w:val="auto"/>
              </w:rPr>
            </w:pPr>
            <w:r>
              <w:rPr>
                <w:rFonts w:ascii="Arial" w:cs="Arial" w:eastAsia="Arial" w:hAnsi="Arial"/>
                <w:sz w:val="18"/>
                <w:szCs w:val="18"/>
                <w:color w:val="auto"/>
              </w:rPr>
              <w:t>$ 4,391,341</w:t>
            </w:r>
          </w:p>
        </w:tc>
        <w:tc>
          <w:tcPr>
            <w:tcW w:w="460" w:type="dxa"/>
            <w:vAlign w:val="bottom"/>
          </w:tcPr>
          <w:p>
            <w:pPr>
              <w:spacing w:after="0"/>
              <w:rPr>
                <w:sz w:val="18"/>
                <w:szCs w:val="18"/>
                <w:color w:val="auto"/>
              </w:rPr>
            </w:pPr>
          </w:p>
        </w:tc>
        <w:tc>
          <w:tcPr>
            <w:tcW w:w="1060" w:type="dxa"/>
            <w:vAlign w:val="bottom"/>
            <w:gridSpan w:val="2"/>
          </w:tcPr>
          <w:p>
            <w:pPr>
              <w:jc w:val="right"/>
              <w:ind w:right="260"/>
              <w:spacing w:after="0"/>
              <w:rPr>
                <w:sz w:val="20"/>
                <w:szCs w:val="20"/>
                <w:color w:val="auto"/>
              </w:rPr>
            </w:pPr>
            <w:r>
              <w:rPr>
                <w:rFonts w:ascii="Arial" w:cs="Arial" w:eastAsia="Arial" w:hAnsi="Arial"/>
                <w:sz w:val="18"/>
                <w:szCs w:val="18"/>
                <w:color w:val="auto"/>
                <w:w w:val="86"/>
              </w:rPr>
              <w:t>$3,307,416</w:t>
            </w: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$2,678,850</w:t>
            </w:r>
          </w:p>
        </w:tc>
        <w:tc>
          <w:tcPr>
            <w:tcW w:w="60" w:type="dxa"/>
            <w:vAlign w:val="bottom"/>
          </w:tcPr>
          <w:p>
            <w:pPr>
              <w:spacing w:after="0"/>
              <w:rPr>
                <w:sz w:val="18"/>
                <w:szCs w:val="18"/>
                <w:color w:val="auto"/>
              </w:rPr>
            </w:pPr>
          </w:p>
        </w:tc>
      </w:tr>
      <w:tr>
        <w:trPr>
          <w:trHeight w:val="216"/>
        </w:trPr>
        <w:tc>
          <w:tcPr>
            <w:tcW w:w="41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Service cost</w:t>
            </w:r>
          </w:p>
        </w:tc>
        <w:tc>
          <w:tcPr>
            <w:tcW w:w="3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421,073</w:t>
            </w:r>
          </w:p>
        </w:tc>
        <w:tc>
          <w:tcPr>
            <w:tcW w:w="4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1,063,490</w:t>
            </w:r>
          </w:p>
        </w:tc>
        <w:tc>
          <w:tcPr>
            <w:tcW w:w="10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111,629</w:t>
            </w:r>
          </w:p>
        </w:tc>
      </w:tr>
      <w:tr>
        <w:trPr>
          <w:trHeight w:val="216"/>
        </w:trPr>
        <w:tc>
          <w:tcPr>
            <w:tcW w:w="4140" w:type="dxa"/>
            <w:vAlign w:val="bottom"/>
          </w:tcPr>
          <w:p>
            <w:pPr>
              <w:ind w:left="440"/>
              <w:spacing w:after="0"/>
              <w:rPr>
                <w:sz w:val="20"/>
                <w:szCs w:val="20"/>
                <w:color w:val="auto"/>
              </w:rPr>
            </w:pPr>
            <w:r>
              <w:rPr>
                <w:rFonts w:ascii="Arial" w:cs="Arial" w:eastAsia="Arial" w:hAnsi="Arial"/>
                <w:sz w:val="18"/>
                <w:szCs w:val="18"/>
                <w:color w:val="auto"/>
              </w:rPr>
              <w:t>Interest cost</w:t>
            </w:r>
          </w:p>
        </w:tc>
        <w:tc>
          <w:tcPr>
            <w:tcW w:w="3760" w:type="dxa"/>
            <w:vAlign w:val="bottom"/>
            <w:gridSpan w:val="2"/>
          </w:tcPr>
          <w:p>
            <w:pPr>
              <w:jc w:val="right"/>
              <w:spacing w:after="0"/>
              <w:rPr>
                <w:sz w:val="20"/>
                <w:szCs w:val="20"/>
                <w:color w:val="auto"/>
              </w:rPr>
            </w:pPr>
            <w:r>
              <w:rPr>
                <w:rFonts w:ascii="Arial" w:cs="Arial" w:eastAsia="Arial" w:hAnsi="Arial"/>
                <w:sz w:val="18"/>
                <w:szCs w:val="18"/>
                <w:color w:val="auto"/>
              </w:rPr>
              <w:t>138,737</w:t>
            </w:r>
          </w:p>
        </w:tc>
        <w:tc>
          <w:tcPr>
            <w:tcW w:w="460" w:type="dxa"/>
            <w:vAlign w:val="bottom"/>
          </w:tcPr>
          <w:p>
            <w:pPr>
              <w:spacing w:after="0"/>
              <w:rPr>
                <w:sz w:val="18"/>
                <w:szCs w:val="18"/>
                <w:color w:val="auto"/>
              </w:rPr>
            </w:pPr>
          </w:p>
        </w:tc>
        <w:tc>
          <w:tcPr>
            <w:tcW w:w="1060" w:type="dxa"/>
            <w:vAlign w:val="bottom"/>
            <w:gridSpan w:val="2"/>
          </w:tcPr>
          <w:p>
            <w:pPr>
              <w:jc w:val="right"/>
              <w:ind w:right="260"/>
              <w:spacing w:after="0"/>
              <w:rPr>
                <w:sz w:val="20"/>
                <w:szCs w:val="20"/>
                <w:color w:val="auto"/>
              </w:rPr>
            </w:pPr>
            <w:r>
              <w:rPr>
                <w:rFonts w:ascii="Arial" w:cs="Arial" w:eastAsia="Arial" w:hAnsi="Arial"/>
                <w:sz w:val="18"/>
                <w:szCs w:val="18"/>
                <w:color w:val="auto"/>
              </w:rPr>
              <w:t>206,495</w:t>
            </w: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64,256</w:t>
            </w:r>
          </w:p>
        </w:tc>
        <w:tc>
          <w:tcPr>
            <w:tcW w:w="60" w:type="dxa"/>
            <w:vAlign w:val="bottom"/>
          </w:tcPr>
          <w:p>
            <w:pPr>
              <w:spacing w:after="0"/>
              <w:rPr>
                <w:sz w:val="18"/>
                <w:szCs w:val="18"/>
                <w:color w:val="auto"/>
              </w:rPr>
            </w:pPr>
          </w:p>
        </w:tc>
      </w:tr>
      <w:tr>
        <w:trPr>
          <w:trHeight w:val="216"/>
        </w:trPr>
        <w:tc>
          <w:tcPr>
            <w:tcW w:w="41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Actuarial (gain) loss</w:t>
            </w:r>
          </w:p>
        </w:tc>
        <w:tc>
          <w:tcPr>
            <w:tcW w:w="422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(43,841)</w:t>
            </w:r>
          </w:p>
        </w:tc>
        <w:tc>
          <w:tcPr>
            <w:tcW w:w="10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(107,184)</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531,557</w:t>
            </w:r>
          </w:p>
        </w:tc>
        <w:tc>
          <w:tcPr>
            <w:tcW w:w="60" w:type="dxa"/>
            <w:vAlign w:val="bottom"/>
            <w:shd w:val="clear" w:color="auto" w:fill="CCEEFF"/>
          </w:tcPr>
          <w:p>
            <w:pPr>
              <w:spacing w:after="0"/>
              <w:rPr>
                <w:sz w:val="18"/>
                <w:szCs w:val="18"/>
                <w:color w:val="auto"/>
              </w:rPr>
            </w:pPr>
          </w:p>
        </w:tc>
      </w:tr>
      <w:tr>
        <w:trPr>
          <w:trHeight w:val="216"/>
        </w:trPr>
        <w:tc>
          <w:tcPr>
            <w:tcW w:w="4140" w:type="dxa"/>
            <w:vAlign w:val="bottom"/>
          </w:tcPr>
          <w:p>
            <w:pPr>
              <w:ind w:left="440"/>
              <w:spacing w:after="0"/>
              <w:rPr>
                <w:sz w:val="20"/>
                <w:szCs w:val="20"/>
                <w:color w:val="auto"/>
              </w:rPr>
            </w:pPr>
            <w:r>
              <w:rPr>
                <w:rFonts w:ascii="Arial" w:cs="Arial" w:eastAsia="Arial" w:hAnsi="Arial"/>
                <w:sz w:val="18"/>
                <w:szCs w:val="18"/>
                <w:color w:val="auto"/>
              </w:rPr>
              <w:t>Benefit payments</w:t>
            </w:r>
          </w:p>
        </w:tc>
        <w:tc>
          <w:tcPr>
            <w:tcW w:w="2880" w:type="dxa"/>
            <w:vAlign w:val="bottom"/>
          </w:tcPr>
          <w:p>
            <w:pPr>
              <w:spacing w:after="0"/>
              <w:rPr>
                <w:sz w:val="18"/>
                <w:szCs w:val="18"/>
                <w:color w:val="auto"/>
              </w:rPr>
            </w:pPr>
          </w:p>
        </w:tc>
        <w:tc>
          <w:tcPr>
            <w:tcW w:w="1340" w:type="dxa"/>
            <w:vAlign w:val="bottom"/>
            <w:gridSpan w:val="2"/>
          </w:tcPr>
          <w:p>
            <w:pPr>
              <w:jc w:val="right"/>
              <w:ind w:right="400"/>
              <w:spacing w:after="0"/>
              <w:rPr>
                <w:sz w:val="20"/>
                <w:szCs w:val="20"/>
                <w:color w:val="auto"/>
              </w:rPr>
            </w:pPr>
            <w:r>
              <w:rPr>
                <w:rFonts w:ascii="Arial" w:cs="Arial" w:eastAsia="Arial" w:hAnsi="Arial"/>
                <w:sz w:val="18"/>
                <w:szCs w:val="18"/>
                <w:color w:val="auto"/>
                <w:w w:val="99"/>
              </w:rPr>
              <w:t>(2,602,135)</w:t>
            </w:r>
          </w:p>
        </w:tc>
        <w:tc>
          <w:tcPr>
            <w:tcW w:w="1060" w:type="dxa"/>
            <w:vAlign w:val="bottom"/>
            <w:gridSpan w:val="2"/>
          </w:tcPr>
          <w:p>
            <w:pPr>
              <w:jc w:val="right"/>
              <w:ind w:right="200"/>
              <w:spacing w:after="0"/>
              <w:rPr>
                <w:sz w:val="20"/>
                <w:szCs w:val="20"/>
                <w:color w:val="auto"/>
              </w:rPr>
            </w:pPr>
            <w:r>
              <w:rPr>
                <w:rFonts w:ascii="Arial" w:cs="Arial" w:eastAsia="Arial" w:hAnsi="Arial"/>
                <w:sz w:val="18"/>
                <w:szCs w:val="18"/>
                <w:color w:val="auto"/>
              </w:rPr>
              <w:t>(78,876)</w:t>
            </w:r>
          </w:p>
        </w:tc>
        <w:tc>
          <w:tcPr>
            <w:tcW w:w="1080" w:type="dxa"/>
            <w:vAlign w:val="bottom"/>
            <w:gridSpan w:val="3"/>
          </w:tcPr>
          <w:p>
            <w:pPr>
              <w:jc w:val="right"/>
              <w:spacing w:after="0"/>
              <w:rPr>
                <w:sz w:val="20"/>
                <w:szCs w:val="20"/>
                <w:color w:val="auto"/>
              </w:rPr>
            </w:pPr>
            <w:r>
              <w:rPr>
                <w:rFonts w:ascii="Arial" w:cs="Arial" w:eastAsia="Arial" w:hAnsi="Arial"/>
                <w:sz w:val="18"/>
                <w:szCs w:val="18"/>
                <w:color w:val="auto"/>
              </w:rPr>
              <w:t>(78,876)</w:t>
            </w:r>
          </w:p>
        </w:tc>
      </w:tr>
      <w:tr>
        <w:trPr>
          <w:trHeight w:val="27"/>
        </w:trPr>
        <w:tc>
          <w:tcPr>
            <w:tcW w:w="4140" w:type="dxa"/>
            <w:vAlign w:val="bottom"/>
          </w:tcPr>
          <w:p>
            <w:pPr>
              <w:spacing w:after="0"/>
              <w:rPr>
                <w:sz w:val="2"/>
                <w:szCs w:val="2"/>
                <w:color w:val="auto"/>
              </w:rPr>
            </w:pPr>
          </w:p>
        </w:tc>
        <w:tc>
          <w:tcPr>
            <w:tcW w:w="2880" w:type="dxa"/>
            <w:vAlign w:val="bottom"/>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r>
      <w:tr>
        <w:trPr>
          <w:trHeight w:val="216"/>
        </w:trPr>
        <w:tc>
          <w:tcPr>
            <w:tcW w:w="41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Obligation at October 31</w:t>
            </w:r>
          </w:p>
        </w:tc>
        <w:tc>
          <w:tcPr>
            <w:tcW w:w="28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2,305,175</w:t>
            </w:r>
          </w:p>
        </w:tc>
        <w:tc>
          <w:tcPr>
            <w:tcW w:w="4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4,391,341</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3,307,416</w:t>
            </w:r>
          </w:p>
        </w:tc>
        <w:tc>
          <w:tcPr>
            <w:tcW w:w="60" w:type="dxa"/>
            <w:vAlign w:val="bottom"/>
            <w:shd w:val="clear" w:color="auto" w:fill="CCEEFF"/>
          </w:tcPr>
          <w:p>
            <w:pPr>
              <w:spacing w:after="0"/>
              <w:rPr>
                <w:sz w:val="18"/>
                <w:szCs w:val="18"/>
                <w:color w:val="auto"/>
              </w:rPr>
            </w:pPr>
          </w:p>
        </w:tc>
      </w:tr>
      <w:tr>
        <w:trPr>
          <w:trHeight w:val="323"/>
        </w:trPr>
        <w:tc>
          <w:tcPr>
            <w:tcW w:w="4140" w:type="dxa"/>
            <w:vAlign w:val="bottom"/>
          </w:tcPr>
          <w:p>
            <w:pPr>
              <w:spacing w:after="0"/>
              <w:rPr>
                <w:sz w:val="20"/>
                <w:szCs w:val="20"/>
                <w:color w:val="auto"/>
              </w:rPr>
            </w:pPr>
            <w:r>
              <w:rPr>
                <w:rFonts w:ascii="Arial" w:cs="Arial" w:eastAsia="Arial" w:hAnsi="Arial"/>
                <w:sz w:val="18"/>
                <w:szCs w:val="18"/>
                <w:color w:val="auto"/>
              </w:rPr>
              <w:t>Reconciliation of fair value of plan assets</w:t>
            </w:r>
          </w:p>
        </w:tc>
        <w:tc>
          <w:tcPr>
            <w:tcW w:w="28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217"/>
        </w:trPr>
        <w:tc>
          <w:tcPr>
            <w:tcW w:w="41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Fair value of plan assets at November 1</w:t>
            </w:r>
          </w:p>
        </w:tc>
        <w:tc>
          <w:tcPr>
            <w:tcW w:w="288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4140" w:type="dxa"/>
            <w:vAlign w:val="bottom"/>
          </w:tcPr>
          <w:p>
            <w:pPr>
              <w:ind w:left="440"/>
              <w:spacing w:after="0"/>
              <w:rPr>
                <w:sz w:val="20"/>
                <w:szCs w:val="20"/>
                <w:color w:val="auto"/>
              </w:rPr>
            </w:pPr>
            <w:r>
              <w:rPr>
                <w:rFonts w:ascii="Arial" w:cs="Arial" w:eastAsia="Arial" w:hAnsi="Arial"/>
                <w:sz w:val="18"/>
                <w:szCs w:val="18"/>
                <w:color w:val="auto"/>
              </w:rPr>
              <w:t>Employer contributions</w:t>
            </w:r>
          </w:p>
        </w:tc>
        <w:tc>
          <w:tcPr>
            <w:tcW w:w="3760" w:type="dxa"/>
            <w:vAlign w:val="bottom"/>
            <w:gridSpan w:val="2"/>
          </w:tcPr>
          <w:p>
            <w:pPr>
              <w:jc w:val="right"/>
              <w:spacing w:after="0"/>
              <w:rPr>
                <w:sz w:val="20"/>
                <w:szCs w:val="20"/>
                <w:color w:val="auto"/>
              </w:rPr>
            </w:pPr>
            <w:r>
              <w:rPr>
                <w:rFonts w:ascii="Arial" w:cs="Arial" w:eastAsia="Arial" w:hAnsi="Arial"/>
                <w:sz w:val="18"/>
                <w:szCs w:val="18"/>
                <w:color w:val="auto"/>
              </w:rPr>
              <w:t>2,602,135</w:t>
            </w:r>
          </w:p>
        </w:tc>
        <w:tc>
          <w:tcPr>
            <w:tcW w:w="460" w:type="dxa"/>
            <w:vAlign w:val="bottom"/>
          </w:tcPr>
          <w:p>
            <w:pPr>
              <w:spacing w:after="0"/>
              <w:rPr>
                <w:sz w:val="18"/>
                <w:szCs w:val="18"/>
                <w:color w:val="auto"/>
              </w:rPr>
            </w:pPr>
          </w:p>
        </w:tc>
        <w:tc>
          <w:tcPr>
            <w:tcW w:w="1060" w:type="dxa"/>
            <w:vAlign w:val="bottom"/>
            <w:gridSpan w:val="2"/>
          </w:tcPr>
          <w:p>
            <w:pPr>
              <w:jc w:val="right"/>
              <w:ind w:right="260"/>
              <w:spacing w:after="0"/>
              <w:rPr>
                <w:sz w:val="20"/>
                <w:szCs w:val="20"/>
                <w:color w:val="auto"/>
              </w:rPr>
            </w:pPr>
            <w:r>
              <w:rPr>
                <w:rFonts w:ascii="Arial" w:cs="Arial" w:eastAsia="Arial" w:hAnsi="Arial"/>
                <w:sz w:val="18"/>
                <w:szCs w:val="18"/>
                <w:color w:val="auto"/>
              </w:rPr>
              <w:t>78,876</w:t>
            </w: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78,876</w:t>
            </w:r>
          </w:p>
        </w:tc>
        <w:tc>
          <w:tcPr>
            <w:tcW w:w="60" w:type="dxa"/>
            <w:vAlign w:val="bottom"/>
          </w:tcPr>
          <w:p>
            <w:pPr>
              <w:spacing w:after="0"/>
              <w:rPr>
                <w:sz w:val="18"/>
                <w:szCs w:val="18"/>
                <w:color w:val="auto"/>
              </w:rPr>
            </w:pPr>
          </w:p>
        </w:tc>
      </w:tr>
      <w:tr>
        <w:trPr>
          <w:trHeight w:val="216"/>
        </w:trPr>
        <w:tc>
          <w:tcPr>
            <w:tcW w:w="41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Benefit payments</w:t>
            </w:r>
          </w:p>
        </w:tc>
        <w:tc>
          <w:tcPr>
            <w:tcW w:w="288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99"/>
              </w:rPr>
              <w:t>(2,602,135)</w:t>
            </w:r>
          </w:p>
        </w:tc>
        <w:tc>
          <w:tcPr>
            <w:tcW w:w="10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(78,876)</w:t>
            </w:r>
          </w:p>
        </w:tc>
        <w:tc>
          <w:tcPr>
            <w:tcW w:w="10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(78,876)</w:t>
            </w:r>
          </w:p>
        </w:tc>
      </w:tr>
      <w:tr>
        <w:trPr>
          <w:trHeight w:val="221"/>
        </w:trPr>
        <w:tc>
          <w:tcPr>
            <w:tcW w:w="4140" w:type="dxa"/>
            <w:vAlign w:val="bottom"/>
          </w:tcPr>
          <w:p>
            <w:pPr>
              <w:ind w:left="440"/>
              <w:spacing w:after="0"/>
              <w:rPr>
                <w:sz w:val="20"/>
                <w:szCs w:val="20"/>
                <w:color w:val="auto"/>
              </w:rPr>
            </w:pPr>
            <w:r>
              <w:rPr>
                <w:rFonts w:ascii="Arial" w:cs="Arial" w:eastAsia="Arial" w:hAnsi="Arial"/>
                <w:sz w:val="18"/>
                <w:szCs w:val="18"/>
                <w:color w:val="auto"/>
              </w:rPr>
              <w:t>Fair value of plan assets at October 31</w:t>
            </w:r>
          </w:p>
        </w:tc>
        <w:tc>
          <w:tcPr>
            <w:tcW w:w="2880" w:type="dxa"/>
            <w:vAlign w:val="bottom"/>
          </w:tcPr>
          <w:p>
            <w:pPr>
              <w:spacing w:after="0"/>
              <w:rPr>
                <w:sz w:val="19"/>
                <w:szCs w:val="19"/>
                <w:color w:val="auto"/>
              </w:rPr>
            </w:pPr>
          </w:p>
        </w:tc>
        <w:tc>
          <w:tcPr>
            <w:tcW w:w="8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9"/>
                <w:szCs w:val="19"/>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r>
      <w:tr>
        <w:trPr>
          <w:trHeight w:val="365"/>
        </w:trPr>
        <w:tc>
          <w:tcPr>
            <w:tcW w:w="4140" w:type="dxa"/>
            <w:vAlign w:val="bottom"/>
          </w:tcPr>
          <w:p>
            <w:pPr>
              <w:spacing w:after="0"/>
              <w:rPr>
                <w:sz w:val="24"/>
                <w:szCs w:val="24"/>
                <w:color w:val="auto"/>
              </w:rPr>
            </w:pPr>
          </w:p>
        </w:tc>
        <w:tc>
          <w:tcPr>
            <w:tcW w:w="4220" w:type="dxa"/>
            <w:vAlign w:val="bottom"/>
            <w:gridSpan w:val="3"/>
          </w:tcPr>
          <w:p>
            <w:pPr>
              <w:jc w:val="right"/>
              <w:ind w:right="2900"/>
              <w:spacing w:after="0"/>
              <w:rPr>
                <w:sz w:val="20"/>
                <w:szCs w:val="20"/>
                <w:color w:val="auto"/>
              </w:rPr>
            </w:pPr>
            <w:r>
              <w:rPr>
                <w:rFonts w:ascii="Arial" w:cs="Arial" w:eastAsia="Arial" w:hAnsi="Arial"/>
                <w:sz w:val="18"/>
                <w:szCs w:val="18"/>
                <w:color w:val="auto"/>
              </w:rPr>
              <w:t>F - 69</w:t>
            </w:r>
          </w:p>
        </w:tc>
        <w:tc>
          <w:tcPr>
            <w:tcW w:w="8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0" w:type="dxa"/>
            <w:vAlign w:val="bottom"/>
          </w:tcPr>
          <w:p>
            <w:pPr>
              <w:spacing w:after="0"/>
              <w:rPr>
                <w:sz w:val="24"/>
                <w:szCs w:val="24"/>
                <w:color w:val="auto"/>
              </w:rPr>
            </w:pPr>
          </w:p>
        </w:tc>
      </w:tr>
    </w:tbl>
    <w:p>
      <w:pPr>
        <w:sectPr>
          <w:pgSz w:w="11900" w:h="16838" w:orient="portrait"/>
          <w:cols w:equalWidth="0" w:num="1">
            <w:col w:w="11340"/>
          </w:cols>
          <w:pgMar w:left="240" w:top="459" w:right="319" w:bottom="1440" w:gutter="0" w:footer="0" w:header="0"/>
        </w:sectPr>
      </w:pPr>
    </w:p>
    <w:bookmarkStart w:id="88" w:name="page89"/>
    <w:bookmarkEnd w:id="8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5120"/>
        <w:spacing w:after="0" w:line="262" w:lineRule="auto"/>
        <w:rPr>
          <w:sz w:val="20"/>
          <w:szCs w:val="20"/>
          <w:color w:val="auto"/>
        </w:rPr>
      </w:pPr>
      <w:r>
        <w:rPr>
          <w:rFonts w:ascii="Arial" w:cs="Arial" w:eastAsia="Arial" w:hAnsi="Arial"/>
          <w:sz w:val="18"/>
          <w:szCs w:val="18"/>
          <w:b w:val="1"/>
          <w:bCs w:val="1"/>
          <w:color w:val="auto"/>
        </w:rPr>
        <w:t>INTERNATIONAL HOME FURNISHINGS CENTER, INC. AND SUBSIDIARIES NOTES TO CONSOLIDATED FINANCIAL STATEMENTS October 31, 2006, 2005 and 2004</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G - RETIREMENT EXPENSE (Continued)</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720" w:type="dxa"/>
            <w:vAlign w:val="bottom"/>
          </w:tcPr>
          <w:p>
            <w:pPr>
              <w:spacing w:after="0"/>
              <w:rPr>
                <w:sz w:val="14"/>
                <w:szCs w:val="14"/>
                <w:color w:val="auto"/>
              </w:rPr>
            </w:pPr>
          </w:p>
        </w:tc>
        <w:tc>
          <w:tcPr>
            <w:tcW w:w="900" w:type="dxa"/>
            <w:vAlign w:val="bottom"/>
            <w:gridSpan w:val="2"/>
          </w:tcPr>
          <w:p>
            <w:pPr>
              <w:jc w:val="right"/>
              <w:ind w:right="212"/>
              <w:spacing w:after="0"/>
              <w:rPr>
                <w:sz w:val="20"/>
                <w:szCs w:val="20"/>
                <w:color w:val="auto"/>
              </w:rPr>
            </w:pPr>
            <w:r>
              <w:rPr>
                <w:rFonts w:ascii="Arial" w:cs="Arial" w:eastAsia="Arial" w:hAnsi="Arial"/>
                <w:sz w:val="14"/>
                <w:szCs w:val="14"/>
                <w:b w:val="1"/>
                <w:bCs w:val="1"/>
                <w:color w:val="auto"/>
              </w:rPr>
              <w:t>2006</w:t>
            </w:r>
          </w:p>
        </w:tc>
        <w:tc>
          <w:tcPr>
            <w:tcW w:w="460" w:type="dxa"/>
            <w:vAlign w:val="bottom"/>
          </w:tcPr>
          <w:p>
            <w:pPr>
              <w:spacing w:after="0"/>
              <w:rPr>
                <w:sz w:val="14"/>
                <w:szCs w:val="14"/>
                <w:color w:val="auto"/>
              </w:rPr>
            </w:pPr>
          </w:p>
        </w:tc>
        <w:tc>
          <w:tcPr>
            <w:tcW w:w="860" w:type="dxa"/>
            <w:vAlign w:val="bottom"/>
          </w:tcPr>
          <w:p>
            <w:pPr>
              <w:jc w:val="right"/>
              <w:ind w:right="194"/>
              <w:spacing w:after="0"/>
              <w:rPr>
                <w:sz w:val="20"/>
                <w:szCs w:val="20"/>
                <w:color w:val="auto"/>
              </w:rPr>
            </w:pPr>
            <w:r>
              <w:rPr>
                <w:rFonts w:ascii="Arial" w:cs="Arial" w:eastAsia="Arial" w:hAnsi="Arial"/>
                <w:sz w:val="14"/>
                <w:szCs w:val="14"/>
                <w:b w:val="1"/>
                <w:bCs w:val="1"/>
                <w:color w:val="auto"/>
              </w:rPr>
              <w:t>2005</w:t>
            </w:r>
          </w:p>
        </w:tc>
        <w:tc>
          <w:tcPr>
            <w:tcW w:w="320" w:type="dxa"/>
            <w:vAlign w:val="bottom"/>
          </w:tcPr>
          <w:p>
            <w:pPr>
              <w:spacing w:after="0"/>
              <w:rPr>
                <w:sz w:val="14"/>
                <w:szCs w:val="14"/>
                <w:color w:val="auto"/>
              </w:rPr>
            </w:pPr>
          </w:p>
        </w:tc>
        <w:tc>
          <w:tcPr>
            <w:tcW w:w="1020" w:type="dxa"/>
            <w:vAlign w:val="bottom"/>
            <w:gridSpan w:val="2"/>
          </w:tcPr>
          <w:p>
            <w:pPr>
              <w:jc w:val="right"/>
              <w:ind w:right="212"/>
              <w:spacing w:after="0"/>
              <w:rPr>
                <w:sz w:val="20"/>
                <w:szCs w:val="20"/>
                <w:color w:val="auto"/>
              </w:rPr>
            </w:pPr>
            <w:r>
              <w:rPr>
                <w:rFonts w:ascii="Arial" w:cs="Arial" w:eastAsia="Arial" w:hAnsi="Arial"/>
                <w:sz w:val="14"/>
                <w:szCs w:val="14"/>
                <w:b w:val="1"/>
                <w:bCs w:val="1"/>
                <w:color w:val="auto"/>
              </w:rPr>
              <w:t>2004</w:t>
            </w:r>
          </w:p>
        </w:tc>
        <w:tc>
          <w:tcPr>
            <w:tcW w:w="140" w:type="dxa"/>
            <w:vAlign w:val="bottom"/>
          </w:tcPr>
          <w:p>
            <w:pPr>
              <w:spacing w:after="0"/>
              <w:rPr>
                <w:sz w:val="14"/>
                <w:szCs w:val="14"/>
                <w:color w:val="auto"/>
              </w:rPr>
            </w:pPr>
          </w:p>
        </w:tc>
      </w:tr>
      <w:tr>
        <w:trPr>
          <w:trHeight w:val="210"/>
        </w:trPr>
        <w:tc>
          <w:tcPr>
            <w:tcW w:w="77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Funded status</w:t>
            </w:r>
          </w:p>
        </w:tc>
        <w:tc>
          <w:tcPr>
            <w:tcW w:w="40" w:type="dxa"/>
            <w:vAlign w:val="bottom"/>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r>
      <w:tr>
        <w:trPr>
          <w:trHeight w:val="216"/>
        </w:trPr>
        <w:tc>
          <w:tcPr>
            <w:tcW w:w="7720" w:type="dxa"/>
            <w:vAlign w:val="bottom"/>
          </w:tcPr>
          <w:p>
            <w:pPr>
              <w:ind w:left="880"/>
              <w:spacing w:after="0"/>
              <w:rPr>
                <w:sz w:val="20"/>
                <w:szCs w:val="20"/>
                <w:color w:val="auto"/>
              </w:rPr>
            </w:pPr>
            <w:r>
              <w:rPr>
                <w:rFonts w:ascii="Arial" w:cs="Arial" w:eastAsia="Arial" w:hAnsi="Arial"/>
                <w:sz w:val="18"/>
                <w:szCs w:val="18"/>
                <w:color w:val="auto"/>
              </w:rPr>
              <w:t>Funded status at October 31</w:t>
            </w:r>
          </w:p>
        </w:tc>
        <w:tc>
          <w:tcPr>
            <w:tcW w:w="1360" w:type="dxa"/>
            <w:vAlign w:val="bottom"/>
            <w:gridSpan w:val="3"/>
          </w:tcPr>
          <w:p>
            <w:pPr>
              <w:jc w:val="right"/>
              <w:ind w:right="400"/>
              <w:spacing w:after="0"/>
              <w:rPr>
                <w:sz w:val="20"/>
                <w:szCs w:val="20"/>
                <w:color w:val="auto"/>
              </w:rPr>
            </w:pPr>
            <w:r>
              <w:rPr>
                <w:rFonts w:ascii="Arial" w:cs="Arial" w:eastAsia="Arial" w:hAnsi="Arial"/>
                <w:sz w:val="18"/>
                <w:szCs w:val="18"/>
                <w:color w:val="auto"/>
                <w:w w:val="92"/>
              </w:rPr>
              <w:t>$(2,305,175)</w:t>
            </w:r>
          </w:p>
        </w:tc>
        <w:tc>
          <w:tcPr>
            <w:tcW w:w="1180" w:type="dxa"/>
            <w:vAlign w:val="bottom"/>
            <w:gridSpan w:val="2"/>
          </w:tcPr>
          <w:p>
            <w:pPr>
              <w:jc w:val="right"/>
              <w:ind w:right="260"/>
              <w:spacing w:after="0"/>
              <w:rPr>
                <w:sz w:val="20"/>
                <w:szCs w:val="20"/>
                <w:color w:val="auto"/>
              </w:rPr>
            </w:pPr>
            <w:r>
              <w:rPr>
                <w:rFonts w:ascii="Arial" w:cs="Arial" w:eastAsia="Arial" w:hAnsi="Arial"/>
                <w:sz w:val="18"/>
                <w:szCs w:val="18"/>
                <w:color w:val="auto"/>
                <w:w w:val="88"/>
              </w:rPr>
              <w:t>$(4,391,341)</w:t>
            </w:r>
          </w:p>
        </w:tc>
        <w:tc>
          <w:tcPr>
            <w:tcW w:w="1160" w:type="dxa"/>
            <w:vAlign w:val="bottom"/>
            <w:gridSpan w:val="3"/>
          </w:tcPr>
          <w:p>
            <w:pPr>
              <w:jc w:val="right"/>
              <w:ind w:right="100"/>
              <w:spacing w:after="0"/>
              <w:rPr>
                <w:sz w:val="20"/>
                <w:szCs w:val="20"/>
                <w:color w:val="auto"/>
              </w:rPr>
            </w:pPr>
            <w:r>
              <w:rPr>
                <w:rFonts w:ascii="Arial" w:cs="Arial" w:eastAsia="Arial" w:hAnsi="Arial"/>
                <w:sz w:val="18"/>
                <w:szCs w:val="18"/>
                <w:color w:val="auto"/>
              </w:rPr>
              <w:t>$(3,307,416)</w:t>
            </w:r>
          </w:p>
        </w:tc>
      </w:tr>
      <w:tr>
        <w:trPr>
          <w:trHeight w:val="216"/>
        </w:trPr>
        <w:tc>
          <w:tcPr>
            <w:tcW w:w="7720" w:type="dxa"/>
            <w:vAlign w:val="bottom"/>
            <w:shd w:val="clear" w:color="auto" w:fill="CCEEFF"/>
          </w:tcPr>
          <w:p>
            <w:pPr>
              <w:ind w:left="880"/>
              <w:spacing w:after="0"/>
              <w:rPr>
                <w:sz w:val="20"/>
                <w:szCs w:val="20"/>
                <w:color w:val="auto"/>
              </w:rPr>
            </w:pPr>
            <w:r>
              <w:rPr>
                <w:rFonts w:ascii="Arial" w:cs="Arial" w:eastAsia="Arial" w:hAnsi="Arial"/>
                <w:sz w:val="18"/>
                <w:szCs w:val="18"/>
                <w:color w:val="auto"/>
              </w:rPr>
              <w:t>Unrecognized transition (asset) obligation</w:t>
            </w:r>
          </w:p>
        </w:tc>
        <w:tc>
          <w:tcPr>
            <w:tcW w:w="136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(87,047)</w:t>
            </w:r>
          </w:p>
        </w:tc>
        <w:tc>
          <w:tcPr>
            <w:tcW w:w="11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(80,180)</w:t>
            </w:r>
          </w:p>
        </w:tc>
        <w:tc>
          <w:tcPr>
            <w:tcW w:w="11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(93,021)</w:t>
            </w:r>
          </w:p>
        </w:tc>
      </w:tr>
      <w:tr>
        <w:trPr>
          <w:trHeight w:val="216"/>
        </w:trPr>
        <w:tc>
          <w:tcPr>
            <w:tcW w:w="7720" w:type="dxa"/>
            <w:vAlign w:val="bottom"/>
          </w:tcPr>
          <w:p>
            <w:pPr>
              <w:ind w:left="880"/>
              <w:spacing w:after="0"/>
              <w:rPr>
                <w:sz w:val="20"/>
                <w:szCs w:val="20"/>
                <w:color w:val="auto"/>
              </w:rPr>
            </w:pPr>
            <w:r>
              <w:rPr>
                <w:rFonts w:ascii="Arial" w:cs="Arial" w:eastAsia="Arial" w:hAnsi="Arial"/>
                <w:sz w:val="18"/>
                <w:szCs w:val="18"/>
                <w:color w:val="auto"/>
              </w:rPr>
              <w:t>Unrecognized actuarial (gain) loss</w:t>
            </w:r>
          </w:p>
        </w:tc>
        <w:tc>
          <w:tcPr>
            <w:tcW w:w="40" w:type="dxa"/>
            <w:vAlign w:val="bottom"/>
          </w:tcPr>
          <w:p>
            <w:pPr>
              <w:spacing w:after="0"/>
              <w:rPr>
                <w:sz w:val="18"/>
                <w:szCs w:val="18"/>
                <w:color w:val="auto"/>
              </w:rPr>
            </w:pPr>
          </w:p>
        </w:tc>
        <w:tc>
          <w:tcPr>
            <w:tcW w:w="1320" w:type="dxa"/>
            <w:vAlign w:val="bottom"/>
            <w:gridSpan w:val="2"/>
          </w:tcPr>
          <w:p>
            <w:pPr>
              <w:jc w:val="right"/>
              <w:ind w:right="460"/>
              <w:spacing w:after="0"/>
              <w:rPr>
                <w:sz w:val="20"/>
                <w:szCs w:val="20"/>
                <w:color w:val="auto"/>
              </w:rPr>
            </w:pPr>
            <w:r>
              <w:rPr>
                <w:rFonts w:ascii="Arial" w:cs="Arial" w:eastAsia="Arial" w:hAnsi="Arial"/>
                <w:sz w:val="18"/>
                <w:szCs w:val="18"/>
                <w:color w:val="auto"/>
              </w:rPr>
              <w:t>533,608</w:t>
            </w:r>
          </w:p>
        </w:tc>
        <w:tc>
          <w:tcPr>
            <w:tcW w:w="860" w:type="dxa"/>
            <w:vAlign w:val="bottom"/>
          </w:tcPr>
          <w:p>
            <w:pPr>
              <w:jc w:val="right"/>
              <w:spacing w:after="0"/>
              <w:rPr>
                <w:sz w:val="20"/>
                <w:szCs w:val="20"/>
                <w:color w:val="auto"/>
              </w:rPr>
            </w:pPr>
            <w:r>
              <w:rPr>
                <w:rFonts w:ascii="Arial" w:cs="Arial" w:eastAsia="Arial" w:hAnsi="Arial"/>
                <w:sz w:val="18"/>
                <w:szCs w:val="18"/>
                <w:color w:val="auto"/>
              </w:rPr>
              <w:t>497,552</w:t>
            </w:r>
          </w:p>
        </w:tc>
        <w:tc>
          <w:tcPr>
            <w:tcW w:w="320" w:type="dxa"/>
            <w:vAlign w:val="bottom"/>
          </w:tcPr>
          <w:p>
            <w:pPr>
              <w:spacing w:after="0"/>
              <w:rPr>
                <w:sz w:val="18"/>
                <w:szCs w:val="18"/>
                <w:color w:val="auto"/>
              </w:rPr>
            </w:pPr>
          </w:p>
        </w:tc>
        <w:tc>
          <w:tcPr>
            <w:tcW w:w="1160" w:type="dxa"/>
            <w:vAlign w:val="bottom"/>
            <w:gridSpan w:val="3"/>
          </w:tcPr>
          <w:p>
            <w:pPr>
              <w:jc w:val="right"/>
              <w:ind w:right="140"/>
              <w:spacing w:after="0"/>
              <w:rPr>
                <w:sz w:val="20"/>
                <w:szCs w:val="20"/>
                <w:color w:val="auto"/>
              </w:rPr>
            </w:pPr>
            <w:r>
              <w:rPr>
                <w:rFonts w:ascii="Arial" w:cs="Arial" w:eastAsia="Arial" w:hAnsi="Arial"/>
                <w:sz w:val="18"/>
                <w:szCs w:val="18"/>
                <w:color w:val="auto"/>
              </w:rPr>
              <w:t>612,871</w:t>
            </w:r>
          </w:p>
        </w:tc>
      </w:tr>
      <w:tr>
        <w:trPr>
          <w:trHeight w:val="27"/>
        </w:trPr>
        <w:tc>
          <w:tcPr>
            <w:tcW w:w="772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r>
      <w:tr>
        <w:trPr>
          <w:trHeight w:val="216"/>
        </w:trPr>
        <w:tc>
          <w:tcPr>
            <w:tcW w:w="7720" w:type="dxa"/>
            <w:vAlign w:val="bottom"/>
            <w:shd w:val="clear" w:color="auto" w:fill="CCEEFF"/>
          </w:tcPr>
          <w:p>
            <w:pPr>
              <w:ind w:left="880"/>
              <w:spacing w:after="0"/>
              <w:rPr>
                <w:sz w:val="20"/>
                <w:szCs w:val="20"/>
                <w:color w:val="auto"/>
              </w:rPr>
            </w:pPr>
            <w:r>
              <w:rPr>
                <w:rFonts w:ascii="Arial" w:cs="Arial" w:eastAsia="Arial" w:hAnsi="Arial"/>
                <w:sz w:val="18"/>
                <w:szCs w:val="18"/>
                <w:color w:val="auto"/>
              </w:rPr>
              <w:t>Prepaid (accrued) benefit cost</w:t>
            </w:r>
          </w:p>
        </w:tc>
        <w:tc>
          <w:tcPr>
            <w:tcW w:w="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97"/>
              </w:rPr>
              <w:t>(1,858,614)</w:t>
            </w:r>
          </w:p>
        </w:tc>
        <w:tc>
          <w:tcPr>
            <w:tcW w:w="11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(3,973,969)</w:t>
            </w:r>
          </w:p>
        </w:tc>
        <w:tc>
          <w:tcPr>
            <w:tcW w:w="11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(2,787,566)</w:t>
            </w:r>
          </w:p>
        </w:tc>
      </w:tr>
      <w:tr>
        <w:trPr>
          <w:trHeight w:val="216"/>
        </w:trPr>
        <w:tc>
          <w:tcPr>
            <w:tcW w:w="7720" w:type="dxa"/>
            <w:vAlign w:val="bottom"/>
          </w:tcPr>
          <w:p>
            <w:pPr>
              <w:ind w:left="440"/>
              <w:spacing w:after="0"/>
              <w:rPr>
                <w:sz w:val="20"/>
                <w:szCs w:val="20"/>
                <w:color w:val="auto"/>
              </w:rPr>
            </w:pPr>
            <w:r>
              <w:rPr>
                <w:rFonts w:ascii="Arial" w:cs="Arial" w:eastAsia="Arial" w:hAnsi="Arial"/>
                <w:sz w:val="18"/>
                <w:szCs w:val="18"/>
                <w:color w:val="auto"/>
              </w:rPr>
              <w:t>Amounts recognized in the statement of financial position as of October 31</w:t>
            </w:r>
          </w:p>
        </w:tc>
        <w:tc>
          <w:tcPr>
            <w:tcW w:w="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r>
      <w:tr>
        <w:trPr>
          <w:trHeight w:val="216"/>
        </w:trPr>
        <w:tc>
          <w:tcPr>
            <w:tcW w:w="7720" w:type="dxa"/>
            <w:vAlign w:val="bottom"/>
            <w:shd w:val="clear" w:color="auto" w:fill="CCEEFF"/>
          </w:tcPr>
          <w:p>
            <w:pPr>
              <w:ind w:left="880"/>
              <w:spacing w:after="0"/>
              <w:rPr>
                <w:sz w:val="20"/>
                <w:szCs w:val="20"/>
                <w:color w:val="auto"/>
              </w:rPr>
            </w:pPr>
            <w:r>
              <w:rPr>
                <w:rFonts w:ascii="Arial" w:cs="Arial" w:eastAsia="Arial" w:hAnsi="Arial"/>
                <w:sz w:val="18"/>
                <w:szCs w:val="18"/>
                <w:color w:val="auto"/>
              </w:rPr>
              <w:t>Prepaid (accrued) benefit cost</w:t>
            </w:r>
          </w:p>
        </w:tc>
        <w:tc>
          <w:tcPr>
            <w:tcW w:w="136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(1,858,614)</w:t>
            </w:r>
          </w:p>
        </w:tc>
        <w:tc>
          <w:tcPr>
            <w:tcW w:w="11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(3,973,969)</w:t>
            </w:r>
          </w:p>
        </w:tc>
        <w:tc>
          <w:tcPr>
            <w:tcW w:w="11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(2,787,566)</w:t>
            </w:r>
          </w:p>
        </w:tc>
      </w:tr>
      <w:tr>
        <w:trPr>
          <w:trHeight w:val="216"/>
        </w:trPr>
        <w:tc>
          <w:tcPr>
            <w:tcW w:w="7720" w:type="dxa"/>
            <w:vAlign w:val="bottom"/>
          </w:tcPr>
          <w:p>
            <w:pPr>
              <w:ind w:left="880"/>
              <w:spacing w:after="0"/>
              <w:rPr>
                <w:sz w:val="20"/>
                <w:szCs w:val="20"/>
                <w:color w:val="auto"/>
              </w:rPr>
            </w:pPr>
            <w:r>
              <w:rPr>
                <w:rFonts w:ascii="Arial" w:cs="Arial" w:eastAsia="Arial" w:hAnsi="Arial"/>
                <w:sz w:val="18"/>
                <w:szCs w:val="18"/>
                <w:color w:val="auto"/>
              </w:rPr>
              <w:t>Accrued benefit liability</w:t>
            </w:r>
          </w:p>
        </w:tc>
        <w:tc>
          <w:tcPr>
            <w:tcW w:w="40" w:type="dxa"/>
            <w:vAlign w:val="bottom"/>
          </w:tcPr>
          <w:p>
            <w:pPr>
              <w:spacing w:after="0"/>
              <w:rPr>
                <w:sz w:val="18"/>
                <w:szCs w:val="18"/>
                <w:color w:val="auto"/>
              </w:rPr>
            </w:pPr>
          </w:p>
        </w:tc>
        <w:tc>
          <w:tcPr>
            <w:tcW w:w="1320" w:type="dxa"/>
            <w:vAlign w:val="bottom"/>
            <w:gridSpan w:val="2"/>
          </w:tcPr>
          <w:p>
            <w:pPr>
              <w:jc w:val="right"/>
              <w:ind w:right="400"/>
              <w:spacing w:after="0"/>
              <w:rPr>
                <w:sz w:val="20"/>
                <w:szCs w:val="20"/>
                <w:color w:val="auto"/>
              </w:rPr>
            </w:pPr>
            <w:r>
              <w:rPr>
                <w:rFonts w:ascii="Arial" w:cs="Arial" w:eastAsia="Arial" w:hAnsi="Arial"/>
                <w:sz w:val="18"/>
                <w:szCs w:val="18"/>
                <w:color w:val="auto"/>
              </w:rPr>
              <w:t>(137,369)</w:t>
            </w:r>
          </w:p>
        </w:tc>
        <w:tc>
          <w:tcPr>
            <w:tcW w:w="1180" w:type="dxa"/>
            <w:vAlign w:val="bottom"/>
            <w:gridSpan w:val="2"/>
          </w:tcPr>
          <w:p>
            <w:pPr>
              <w:jc w:val="right"/>
              <w:ind w:right="260"/>
              <w:spacing w:after="0"/>
              <w:rPr>
                <w:sz w:val="20"/>
                <w:szCs w:val="20"/>
                <w:color w:val="auto"/>
              </w:rPr>
            </w:pPr>
            <w:r>
              <w:rPr>
                <w:rFonts w:ascii="Arial" w:cs="Arial" w:eastAsia="Arial" w:hAnsi="Arial"/>
                <w:sz w:val="18"/>
                <w:szCs w:val="18"/>
                <w:color w:val="auto"/>
              </w:rPr>
              <w:t>(51,235)</w:t>
            </w:r>
          </w:p>
        </w:tc>
        <w:tc>
          <w:tcPr>
            <w:tcW w:w="1160" w:type="dxa"/>
            <w:vAlign w:val="bottom"/>
            <w:gridSpan w:val="3"/>
          </w:tcPr>
          <w:p>
            <w:pPr>
              <w:jc w:val="right"/>
              <w:ind w:right="100"/>
              <w:spacing w:after="0"/>
              <w:rPr>
                <w:sz w:val="20"/>
                <w:szCs w:val="20"/>
                <w:color w:val="auto"/>
              </w:rPr>
            </w:pPr>
            <w:r>
              <w:rPr>
                <w:rFonts w:ascii="Arial" w:cs="Arial" w:eastAsia="Arial" w:hAnsi="Arial"/>
                <w:sz w:val="18"/>
                <w:szCs w:val="18"/>
                <w:color w:val="auto"/>
              </w:rPr>
              <w:t>(42,197)</w:t>
            </w:r>
          </w:p>
        </w:tc>
      </w:tr>
      <w:tr>
        <w:trPr>
          <w:trHeight w:val="27"/>
        </w:trPr>
        <w:tc>
          <w:tcPr>
            <w:tcW w:w="772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r>
      <w:tr>
        <w:trPr>
          <w:trHeight w:val="216"/>
        </w:trPr>
        <w:tc>
          <w:tcPr>
            <w:tcW w:w="7720" w:type="dxa"/>
            <w:vAlign w:val="bottom"/>
            <w:shd w:val="clear" w:color="auto" w:fill="CCEEFF"/>
          </w:tcPr>
          <w:p>
            <w:pPr>
              <w:ind w:left="880"/>
              <w:spacing w:after="0"/>
              <w:rPr>
                <w:sz w:val="20"/>
                <w:szCs w:val="20"/>
                <w:color w:val="auto"/>
              </w:rPr>
            </w:pPr>
            <w:r>
              <w:rPr>
                <w:rFonts w:ascii="Arial" w:cs="Arial" w:eastAsia="Arial" w:hAnsi="Arial"/>
                <w:sz w:val="18"/>
                <w:szCs w:val="18"/>
                <w:color w:val="auto"/>
              </w:rPr>
              <w:t>Net amount recognized</w:t>
            </w:r>
          </w:p>
        </w:tc>
        <w:tc>
          <w:tcPr>
            <w:tcW w:w="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97"/>
              </w:rPr>
              <w:t>(1,995,983)</w:t>
            </w:r>
          </w:p>
        </w:tc>
        <w:tc>
          <w:tcPr>
            <w:tcW w:w="11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7"/>
              </w:rPr>
              <w:t>(4,025,204)</w:t>
            </w:r>
          </w:p>
        </w:tc>
        <w:tc>
          <w:tcPr>
            <w:tcW w:w="11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(2,829,763)</w:t>
            </w:r>
          </w:p>
        </w:tc>
      </w:tr>
      <w:tr>
        <w:trPr>
          <w:trHeight w:val="430"/>
        </w:trPr>
        <w:tc>
          <w:tcPr>
            <w:tcW w:w="7720" w:type="dxa"/>
            <w:vAlign w:val="bottom"/>
          </w:tcPr>
          <w:p>
            <w:pPr>
              <w:spacing w:after="0"/>
              <w:rPr>
                <w:sz w:val="20"/>
                <w:szCs w:val="20"/>
                <w:color w:val="auto"/>
              </w:rPr>
            </w:pPr>
            <w:r>
              <w:rPr>
                <w:rFonts w:ascii="Arial" w:cs="Arial" w:eastAsia="Arial" w:hAnsi="Arial"/>
                <w:sz w:val="18"/>
                <w:szCs w:val="18"/>
                <w:color w:val="auto"/>
              </w:rPr>
              <w:t>The net periodic benefit cost for the plan includes the following components:</w:t>
            </w:r>
          </w:p>
        </w:tc>
        <w:tc>
          <w:tcPr>
            <w:tcW w:w="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40" w:type="dxa"/>
            <w:vAlign w:val="bottom"/>
          </w:tcPr>
          <w:p>
            <w:pPr>
              <w:spacing w:after="0"/>
              <w:rPr>
                <w:sz w:val="24"/>
                <w:szCs w:val="24"/>
                <w:color w:val="auto"/>
              </w:rPr>
            </w:pPr>
          </w:p>
        </w:tc>
      </w:tr>
      <w:tr>
        <w:trPr>
          <w:trHeight w:val="218"/>
        </w:trPr>
        <w:tc>
          <w:tcPr>
            <w:tcW w:w="77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r>
      <w:tr>
        <w:trPr>
          <w:trHeight w:val="216"/>
        </w:trPr>
        <w:tc>
          <w:tcPr>
            <w:tcW w:w="77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Service cost</w:t>
            </w:r>
          </w:p>
        </w:tc>
        <w:tc>
          <w:tcPr>
            <w:tcW w:w="1360" w:type="dxa"/>
            <w:vAlign w:val="bottom"/>
            <w:gridSpan w:val="3"/>
            <w:shd w:val="clear" w:color="auto" w:fill="CCEEFF"/>
          </w:tcPr>
          <w:p>
            <w:pPr>
              <w:jc w:val="right"/>
              <w:ind w:right="460"/>
              <w:spacing w:after="0"/>
              <w:rPr>
                <w:sz w:val="20"/>
                <w:szCs w:val="20"/>
                <w:color w:val="auto"/>
              </w:rPr>
            </w:pPr>
            <w:r>
              <w:rPr>
                <w:rFonts w:ascii="Arial" w:cs="Arial" w:eastAsia="Arial" w:hAnsi="Arial"/>
                <w:sz w:val="18"/>
                <w:szCs w:val="18"/>
                <w:color w:val="auto"/>
              </w:rPr>
              <w:t>421,073</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1,063,490</w:t>
            </w:r>
          </w:p>
        </w:tc>
        <w:tc>
          <w:tcPr>
            <w:tcW w:w="320" w:type="dxa"/>
            <w:vAlign w:val="bottom"/>
            <w:shd w:val="clear" w:color="auto" w:fill="CCEEFF"/>
          </w:tcPr>
          <w:p>
            <w:pPr>
              <w:spacing w:after="0"/>
              <w:rPr>
                <w:sz w:val="18"/>
                <w:szCs w:val="18"/>
                <w:color w:val="auto"/>
              </w:rPr>
            </w:pPr>
          </w:p>
        </w:tc>
        <w:tc>
          <w:tcPr>
            <w:tcW w:w="11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111,629</w:t>
            </w:r>
          </w:p>
        </w:tc>
      </w:tr>
      <w:tr>
        <w:trPr>
          <w:trHeight w:val="216"/>
        </w:trPr>
        <w:tc>
          <w:tcPr>
            <w:tcW w:w="7720" w:type="dxa"/>
            <w:vAlign w:val="bottom"/>
          </w:tcPr>
          <w:p>
            <w:pPr>
              <w:ind w:left="440"/>
              <w:spacing w:after="0"/>
              <w:rPr>
                <w:sz w:val="20"/>
                <w:szCs w:val="20"/>
                <w:color w:val="auto"/>
              </w:rPr>
            </w:pPr>
            <w:r>
              <w:rPr>
                <w:rFonts w:ascii="Arial" w:cs="Arial" w:eastAsia="Arial" w:hAnsi="Arial"/>
                <w:sz w:val="18"/>
                <w:szCs w:val="18"/>
                <w:color w:val="auto"/>
              </w:rPr>
              <w:t>Interest cost</w:t>
            </w:r>
          </w:p>
        </w:tc>
        <w:tc>
          <w:tcPr>
            <w:tcW w:w="1360" w:type="dxa"/>
            <w:vAlign w:val="bottom"/>
            <w:gridSpan w:val="3"/>
          </w:tcPr>
          <w:p>
            <w:pPr>
              <w:jc w:val="right"/>
              <w:ind w:right="460"/>
              <w:spacing w:after="0"/>
              <w:rPr>
                <w:sz w:val="20"/>
                <w:szCs w:val="20"/>
                <w:color w:val="auto"/>
              </w:rPr>
            </w:pPr>
            <w:r>
              <w:rPr>
                <w:rFonts w:ascii="Arial" w:cs="Arial" w:eastAsia="Arial" w:hAnsi="Arial"/>
                <w:sz w:val="18"/>
                <w:szCs w:val="18"/>
                <w:color w:val="auto"/>
              </w:rPr>
              <w:t>138,737</w:t>
            </w:r>
          </w:p>
        </w:tc>
        <w:tc>
          <w:tcPr>
            <w:tcW w:w="860" w:type="dxa"/>
            <w:vAlign w:val="bottom"/>
          </w:tcPr>
          <w:p>
            <w:pPr>
              <w:jc w:val="right"/>
              <w:spacing w:after="0"/>
              <w:rPr>
                <w:sz w:val="20"/>
                <w:szCs w:val="20"/>
                <w:color w:val="auto"/>
              </w:rPr>
            </w:pPr>
            <w:r>
              <w:rPr>
                <w:rFonts w:ascii="Arial" w:cs="Arial" w:eastAsia="Arial" w:hAnsi="Arial"/>
                <w:sz w:val="18"/>
                <w:szCs w:val="18"/>
                <w:color w:val="auto"/>
              </w:rPr>
              <w:t>206,495</w:t>
            </w:r>
          </w:p>
        </w:tc>
        <w:tc>
          <w:tcPr>
            <w:tcW w:w="320" w:type="dxa"/>
            <w:vAlign w:val="bottom"/>
          </w:tcPr>
          <w:p>
            <w:pPr>
              <w:spacing w:after="0"/>
              <w:rPr>
                <w:sz w:val="18"/>
                <w:szCs w:val="18"/>
                <w:color w:val="auto"/>
              </w:rPr>
            </w:pPr>
          </w:p>
        </w:tc>
        <w:tc>
          <w:tcPr>
            <w:tcW w:w="1160" w:type="dxa"/>
            <w:vAlign w:val="bottom"/>
            <w:gridSpan w:val="3"/>
          </w:tcPr>
          <w:p>
            <w:pPr>
              <w:jc w:val="right"/>
              <w:ind w:right="140"/>
              <w:spacing w:after="0"/>
              <w:rPr>
                <w:sz w:val="20"/>
                <w:szCs w:val="20"/>
                <w:color w:val="auto"/>
              </w:rPr>
            </w:pPr>
            <w:r>
              <w:rPr>
                <w:rFonts w:ascii="Arial" w:cs="Arial" w:eastAsia="Arial" w:hAnsi="Arial"/>
                <w:sz w:val="18"/>
                <w:szCs w:val="18"/>
                <w:color w:val="auto"/>
              </w:rPr>
              <w:t>64,256</w:t>
            </w:r>
          </w:p>
        </w:tc>
      </w:tr>
      <w:tr>
        <w:trPr>
          <w:trHeight w:val="216"/>
        </w:trPr>
        <w:tc>
          <w:tcPr>
            <w:tcW w:w="77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Amortization of net transition obligation</w:t>
            </w:r>
          </w:p>
        </w:tc>
        <w:tc>
          <w:tcPr>
            <w:tcW w:w="136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(7,914)</w:t>
            </w:r>
          </w:p>
        </w:tc>
        <w:tc>
          <w:tcPr>
            <w:tcW w:w="11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(7,914)</w:t>
            </w:r>
          </w:p>
        </w:tc>
        <w:tc>
          <w:tcPr>
            <w:tcW w:w="11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(7,914)</w:t>
            </w:r>
          </w:p>
        </w:tc>
      </w:tr>
      <w:tr>
        <w:trPr>
          <w:trHeight w:val="216"/>
        </w:trPr>
        <w:tc>
          <w:tcPr>
            <w:tcW w:w="7720" w:type="dxa"/>
            <w:vAlign w:val="bottom"/>
          </w:tcPr>
          <w:p>
            <w:pPr>
              <w:ind w:left="440"/>
              <w:spacing w:after="0"/>
              <w:rPr>
                <w:sz w:val="20"/>
                <w:szCs w:val="20"/>
                <w:color w:val="auto"/>
              </w:rPr>
            </w:pPr>
            <w:r>
              <w:rPr>
                <w:rFonts w:ascii="Arial" w:cs="Arial" w:eastAsia="Arial" w:hAnsi="Arial"/>
                <w:sz w:val="18"/>
                <w:szCs w:val="18"/>
                <w:color w:val="auto"/>
              </w:rPr>
              <w:t>Amortization of unrecognized loss</w:t>
            </w:r>
          </w:p>
        </w:tc>
        <w:tc>
          <w:tcPr>
            <w:tcW w:w="40" w:type="dxa"/>
            <w:vAlign w:val="bottom"/>
          </w:tcPr>
          <w:p>
            <w:pPr>
              <w:spacing w:after="0"/>
              <w:rPr>
                <w:sz w:val="18"/>
                <w:szCs w:val="18"/>
                <w:color w:val="auto"/>
              </w:rPr>
            </w:pPr>
          </w:p>
        </w:tc>
        <w:tc>
          <w:tcPr>
            <w:tcW w:w="1320" w:type="dxa"/>
            <w:vAlign w:val="bottom"/>
            <w:gridSpan w:val="2"/>
          </w:tcPr>
          <w:p>
            <w:pPr>
              <w:jc w:val="right"/>
              <w:ind w:right="460"/>
              <w:spacing w:after="0"/>
              <w:rPr>
                <w:sz w:val="20"/>
                <w:szCs w:val="20"/>
                <w:color w:val="auto"/>
              </w:rPr>
            </w:pPr>
            <w:r>
              <w:rPr>
                <w:rFonts w:ascii="Arial" w:cs="Arial" w:eastAsia="Arial" w:hAnsi="Arial"/>
                <w:sz w:val="18"/>
                <w:szCs w:val="18"/>
                <w:color w:val="auto"/>
              </w:rPr>
              <w:t>21,018</w:t>
            </w:r>
          </w:p>
        </w:tc>
        <w:tc>
          <w:tcPr>
            <w:tcW w:w="860" w:type="dxa"/>
            <w:vAlign w:val="bottom"/>
          </w:tcPr>
          <w:p>
            <w:pPr>
              <w:jc w:val="right"/>
              <w:spacing w:after="0"/>
              <w:rPr>
                <w:sz w:val="20"/>
                <w:szCs w:val="20"/>
                <w:color w:val="auto"/>
              </w:rPr>
            </w:pPr>
            <w:r>
              <w:rPr>
                <w:rFonts w:ascii="Arial" w:cs="Arial" w:eastAsia="Arial" w:hAnsi="Arial"/>
                <w:sz w:val="18"/>
                <w:szCs w:val="18"/>
                <w:color w:val="auto"/>
              </w:rPr>
              <w:t>12,246</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r>
      <w:tr>
        <w:trPr>
          <w:trHeight w:val="27"/>
        </w:trPr>
        <w:tc>
          <w:tcPr>
            <w:tcW w:w="772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r>
      <w:tr>
        <w:trPr>
          <w:trHeight w:val="216"/>
        </w:trPr>
        <w:tc>
          <w:tcPr>
            <w:tcW w:w="77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Net periodic benefit cost</w:t>
            </w:r>
          </w:p>
        </w:tc>
        <w:tc>
          <w:tcPr>
            <w:tcW w:w="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572,914</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1,274,317</w:t>
            </w:r>
          </w:p>
        </w:tc>
        <w:tc>
          <w:tcPr>
            <w:tcW w:w="320" w:type="dxa"/>
            <w:vAlign w:val="bottom"/>
            <w:shd w:val="clear" w:color="auto" w:fill="CCEEFF"/>
          </w:tcPr>
          <w:p>
            <w:pPr>
              <w:spacing w:after="0"/>
              <w:rPr>
                <w:sz w:val="18"/>
                <w:szCs w:val="18"/>
                <w:color w:val="auto"/>
              </w:rPr>
            </w:pPr>
          </w:p>
        </w:tc>
        <w:tc>
          <w:tcPr>
            <w:tcW w:w="11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167,971</w:t>
            </w:r>
          </w:p>
        </w:tc>
      </w:tr>
      <w:tr>
        <w:trPr>
          <w:trHeight w:val="430"/>
        </w:trPr>
        <w:tc>
          <w:tcPr>
            <w:tcW w:w="7720" w:type="dxa"/>
            <w:vAlign w:val="bottom"/>
          </w:tcPr>
          <w:p>
            <w:pPr>
              <w:spacing w:after="0"/>
              <w:rPr>
                <w:sz w:val="20"/>
                <w:szCs w:val="20"/>
                <w:color w:val="auto"/>
              </w:rPr>
            </w:pPr>
            <w:r>
              <w:rPr>
                <w:rFonts w:ascii="Arial" w:cs="Arial" w:eastAsia="Arial" w:hAnsi="Arial"/>
                <w:sz w:val="18"/>
                <w:szCs w:val="18"/>
                <w:color w:val="auto"/>
                <w:w w:val="88"/>
              </w:rPr>
              <w:t>The weighted average actuarial assumptions used to determine benefit obligations for the plan are as follows:</w:t>
            </w:r>
          </w:p>
        </w:tc>
        <w:tc>
          <w:tcPr>
            <w:tcW w:w="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40" w:type="dxa"/>
            <w:vAlign w:val="bottom"/>
          </w:tcPr>
          <w:p>
            <w:pPr>
              <w:spacing w:after="0"/>
              <w:rPr>
                <w:sz w:val="24"/>
                <w:szCs w:val="24"/>
                <w:color w:val="auto"/>
              </w:rPr>
            </w:pPr>
          </w:p>
        </w:tc>
      </w:tr>
      <w:tr>
        <w:trPr>
          <w:trHeight w:val="218"/>
        </w:trPr>
        <w:tc>
          <w:tcPr>
            <w:tcW w:w="77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r>
      <w:tr>
        <w:trPr>
          <w:trHeight w:val="216"/>
        </w:trPr>
        <w:tc>
          <w:tcPr>
            <w:tcW w:w="77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Discount rate</w:t>
            </w:r>
          </w:p>
        </w:tc>
        <w:tc>
          <w:tcPr>
            <w:tcW w:w="136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6.0%</w:t>
            </w: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6.0%</w:t>
            </w:r>
          </w:p>
        </w:tc>
        <w:tc>
          <w:tcPr>
            <w:tcW w:w="11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8.0%</w:t>
            </w:r>
          </w:p>
        </w:tc>
      </w:tr>
      <w:tr>
        <w:trPr>
          <w:trHeight w:val="222"/>
        </w:trPr>
        <w:tc>
          <w:tcPr>
            <w:tcW w:w="7720" w:type="dxa"/>
            <w:vAlign w:val="bottom"/>
          </w:tcPr>
          <w:p>
            <w:pPr>
              <w:ind w:left="440"/>
              <w:spacing w:after="0"/>
              <w:rPr>
                <w:sz w:val="20"/>
                <w:szCs w:val="20"/>
                <w:color w:val="auto"/>
              </w:rPr>
            </w:pPr>
            <w:r>
              <w:rPr>
                <w:rFonts w:ascii="Arial" w:cs="Arial" w:eastAsia="Arial" w:hAnsi="Arial"/>
                <w:sz w:val="18"/>
                <w:szCs w:val="18"/>
                <w:color w:val="auto"/>
              </w:rPr>
              <w:t>Rate of salary increase</w:t>
            </w:r>
          </w:p>
        </w:tc>
        <w:tc>
          <w:tcPr>
            <w:tcW w:w="1360" w:type="dxa"/>
            <w:vAlign w:val="bottom"/>
            <w:gridSpan w:val="3"/>
          </w:tcPr>
          <w:p>
            <w:pPr>
              <w:jc w:val="right"/>
              <w:ind w:right="460"/>
              <w:spacing w:after="0"/>
              <w:rPr>
                <w:sz w:val="20"/>
                <w:szCs w:val="20"/>
                <w:color w:val="auto"/>
              </w:rPr>
            </w:pPr>
            <w:r>
              <w:rPr>
                <w:rFonts w:ascii="Arial" w:cs="Arial" w:eastAsia="Arial" w:hAnsi="Arial"/>
                <w:sz w:val="18"/>
                <w:szCs w:val="18"/>
                <w:color w:val="auto"/>
              </w:rPr>
              <w:t>5.0</w:t>
            </w:r>
          </w:p>
        </w:tc>
        <w:tc>
          <w:tcPr>
            <w:tcW w:w="860" w:type="dxa"/>
            <w:vAlign w:val="bottom"/>
          </w:tcPr>
          <w:p>
            <w:pPr>
              <w:jc w:val="right"/>
              <w:spacing w:after="0"/>
              <w:rPr>
                <w:sz w:val="20"/>
                <w:szCs w:val="20"/>
                <w:color w:val="auto"/>
              </w:rPr>
            </w:pPr>
            <w:r>
              <w:rPr>
                <w:rFonts w:ascii="Arial" w:cs="Arial" w:eastAsia="Arial" w:hAnsi="Arial"/>
                <w:sz w:val="18"/>
                <w:szCs w:val="18"/>
                <w:color w:val="auto"/>
              </w:rPr>
              <w:t>5.0</w:t>
            </w:r>
          </w:p>
        </w:tc>
        <w:tc>
          <w:tcPr>
            <w:tcW w:w="320" w:type="dxa"/>
            <w:vAlign w:val="bottom"/>
          </w:tcPr>
          <w:p>
            <w:pPr>
              <w:spacing w:after="0"/>
              <w:rPr>
                <w:sz w:val="19"/>
                <w:szCs w:val="19"/>
                <w:color w:val="auto"/>
              </w:rPr>
            </w:pPr>
          </w:p>
        </w:tc>
        <w:tc>
          <w:tcPr>
            <w:tcW w:w="1160" w:type="dxa"/>
            <w:vAlign w:val="bottom"/>
            <w:gridSpan w:val="3"/>
          </w:tcPr>
          <w:p>
            <w:pPr>
              <w:jc w:val="right"/>
              <w:ind w:right="140"/>
              <w:spacing w:after="0"/>
              <w:rPr>
                <w:sz w:val="20"/>
                <w:szCs w:val="20"/>
                <w:color w:val="auto"/>
              </w:rPr>
            </w:pPr>
            <w:r>
              <w:rPr>
                <w:rFonts w:ascii="Arial" w:cs="Arial" w:eastAsia="Arial" w:hAnsi="Arial"/>
                <w:sz w:val="18"/>
                <w:szCs w:val="18"/>
                <w:color w:val="auto"/>
              </w:rPr>
              <w:t>5.0</w:t>
            </w:r>
          </w:p>
        </w:tc>
      </w:tr>
    </w:tbl>
    <w:p>
      <w:pPr>
        <w:spacing w:after="0" w:line="147" w:lineRule="exact"/>
        <w:rPr>
          <w:sz w:val="20"/>
          <w:szCs w:val="20"/>
          <w:color w:val="auto"/>
        </w:rPr>
      </w:pPr>
    </w:p>
    <w:p>
      <w:pPr>
        <w:jc w:val="both"/>
        <w:ind w:right="320"/>
        <w:spacing w:after="0" w:line="259" w:lineRule="auto"/>
        <w:rPr>
          <w:sz w:val="20"/>
          <w:szCs w:val="20"/>
          <w:color w:val="auto"/>
        </w:rPr>
      </w:pPr>
      <w:r>
        <w:rPr>
          <w:rFonts w:ascii="Arial" w:cs="Arial" w:eastAsia="Arial" w:hAnsi="Arial"/>
          <w:sz w:val="18"/>
          <w:szCs w:val="18"/>
          <w:color w:val="auto"/>
        </w:rPr>
        <w:t>During 2005, the Company granted additional retirement benefits to one of its key employees covered under the nonqualified supplemental retirement plan in recognition of years of service provided to the Company beyond normal retirement age as defined in the plan. This change resulted in a significant increase in expense for the year.</w:t>
      </w:r>
    </w:p>
    <w:p>
      <w:pPr>
        <w:spacing w:after="0" w:line="140" w:lineRule="exact"/>
        <w:rPr>
          <w:sz w:val="20"/>
          <w:szCs w:val="20"/>
          <w:color w:val="auto"/>
        </w:rPr>
      </w:pPr>
    </w:p>
    <w:p>
      <w:pPr>
        <w:spacing w:after="0"/>
        <w:rPr>
          <w:sz w:val="20"/>
          <w:szCs w:val="20"/>
          <w:color w:val="auto"/>
        </w:rPr>
      </w:pPr>
      <w:r>
        <w:rPr>
          <w:rFonts w:ascii="Arial" w:cs="Arial" w:eastAsia="Arial" w:hAnsi="Arial"/>
          <w:sz w:val="15"/>
          <w:szCs w:val="15"/>
          <w:color w:val="auto"/>
        </w:rPr>
        <w:t>The following amounts represent the benefit payments, which reflect expected future service, as appropriate, expected to be paid during the 10 year period ended</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October 31, 2016:</w:t>
      </w:r>
    </w:p>
    <w:p>
      <w:pPr>
        <w:spacing w:after="0" w:line="214" w:lineRule="exact"/>
        <w:rPr>
          <w:sz w:val="20"/>
          <w:szCs w:val="20"/>
          <w:color w:val="auto"/>
        </w:rPr>
      </w:pPr>
    </w:p>
    <w:tbl>
      <w:tblPr>
        <w:tblLayout w:type="fixed"/>
        <w:tblInd w:w="2300" w:type="dxa"/>
        <w:tblCellMar>
          <w:top w:w="0" w:type="dxa"/>
          <w:left w:w="0" w:type="dxa"/>
          <w:bottom w:w="0" w:type="dxa"/>
          <w:right w:w="0" w:type="dxa"/>
        </w:tblCellMar>
      </w:tblPr>
      <w:tr>
        <w:trPr>
          <w:trHeight w:val="216"/>
        </w:trPr>
        <w:tc>
          <w:tcPr>
            <w:tcW w:w="3520" w:type="dxa"/>
            <w:vAlign w:val="bottom"/>
            <w:shd w:val="clear" w:color="auto" w:fill="CCEEFF"/>
          </w:tcPr>
          <w:p>
            <w:pPr>
              <w:jc w:val="right"/>
              <w:ind w:right="2652"/>
              <w:spacing w:after="0"/>
              <w:rPr>
                <w:sz w:val="20"/>
                <w:szCs w:val="20"/>
                <w:color w:val="auto"/>
              </w:rPr>
            </w:pPr>
            <w:r>
              <w:rPr>
                <w:rFonts w:ascii="Arial" w:cs="Arial" w:eastAsia="Arial" w:hAnsi="Arial"/>
                <w:sz w:val="18"/>
                <w:szCs w:val="18"/>
                <w:color w:val="auto"/>
              </w:rPr>
              <w:t>2007</w:t>
            </w:r>
          </w:p>
        </w:tc>
        <w:tc>
          <w:tcPr>
            <w:tcW w:w="3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   78,876</w:t>
            </w:r>
          </w:p>
        </w:tc>
      </w:tr>
      <w:tr>
        <w:trPr>
          <w:trHeight w:val="216"/>
        </w:trPr>
        <w:tc>
          <w:tcPr>
            <w:tcW w:w="3520" w:type="dxa"/>
            <w:vAlign w:val="bottom"/>
          </w:tcPr>
          <w:p>
            <w:pPr>
              <w:jc w:val="right"/>
              <w:ind w:right="2652"/>
              <w:spacing w:after="0"/>
              <w:rPr>
                <w:sz w:val="20"/>
                <w:szCs w:val="20"/>
                <w:color w:val="auto"/>
              </w:rPr>
            </w:pPr>
            <w:r>
              <w:rPr>
                <w:rFonts w:ascii="Arial" w:cs="Arial" w:eastAsia="Arial" w:hAnsi="Arial"/>
                <w:sz w:val="18"/>
                <w:szCs w:val="18"/>
                <w:color w:val="auto"/>
              </w:rPr>
              <w:t>2008</w:t>
            </w:r>
          </w:p>
        </w:tc>
        <w:tc>
          <w:tcPr>
            <w:tcW w:w="3320" w:type="dxa"/>
            <w:vAlign w:val="bottom"/>
          </w:tcPr>
          <w:p>
            <w:pPr>
              <w:jc w:val="right"/>
              <w:spacing w:after="0"/>
              <w:rPr>
                <w:sz w:val="20"/>
                <w:szCs w:val="20"/>
                <w:color w:val="auto"/>
              </w:rPr>
            </w:pPr>
            <w:r>
              <w:rPr>
                <w:rFonts w:ascii="Arial" w:cs="Arial" w:eastAsia="Arial" w:hAnsi="Arial"/>
                <w:sz w:val="18"/>
                <w:szCs w:val="18"/>
                <w:color w:val="auto"/>
              </w:rPr>
              <w:t>78,876</w:t>
            </w:r>
          </w:p>
        </w:tc>
      </w:tr>
      <w:tr>
        <w:trPr>
          <w:trHeight w:val="216"/>
        </w:trPr>
        <w:tc>
          <w:tcPr>
            <w:tcW w:w="3520" w:type="dxa"/>
            <w:vAlign w:val="bottom"/>
            <w:shd w:val="clear" w:color="auto" w:fill="CCEEFF"/>
          </w:tcPr>
          <w:p>
            <w:pPr>
              <w:jc w:val="right"/>
              <w:ind w:right="2652"/>
              <w:spacing w:after="0"/>
              <w:rPr>
                <w:sz w:val="20"/>
                <w:szCs w:val="20"/>
                <w:color w:val="auto"/>
              </w:rPr>
            </w:pPr>
            <w:r>
              <w:rPr>
                <w:rFonts w:ascii="Arial" w:cs="Arial" w:eastAsia="Arial" w:hAnsi="Arial"/>
                <w:sz w:val="18"/>
                <w:szCs w:val="18"/>
                <w:color w:val="auto"/>
              </w:rPr>
              <w:t>2009</w:t>
            </w:r>
          </w:p>
        </w:tc>
        <w:tc>
          <w:tcPr>
            <w:tcW w:w="3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78,876</w:t>
            </w:r>
          </w:p>
        </w:tc>
      </w:tr>
      <w:tr>
        <w:trPr>
          <w:trHeight w:val="216"/>
        </w:trPr>
        <w:tc>
          <w:tcPr>
            <w:tcW w:w="3520" w:type="dxa"/>
            <w:vAlign w:val="bottom"/>
          </w:tcPr>
          <w:p>
            <w:pPr>
              <w:jc w:val="right"/>
              <w:ind w:right="2652"/>
              <w:spacing w:after="0"/>
              <w:rPr>
                <w:sz w:val="20"/>
                <w:szCs w:val="20"/>
                <w:color w:val="auto"/>
              </w:rPr>
            </w:pPr>
            <w:r>
              <w:rPr>
                <w:rFonts w:ascii="Arial" w:cs="Arial" w:eastAsia="Arial" w:hAnsi="Arial"/>
                <w:sz w:val="18"/>
                <w:szCs w:val="18"/>
                <w:color w:val="auto"/>
              </w:rPr>
              <w:t>2010</w:t>
            </w:r>
          </w:p>
        </w:tc>
        <w:tc>
          <w:tcPr>
            <w:tcW w:w="3320" w:type="dxa"/>
            <w:vAlign w:val="bottom"/>
          </w:tcPr>
          <w:p>
            <w:pPr>
              <w:jc w:val="right"/>
              <w:spacing w:after="0"/>
              <w:rPr>
                <w:sz w:val="20"/>
                <w:szCs w:val="20"/>
                <w:color w:val="auto"/>
              </w:rPr>
            </w:pPr>
            <w:r>
              <w:rPr>
                <w:rFonts w:ascii="Arial" w:cs="Arial" w:eastAsia="Arial" w:hAnsi="Arial"/>
                <w:sz w:val="18"/>
                <w:szCs w:val="18"/>
                <w:color w:val="auto"/>
              </w:rPr>
              <w:t>78,876</w:t>
            </w:r>
          </w:p>
        </w:tc>
      </w:tr>
      <w:tr>
        <w:trPr>
          <w:trHeight w:val="216"/>
        </w:trPr>
        <w:tc>
          <w:tcPr>
            <w:tcW w:w="3520" w:type="dxa"/>
            <w:vAlign w:val="bottom"/>
            <w:shd w:val="clear" w:color="auto" w:fill="CCEEFF"/>
          </w:tcPr>
          <w:p>
            <w:pPr>
              <w:jc w:val="right"/>
              <w:ind w:right="2672"/>
              <w:spacing w:after="0"/>
              <w:rPr>
                <w:sz w:val="20"/>
                <w:szCs w:val="20"/>
                <w:color w:val="auto"/>
              </w:rPr>
            </w:pPr>
            <w:r>
              <w:rPr>
                <w:rFonts w:ascii="Arial" w:cs="Arial" w:eastAsia="Arial" w:hAnsi="Arial"/>
                <w:sz w:val="18"/>
                <w:szCs w:val="18"/>
                <w:color w:val="auto"/>
              </w:rPr>
              <w:t>2011</w:t>
            </w:r>
          </w:p>
        </w:tc>
        <w:tc>
          <w:tcPr>
            <w:tcW w:w="3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118,458</w:t>
            </w:r>
          </w:p>
        </w:tc>
      </w:tr>
      <w:tr>
        <w:trPr>
          <w:trHeight w:val="222"/>
        </w:trPr>
        <w:tc>
          <w:tcPr>
            <w:tcW w:w="3520" w:type="dxa"/>
            <w:vAlign w:val="bottom"/>
          </w:tcPr>
          <w:p>
            <w:pPr>
              <w:jc w:val="right"/>
              <w:ind w:right="2412"/>
              <w:spacing w:after="0"/>
              <w:rPr>
                <w:sz w:val="20"/>
                <w:szCs w:val="20"/>
                <w:color w:val="auto"/>
              </w:rPr>
            </w:pPr>
            <w:r>
              <w:rPr>
                <w:rFonts w:ascii="Arial" w:cs="Arial" w:eastAsia="Arial" w:hAnsi="Arial"/>
                <w:sz w:val="18"/>
                <w:szCs w:val="18"/>
                <w:color w:val="auto"/>
              </w:rPr>
              <w:t>2012-2016</w:t>
            </w:r>
          </w:p>
        </w:tc>
        <w:tc>
          <w:tcPr>
            <w:tcW w:w="3320" w:type="dxa"/>
            <w:vAlign w:val="bottom"/>
          </w:tcPr>
          <w:p>
            <w:pPr>
              <w:jc w:val="right"/>
              <w:spacing w:after="0"/>
              <w:rPr>
                <w:sz w:val="20"/>
                <w:szCs w:val="20"/>
                <w:color w:val="auto"/>
              </w:rPr>
            </w:pPr>
            <w:r>
              <w:rPr>
                <w:rFonts w:ascii="Arial" w:cs="Arial" w:eastAsia="Arial" w:hAnsi="Arial"/>
                <w:sz w:val="18"/>
                <w:szCs w:val="18"/>
                <w:color w:val="auto"/>
              </w:rPr>
              <w:t>1,217,174</w:t>
            </w:r>
          </w:p>
        </w:tc>
      </w:tr>
    </w:tbl>
    <w:p>
      <w:pPr>
        <w:spacing w:after="0" w:line="147" w:lineRule="exact"/>
        <w:rPr>
          <w:sz w:val="20"/>
          <w:szCs w:val="20"/>
          <w:color w:val="auto"/>
        </w:rPr>
      </w:pPr>
    </w:p>
    <w:p>
      <w:pPr>
        <w:spacing w:after="0"/>
        <w:rPr>
          <w:sz w:val="20"/>
          <w:szCs w:val="20"/>
          <w:color w:val="auto"/>
        </w:rPr>
      </w:pPr>
      <w:r>
        <w:rPr>
          <w:rFonts w:ascii="Arial" w:cs="Arial" w:eastAsia="Arial" w:hAnsi="Arial"/>
          <w:sz w:val="18"/>
          <w:szCs w:val="18"/>
          <w:color w:val="auto"/>
        </w:rPr>
        <w:t>Because the plan is unfunded, the Company’s expected contributions are equal to the benefit payment schedule above.</w:t>
      </w:r>
    </w:p>
    <w:p>
      <w:pPr>
        <w:spacing w:after="0" w:line="158"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F - 70</w:t>
      </w:r>
    </w:p>
    <w:p>
      <w:pPr>
        <w:sectPr>
          <w:pgSz w:w="11900" w:h="16838" w:orient="portrait"/>
          <w:cols w:equalWidth="0" w:num="1">
            <w:col w:w="11420"/>
          </w:cols>
          <w:pgMar w:left="240" w:top="459" w:right="239" w:bottom="1440" w:gutter="0" w:footer="0" w:header="0"/>
        </w:sectPr>
      </w:pPr>
    </w:p>
    <w:bookmarkStart w:id="89" w:name="page90"/>
    <w:bookmarkEnd w:id="8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5100"/>
        <w:spacing w:after="0" w:line="262" w:lineRule="auto"/>
        <w:rPr>
          <w:sz w:val="20"/>
          <w:szCs w:val="20"/>
          <w:color w:val="auto"/>
        </w:rPr>
      </w:pPr>
      <w:r>
        <w:rPr>
          <w:rFonts w:ascii="Arial" w:cs="Arial" w:eastAsia="Arial" w:hAnsi="Arial"/>
          <w:sz w:val="18"/>
          <w:szCs w:val="18"/>
          <w:b w:val="1"/>
          <w:bCs w:val="1"/>
          <w:color w:val="auto"/>
        </w:rPr>
        <w:t>INTERNATIONAL HOME FURNISHINGS CENTER, INC. AND SUBSIDIARIES NOTES TO CONSOLIDATED FINANCIAL STATEMENTS October 31, 2006, 2005 and 2004</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H - RENTALS UNDER OPERATING LEASES</w:t>
      </w:r>
    </w:p>
    <w:p>
      <w:pPr>
        <w:spacing w:after="0" w:line="96" w:lineRule="exact"/>
        <w:rPr>
          <w:sz w:val="20"/>
          <w:szCs w:val="20"/>
          <w:color w:val="auto"/>
        </w:rPr>
      </w:pPr>
    </w:p>
    <w:p>
      <w:pPr>
        <w:spacing w:after="0" w:line="294" w:lineRule="auto"/>
        <w:rPr>
          <w:sz w:val="20"/>
          <w:szCs w:val="20"/>
          <w:color w:val="auto"/>
        </w:rPr>
      </w:pPr>
      <w:r>
        <w:rPr>
          <w:rFonts w:ascii="Arial" w:cs="Arial" w:eastAsia="Arial" w:hAnsi="Arial"/>
          <w:sz w:val="16"/>
          <w:szCs w:val="16"/>
          <w:color w:val="auto"/>
        </w:rPr>
        <w:t>The Company’s leasing operations consist principally of leasing exhibition space. Property on operating leases consists of substantially all of the asset “buildings, exclusive of theater complex” included on the consolidated balance sheets. Leases are typically for five-year periods and contain provisions to escalate rentals based upon either the increase in the consumer price index or increases in ad valorem taxes, utility rates and charges, minimum wage imposed by federal and state governments, maintenance contracts for elevators and air conditioning, maintenance of common areas, social security payments, increases resulting from collective bargaining contracts, if any, and such other similar charges and rates required in operating the Company. Tenants normally renew their leases.</w:t>
      </w:r>
    </w:p>
    <w:p>
      <w:pPr>
        <w:spacing w:after="0" w:line="116" w:lineRule="exact"/>
        <w:rPr>
          <w:sz w:val="20"/>
          <w:szCs w:val="20"/>
          <w:color w:val="auto"/>
        </w:rPr>
      </w:pPr>
    </w:p>
    <w:p>
      <w:pPr>
        <w:ind w:right="180"/>
        <w:spacing w:after="0" w:line="268" w:lineRule="auto"/>
        <w:rPr>
          <w:sz w:val="20"/>
          <w:szCs w:val="20"/>
          <w:color w:val="auto"/>
        </w:rPr>
      </w:pPr>
      <w:r>
        <w:rPr>
          <w:rFonts w:ascii="Arial" w:cs="Arial" w:eastAsia="Arial" w:hAnsi="Arial"/>
          <w:sz w:val="18"/>
          <w:szCs w:val="18"/>
          <w:color w:val="auto"/>
        </w:rPr>
        <w:t>The following is a schedule of minimum future rentals under noncancelable operating leases as of October 31, 2006, exclusive of amounts due under escalation provisions of lease agreements:</w:t>
      </w:r>
    </w:p>
    <w:p>
      <w:pPr>
        <w:spacing w:after="0" w:line="181" w:lineRule="exact"/>
        <w:rPr>
          <w:sz w:val="20"/>
          <w:szCs w:val="20"/>
          <w:color w:val="auto"/>
        </w:rPr>
      </w:pPr>
    </w:p>
    <w:tbl>
      <w:tblPr>
        <w:tblLayout w:type="fixed"/>
        <w:tblInd w:w="920" w:type="dxa"/>
        <w:tblCellMar>
          <w:top w:w="0" w:type="dxa"/>
          <w:left w:w="0" w:type="dxa"/>
          <w:bottom w:w="0" w:type="dxa"/>
          <w:right w:w="0" w:type="dxa"/>
        </w:tblCellMar>
      </w:tblPr>
      <w:tr>
        <w:trPr>
          <w:trHeight w:val="216"/>
        </w:trPr>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Year Ending October 31,</w:t>
            </w:r>
          </w:p>
        </w:tc>
        <w:tc>
          <w:tcPr>
            <w:tcW w:w="3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r>
      <w:tr>
        <w:trPr>
          <w:trHeight w:val="216"/>
        </w:trPr>
        <w:tc>
          <w:tcPr>
            <w:tcW w:w="5340" w:type="dxa"/>
            <w:vAlign w:val="bottom"/>
          </w:tcPr>
          <w:p>
            <w:pPr>
              <w:jc w:val="right"/>
              <w:ind w:right="4472"/>
              <w:spacing w:after="0"/>
              <w:rPr>
                <w:sz w:val="20"/>
                <w:szCs w:val="20"/>
                <w:color w:val="auto"/>
              </w:rPr>
            </w:pPr>
            <w:r>
              <w:rPr>
                <w:rFonts w:ascii="Arial" w:cs="Arial" w:eastAsia="Arial" w:hAnsi="Arial"/>
                <w:sz w:val="18"/>
                <w:szCs w:val="18"/>
                <w:color w:val="auto"/>
              </w:rPr>
              <w:t>2007</w:t>
            </w:r>
          </w:p>
        </w:tc>
        <w:tc>
          <w:tcPr>
            <w:tcW w:w="3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w w:val="95"/>
              </w:rPr>
              <w:t>33,771,661</w:t>
            </w:r>
          </w:p>
        </w:tc>
      </w:tr>
      <w:tr>
        <w:trPr>
          <w:trHeight w:val="216"/>
        </w:trPr>
        <w:tc>
          <w:tcPr>
            <w:tcW w:w="5340" w:type="dxa"/>
            <w:vAlign w:val="bottom"/>
            <w:shd w:val="clear" w:color="auto" w:fill="CCEEFF"/>
          </w:tcPr>
          <w:p>
            <w:pPr>
              <w:jc w:val="right"/>
              <w:ind w:right="4472"/>
              <w:spacing w:after="0"/>
              <w:rPr>
                <w:sz w:val="20"/>
                <w:szCs w:val="20"/>
                <w:color w:val="auto"/>
              </w:rPr>
            </w:pPr>
            <w:r>
              <w:rPr>
                <w:rFonts w:ascii="Arial" w:cs="Arial" w:eastAsia="Arial" w:hAnsi="Arial"/>
                <w:sz w:val="18"/>
                <w:szCs w:val="18"/>
                <w:color w:val="auto"/>
              </w:rPr>
              <w:t>2008</w:t>
            </w:r>
          </w:p>
        </w:tc>
        <w:tc>
          <w:tcPr>
            <w:tcW w:w="3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30,723,114</w:t>
            </w:r>
          </w:p>
        </w:tc>
      </w:tr>
      <w:tr>
        <w:trPr>
          <w:trHeight w:val="216"/>
        </w:trPr>
        <w:tc>
          <w:tcPr>
            <w:tcW w:w="5340" w:type="dxa"/>
            <w:vAlign w:val="bottom"/>
          </w:tcPr>
          <w:p>
            <w:pPr>
              <w:jc w:val="right"/>
              <w:ind w:right="4472"/>
              <w:spacing w:after="0"/>
              <w:rPr>
                <w:sz w:val="20"/>
                <w:szCs w:val="20"/>
                <w:color w:val="auto"/>
              </w:rPr>
            </w:pPr>
            <w:r>
              <w:rPr>
                <w:rFonts w:ascii="Arial" w:cs="Arial" w:eastAsia="Arial" w:hAnsi="Arial"/>
                <w:sz w:val="18"/>
                <w:szCs w:val="18"/>
                <w:color w:val="auto"/>
              </w:rPr>
              <w:t>2009</w:t>
            </w:r>
          </w:p>
        </w:tc>
        <w:tc>
          <w:tcPr>
            <w:tcW w:w="3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w w:val="95"/>
              </w:rPr>
              <w:t>25,765,545</w:t>
            </w:r>
          </w:p>
        </w:tc>
      </w:tr>
      <w:tr>
        <w:trPr>
          <w:trHeight w:val="216"/>
        </w:trPr>
        <w:tc>
          <w:tcPr>
            <w:tcW w:w="5340" w:type="dxa"/>
            <w:vAlign w:val="bottom"/>
            <w:shd w:val="clear" w:color="auto" w:fill="CCEEFF"/>
          </w:tcPr>
          <w:p>
            <w:pPr>
              <w:jc w:val="right"/>
              <w:ind w:right="4472"/>
              <w:spacing w:after="0"/>
              <w:rPr>
                <w:sz w:val="20"/>
                <w:szCs w:val="20"/>
                <w:color w:val="auto"/>
              </w:rPr>
            </w:pPr>
            <w:r>
              <w:rPr>
                <w:rFonts w:ascii="Arial" w:cs="Arial" w:eastAsia="Arial" w:hAnsi="Arial"/>
                <w:sz w:val="18"/>
                <w:szCs w:val="18"/>
                <w:color w:val="auto"/>
              </w:rPr>
              <w:t>2010</w:t>
            </w:r>
          </w:p>
        </w:tc>
        <w:tc>
          <w:tcPr>
            <w:tcW w:w="3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14,885,016</w:t>
            </w:r>
          </w:p>
        </w:tc>
      </w:tr>
      <w:tr>
        <w:trPr>
          <w:trHeight w:val="223"/>
        </w:trPr>
        <w:tc>
          <w:tcPr>
            <w:tcW w:w="5340" w:type="dxa"/>
            <w:vAlign w:val="bottom"/>
          </w:tcPr>
          <w:p>
            <w:pPr>
              <w:jc w:val="right"/>
              <w:ind w:right="4472"/>
              <w:spacing w:after="0"/>
              <w:rPr>
                <w:sz w:val="20"/>
                <w:szCs w:val="20"/>
                <w:color w:val="auto"/>
              </w:rPr>
            </w:pPr>
            <w:r>
              <w:rPr>
                <w:rFonts w:ascii="Arial" w:cs="Arial" w:eastAsia="Arial" w:hAnsi="Arial"/>
                <w:sz w:val="18"/>
                <w:szCs w:val="18"/>
                <w:color w:val="auto"/>
              </w:rPr>
              <w:t>2011</w:t>
            </w:r>
          </w:p>
        </w:tc>
        <w:tc>
          <w:tcPr>
            <w:tcW w:w="32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3,723,220</w:t>
            </w:r>
          </w:p>
        </w:tc>
      </w:tr>
      <w:tr>
        <w:trPr>
          <w:trHeight w:val="216"/>
        </w:trPr>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Total minimum future rentals</w:t>
            </w:r>
          </w:p>
        </w:tc>
        <w:tc>
          <w:tcPr>
            <w:tcW w:w="336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5"/>
              </w:rPr>
              <w:t>108,868,556</w:t>
            </w:r>
          </w:p>
        </w:tc>
      </w:tr>
      <w:tr>
        <w:trPr>
          <w:trHeight w:val="20"/>
        </w:trPr>
        <w:tc>
          <w:tcPr>
            <w:tcW w:w="534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r>
    </w:tbl>
    <w:p>
      <w:pPr>
        <w:spacing w:after="0" w:line="167"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color w:val="auto"/>
        </w:rPr>
        <w:t>Rental income includes contingent rentals under escalation provisions of leases of $1,719,212, $1,399,479 and $1,535,633 for the years ended October 31, 2006, 2005 and 2004, respectively.</w:t>
      </w:r>
    </w:p>
    <w:p>
      <w:pPr>
        <w:spacing w:after="0" w:line="132" w:lineRule="exact"/>
        <w:rPr>
          <w:sz w:val="20"/>
          <w:szCs w:val="20"/>
          <w:color w:val="auto"/>
        </w:rPr>
      </w:pPr>
    </w:p>
    <w:p>
      <w:pPr>
        <w:ind w:right="660"/>
        <w:spacing w:after="0" w:line="268" w:lineRule="auto"/>
        <w:rPr>
          <w:sz w:val="20"/>
          <w:szCs w:val="20"/>
          <w:color w:val="auto"/>
        </w:rPr>
      </w:pPr>
      <w:r>
        <w:rPr>
          <w:rFonts w:ascii="Arial" w:cs="Arial" w:eastAsia="Arial" w:hAnsi="Arial"/>
          <w:sz w:val="18"/>
          <w:szCs w:val="18"/>
          <w:color w:val="auto"/>
        </w:rPr>
        <w:t>The Company leases exhibition space to one of the Company’s shareholders. Rental income from this related party amounted to $530,824, $621,380 and $644,934 for the years ended October 31, 2006, 2005 and 2004, respectively.</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I - CONCENTRATIONS OF CREDIT RISK</w:t>
      </w:r>
    </w:p>
    <w:p>
      <w:pPr>
        <w:spacing w:after="0" w:line="96" w:lineRule="exact"/>
        <w:rPr>
          <w:sz w:val="20"/>
          <w:szCs w:val="20"/>
          <w:color w:val="auto"/>
        </w:rPr>
      </w:pPr>
    </w:p>
    <w:p>
      <w:pPr>
        <w:ind w:right="20"/>
        <w:spacing w:after="0" w:line="256" w:lineRule="auto"/>
        <w:rPr>
          <w:sz w:val="20"/>
          <w:szCs w:val="20"/>
          <w:color w:val="auto"/>
        </w:rPr>
      </w:pPr>
      <w:r>
        <w:rPr>
          <w:rFonts w:ascii="Arial" w:cs="Arial" w:eastAsia="Arial" w:hAnsi="Arial"/>
          <w:sz w:val="18"/>
          <w:szCs w:val="18"/>
          <w:color w:val="auto"/>
        </w:rPr>
        <w:t>Financial instruments that potentially subject the Company to concentrations of credit risk consist principally of cash deposits in excess of federally insured limits and trade accounts receivable from customers predominantly in the Home Furnishings Industry. As of October 31, 2006, the Company’s bank balances exceeded federally insured limits by $10,534,052. The Company’s trade accounts receivable are generally collateralized by merchandise in leased exhibition spaces which is in the Company’s possession.</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- 71</w:t>
      </w:r>
    </w:p>
    <w:p>
      <w:pPr>
        <w:sectPr>
          <w:pgSz w:w="11900" w:h="16838" w:orient="portrait"/>
          <w:cols w:equalWidth="0" w:num="1">
            <w:col w:w="11400"/>
          </w:cols>
          <w:pgMar w:left="240" w:top="459" w:right="259" w:bottom="1440" w:gutter="0" w:footer="0" w:header="0"/>
        </w:sectPr>
      </w:pPr>
    </w:p>
    <w:bookmarkStart w:id="90" w:name="page91"/>
    <w:bookmarkEnd w:id="9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5020"/>
        <w:spacing w:after="0" w:line="262" w:lineRule="auto"/>
        <w:rPr>
          <w:sz w:val="20"/>
          <w:szCs w:val="20"/>
          <w:color w:val="auto"/>
        </w:rPr>
      </w:pPr>
      <w:r>
        <w:rPr>
          <w:rFonts w:ascii="Arial" w:cs="Arial" w:eastAsia="Arial" w:hAnsi="Arial"/>
          <w:sz w:val="18"/>
          <w:szCs w:val="18"/>
          <w:b w:val="1"/>
          <w:bCs w:val="1"/>
          <w:color w:val="auto"/>
        </w:rPr>
        <w:t>INTERNATIONAL HOME FURNISHINGS CENTER, INC. AND SUBSIDIARIES NOTES TO CONSOLIDATED FINANCIAL STATEMENTS October 31, 2006, 2005 and 2004</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J - STOCKHOLDERS’ DEFICIT</w:t>
      </w:r>
    </w:p>
    <w:p>
      <w:pPr>
        <w:spacing w:after="0" w:line="96" w:lineRule="exact"/>
        <w:rPr>
          <w:sz w:val="20"/>
          <w:szCs w:val="20"/>
          <w:color w:val="auto"/>
        </w:rPr>
      </w:pPr>
    </w:p>
    <w:p>
      <w:pPr>
        <w:spacing w:after="0" w:line="298" w:lineRule="auto"/>
        <w:rPr>
          <w:sz w:val="20"/>
          <w:szCs w:val="20"/>
          <w:color w:val="auto"/>
        </w:rPr>
      </w:pPr>
      <w:r>
        <w:rPr>
          <w:rFonts w:ascii="Arial" w:cs="Arial" w:eastAsia="Arial" w:hAnsi="Arial"/>
          <w:sz w:val="16"/>
          <w:szCs w:val="16"/>
          <w:color w:val="auto"/>
        </w:rPr>
        <w:t>The stockholders’ deficit resulted from the payment of dividends substantially in excess of accumulated earnings. The dividends in excess of accumulated earnings were financed, in part, with the proceeds of long-term debt. Although interest on this debt will negatively impact future earnings, management believes, based on projections of future operations and cash flows, that future earnings will provide adequate equity capital for the Company and that operating cash flows will be sufficient to provide for debt service and for the Company’s other financing and investing needs.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K - SUBSEQUENT EVENT</w:t>
      </w:r>
    </w:p>
    <w:p>
      <w:pPr>
        <w:spacing w:after="0" w:line="96" w:lineRule="exact"/>
        <w:rPr>
          <w:sz w:val="20"/>
          <w:szCs w:val="20"/>
          <w:color w:val="auto"/>
        </w:rPr>
      </w:pPr>
    </w:p>
    <w:p>
      <w:pPr>
        <w:spacing w:after="0"/>
        <w:rPr>
          <w:sz w:val="20"/>
          <w:szCs w:val="20"/>
          <w:color w:val="auto"/>
        </w:rPr>
      </w:pPr>
      <w:r>
        <w:rPr>
          <w:rFonts w:ascii="Arial" w:cs="Arial" w:eastAsia="Arial" w:hAnsi="Arial"/>
          <w:sz w:val="16"/>
          <w:szCs w:val="16"/>
          <w:color w:val="auto"/>
        </w:rPr>
        <w:t>On December 7, 2006, the Board of Directors authorized payment of a cash dividend totaling $6,000,000 to stockholders of record as of December 7, 2006.</w:t>
      </w:r>
    </w:p>
    <w:p>
      <w:pPr>
        <w:spacing w:after="0" w:line="181"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F - 72</w:t>
      </w:r>
    </w:p>
    <w:p>
      <w:pPr>
        <w:sectPr>
          <w:pgSz w:w="11900" w:h="16838" w:orient="portrait"/>
          <w:cols w:equalWidth="0" w:num="1">
            <w:col w:w="11320"/>
          </w:cols>
          <w:pgMar w:left="240" w:top="459" w:right="339" w:bottom="1440" w:gutter="0" w:footer="0" w:header="0"/>
        </w:sectPr>
      </w:pPr>
    </w:p>
    <w:bookmarkStart w:id="91" w:name="page92"/>
    <w:bookmarkEnd w:id="9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1">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0680" w:type="dxa"/>
            <w:vAlign w:val="bottom"/>
          </w:tcPr>
          <w:p>
            <w:pPr>
              <w:ind w:left="4220"/>
              <w:spacing w:after="0"/>
              <w:rPr>
                <w:sz w:val="20"/>
                <w:szCs w:val="20"/>
                <w:color w:val="auto"/>
              </w:rPr>
            </w:pPr>
            <w:r>
              <w:rPr>
                <w:rFonts w:ascii="Arial" w:cs="Arial" w:eastAsia="Arial" w:hAnsi="Arial"/>
                <w:sz w:val="18"/>
                <w:szCs w:val="18"/>
                <w:color w:val="auto"/>
              </w:rPr>
              <w:t>INDEX TO EXHIBITS</w:t>
            </w:r>
          </w:p>
        </w:tc>
        <w:tc>
          <w:tcPr>
            <w:tcW w:w="0" w:type="dxa"/>
            <w:vAlign w:val="bottom"/>
          </w:tcPr>
          <w:p>
            <w:pPr>
              <w:spacing w:after="0"/>
              <w:rPr>
                <w:sz w:val="1"/>
                <w:szCs w:val="1"/>
                <w:color w:val="auto"/>
              </w:rPr>
            </w:pPr>
          </w:p>
        </w:tc>
      </w:tr>
      <w:tr>
        <w:trPr>
          <w:trHeight w:val="353"/>
        </w:trPr>
        <w:tc>
          <w:tcPr>
            <w:tcW w:w="660" w:type="dxa"/>
            <w:vAlign w:val="bottom"/>
            <w:gridSpan w:val="2"/>
          </w:tcPr>
          <w:p>
            <w:pPr>
              <w:spacing w:after="0"/>
              <w:rPr>
                <w:sz w:val="20"/>
                <w:szCs w:val="20"/>
                <w:color w:val="auto"/>
              </w:rPr>
            </w:pPr>
            <w:r>
              <w:rPr>
                <w:rFonts w:ascii="Arial" w:cs="Arial" w:eastAsia="Arial" w:hAnsi="Arial"/>
                <w:sz w:val="14"/>
                <w:szCs w:val="14"/>
                <w:b w:val="1"/>
                <w:bCs w:val="1"/>
                <w:color w:val="auto"/>
                <w:w w:val="87"/>
              </w:rPr>
              <w:t>Exhibit No.</w:t>
            </w:r>
          </w:p>
        </w:tc>
        <w:tc>
          <w:tcPr>
            <w:tcW w:w="10680" w:type="dxa"/>
            <w:vAlign w:val="bottom"/>
            <w:vMerge w:val="restart"/>
          </w:tcPr>
          <w:p>
            <w:pPr>
              <w:ind w:left="660"/>
              <w:spacing w:after="0"/>
              <w:rPr>
                <w:sz w:val="20"/>
                <w:szCs w:val="20"/>
                <w:color w:val="auto"/>
              </w:rPr>
            </w:pPr>
            <w:r>
              <w:rPr>
                <w:rFonts w:ascii="Arial" w:cs="Arial" w:eastAsia="Arial" w:hAnsi="Arial"/>
                <w:sz w:val="18"/>
                <w:szCs w:val="18"/>
                <w:color w:val="auto"/>
              </w:rPr>
              <w:t>List of subsidiaries of registrant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79"/>
              </w:rPr>
              <w:t>21</w:t>
            </w:r>
          </w:p>
        </w:tc>
        <w:tc>
          <w:tcPr>
            <w:tcW w:w="106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16"/>
        </w:trPr>
        <w:tc>
          <w:tcPr>
            <w:tcW w:w="20" w:type="dxa"/>
            <w:vAlign w:val="bottom"/>
          </w:tcPr>
          <w:p>
            <w:pPr>
              <w:spacing w:after="0"/>
              <w:rPr>
                <w:sz w:val="24"/>
                <w:szCs w:val="24"/>
                <w:color w:val="auto"/>
              </w:rPr>
            </w:pPr>
          </w:p>
        </w:tc>
        <w:tc>
          <w:tcPr>
            <w:tcW w:w="640" w:type="dxa"/>
            <w:vAlign w:val="bottom"/>
          </w:tcPr>
          <w:p>
            <w:pPr>
              <w:jc w:val="center"/>
              <w:spacing w:after="0"/>
              <w:rPr>
                <w:sz w:val="20"/>
                <w:szCs w:val="20"/>
                <w:color w:val="auto"/>
              </w:rPr>
            </w:pPr>
            <w:r>
              <w:rPr>
                <w:rFonts w:ascii="Arial" w:cs="Arial" w:eastAsia="Arial" w:hAnsi="Arial"/>
                <w:sz w:val="18"/>
                <w:szCs w:val="18"/>
                <w:color w:val="auto"/>
                <w:w w:val="99"/>
              </w:rPr>
              <w:t>23A</w:t>
            </w:r>
          </w:p>
        </w:tc>
        <w:tc>
          <w:tcPr>
            <w:tcW w:w="10680" w:type="dxa"/>
            <w:vAlign w:val="bottom"/>
          </w:tcPr>
          <w:p>
            <w:pPr>
              <w:ind w:left="660"/>
              <w:spacing w:after="0"/>
              <w:rPr>
                <w:sz w:val="20"/>
                <w:szCs w:val="20"/>
                <w:color w:val="auto"/>
              </w:rPr>
            </w:pPr>
            <w:r>
              <w:rPr>
                <w:rFonts w:ascii="Arial" w:cs="Arial" w:eastAsia="Arial" w:hAnsi="Arial"/>
                <w:sz w:val="18"/>
                <w:szCs w:val="18"/>
                <w:color w:val="auto"/>
              </w:rPr>
              <w:t>Consent of Independent Registered Public Accounting Firm</w:t>
            </w: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640" w:type="dxa"/>
            <w:vAlign w:val="bottom"/>
          </w:tcPr>
          <w:p>
            <w:pPr>
              <w:jc w:val="center"/>
              <w:spacing w:after="0"/>
              <w:rPr>
                <w:sz w:val="20"/>
                <w:szCs w:val="20"/>
                <w:color w:val="auto"/>
              </w:rPr>
            </w:pPr>
            <w:r>
              <w:rPr>
                <w:rFonts w:ascii="Arial" w:cs="Arial" w:eastAsia="Arial" w:hAnsi="Arial"/>
                <w:sz w:val="18"/>
                <w:szCs w:val="18"/>
                <w:color w:val="auto"/>
                <w:w w:val="87"/>
              </w:rPr>
              <w:t>23B</w:t>
            </w:r>
          </w:p>
        </w:tc>
        <w:tc>
          <w:tcPr>
            <w:tcW w:w="10680" w:type="dxa"/>
            <w:vAlign w:val="bottom"/>
          </w:tcPr>
          <w:p>
            <w:pPr>
              <w:ind w:left="660"/>
              <w:spacing w:after="0"/>
              <w:rPr>
                <w:sz w:val="20"/>
                <w:szCs w:val="20"/>
                <w:color w:val="auto"/>
              </w:rPr>
            </w:pPr>
            <w:r>
              <w:rPr>
                <w:rFonts w:ascii="Arial" w:cs="Arial" w:eastAsia="Arial" w:hAnsi="Arial"/>
                <w:sz w:val="18"/>
                <w:szCs w:val="18"/>
                <w:color w:val="auto"/>
              </w:rPr>
              <w:t>Consent of Independent Registered Public Accounting Firm</w:t>
            </w: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640" w:type="dxa"/>
            <w:vAlign w:val="bottom"/>
          </w:tcPr>
          <w:p>
            <w:pPr>
              <w:jc w:val="center"/>
              <w:spacing w:after="0"/>
              <w:rPr>
                <w:sz w:val="20"/>
                <w:szCs w:val="20"/>
                <w:color w:val="auto"/>
              </w:rPr>
            </w:pPr>
            <w:r>
              <w:rPr>
                <w:rFonts w:ascii="Arial" w:cs="Arial" w:eastAsia="Arial" w:hAnsi="Arial"/>
                <w:sz w:val="18"/>
                <w:szCs w:val="18"/>
                <w:color w:val="auto"/>
                <w:w w:val="99"/>
              </w:rPr>
              <w:t>31A</w:t>
            </w:r>
          </w:p>
        </w:tc>
        <w:tc>
          <w:tcPr>
            <w:tcW w:w="10680" w:type="dxa"/>
            <w:vAlign w:val="bottom"/>
          </w:tcPr>
          <w:p>
            <w:pPr>
              <w:ind w:left="660"/>
              <w:spacing w:after="0"/>
              <w:rPr>
                <w:sz w:val="20"/>
                <w:szCs w:val="20"/>
                <w:color w:val="auto"/>
              </w:rPr>
            </w:pPr>
            <w:r>
              <w:rPr>
                <w:rFonts w:ascii="Arial" w:cs="Arial" w:eastAsia="Arial" w:hAnsi="Arial"/>
                <w:sz w:val="18"/>
                <w:szCs w:val="18"/>
                <w:color w:val="auto"/>
                <w:w w:val="91"/>
              </w:rPr>
              <w:t>Certification of Robert H. Spilman, Jr., President and Chief Executive Officer, pursuant to Section 302 of the Sarbanes-Oxley Act of 2002.</w:t>
            </w: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640" w:type="dxa"/>
            <w:vAlign w:val="bottom"/>
          </w:tcPr>
          <w:p>
            <w:pPr>
              <w:jc w:val="center"/>
              <w:spacing w:after="0"/>
              <w:rPr>
                <w:sz w:val="20"/>
                <w:szCs w:val="20"/>
                <w:color w:val="auto"/>
              </w:rPr>
            </w:pPr>
            <w:r>
              <w:rPr>
                <w:rFonts w:ascii="Arial" w:cs="Arial" w:eastAsia="Arial" w:hAnsi="Arial"/>
                <w:sz w:val="18"/>
                <w:szCs w:val="18"/>
                <w:color w:val="auto"/>
                <w:w w:val="87"/>
              </w:rPr>
              <w:t>31B</w:t>
            </w:r>
          </w:p>
        </w:tc>
        <w:tc>
          <w:tcPr>
            <w:tcW w:w="10680" w:type="dxa"/>
            <w:vAlign w:val="bottom"/>
          </w:tcPr>
          <w:p>
            <w:pPr>
              <w:ind w:left="660"/>
              <w:spacing w:after="0"/>
              <w:rPr>
                <w:sz w:val="20"/>
                <w:szCs w:val="20"/>
                <w:color w:val="auto"/>
              </w:rPr>
            </w:pPr>
            <w:r>
              <w:rPr>
                <w:rFonts w:ascii="Arial" w:cs="Arial" w:eastAsia="Arial" w:hAnsi="Arial"/>
                <w:sz w:val="18"/>
                <w:szCs w:val="18"/>
                <w:color w:val="auto"/>
                <w:w w:val="89"/>
              </w:rPr>
              <w:t>Certification of Barry C. Safrit, Senior Vice President and Chief Financial Officer, pursuant to Section 302 of the Sarbanes-Oxley Act of 2002.</w:t>
            </w: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640" w:type="dxa"/>
            <w:vAlign w:val="bottom"/>
          </w:tcPr>
          <w:p>
            <w:pPr>
              <w:jc w:val="center"/>
              <w:spacing w:after="0"/>
              <w:rPr>
                <w:sz w:val="20"/>
                <w:szCs w:val="20"/>
                <w:color w:val="auto"/>
              </w:rPr>
            </w:pPr>
            <w:r>
              <w:rPr>
                <w:rFonts w:ascii="Arial" w:cs="Arial" w:eastAsia="Arial" w:hAnsi="Arial"/>
                <w:sz w:val="18"/>
                <w:szCs w:val="18"/>
                <w:color w:val="auto"/>
                <w:w w:val="99"/>
              </w:rPr>
              <w:t>32A</w:t>
            </w:r>
          </w:p>
        </w:tc>
        <w:tc>
          <w:tcPr>
            <w:tcW w:w="10680" w:type="dxa"/>
            <w:vAlign w:val="bottom"/>
          </w:tcPr>
          <w:p>
            <w:pPr>
              <w:ind w:left="660"/>
              <w:spacing w:after="0"/>
              <w:rPr>
                <w:sz w:val="20"/>
                <w:szCs w:val="20"/>
                <w:color w:val="auto"/>
              </w:rPr>
            </w:pPr>
            <w:r>
              <w:rPr>
                <w:rFonts w:ascii="Arial" w:cs="Arial" w:eastAsia="Arial" w:hAnsi="Arial"/>
                <w:sz w:val="18"/>
                <w:szCs w:val="18"/>
                <w:color w:val="auto"/>
              </w:rPr>
              <w:t>Certification Pursuant to 18 U.S.C. Section 1350, as Adopted Pursuant to Section 906 of the Sarbanes-Oxley Act of 2002</w:t>
            </w: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640" w:type="dxa"/>
            <w:vAlign w:val="bottom"/>
          </w:tcPr>
          <w:p>
            <w:pPr>
              <w:jc w:val="center"/>
              <w:spacing w:after="0"/>
              <w:rPr>
                <w:sz w:val="20"/>
                <w:szCs w:val="20"/>
                <w:color w:val="auto"/>
              </w:rPr>
            </w:pPr>
            <w:r>
              <w:rPr>
                <w:rFonts w:ascii="Arial" w:cs="Arial" w:eastAsia="Arial" w:hAnsi="Arial"/>
                <w:sz w:val="18"/>
                <w:szCs w:val="18"/>
                <w:color w:val="auto"/>
                <w:w w:val="87"/>
              </w:rPr>
              <w:t>32B</w:t>
            </w:r>
          </w:p>
        </w:tc>
        <w:tc>
          <w:tcPr>
            <w:tcW w:w="10680" w:type="dxa"/>
            <w:vAlign w:val="bottom"/>
          </w:tcPr>
          <w:p>
            <w:pPr>
              <w:ind w:left="660"/>
              <w:spacing w:after="0"/>
              <w:rPr>
                <w:sz w:val="20"/>
                <w:szCs w:val="20"/>
                <w:color w:val="auto"/>
              </w:rPr>
            </w:pPr>
            <w:r>
              <w:rPr>
                <w:rFonts w:ascii="Arial" w:cs="Arial" w:eastAsia="Arial" w:hAnsi="Arial"/>
                <w:sz w:val="18"/>
                <w:szCs w:val="18"/>
                <w:color w:val="auto"/>
              </w:rPr>
              <w:t>Certification Pursuant to 18 U.S.C. Section 1350, as Adopted Pursuant to Section 906 of the Sarbanes-Oxley Act of 2002</w:t>
            </w:r>
          </w:p>
        </w:tc>
        <w:tc>
          <w:tcPr>
            <w:tcW w:w="0" w:type="dxa"/>
            <w:vAlign w:val="bottom"/>
          </w:tcPr>
          <w:p>
            <w:pPr>
              <w:spacing w:after="0"/>
              <w:rPr>
                <w:sz w:val="1"/>
                <w:szCs w:val="1"/>
                <w:color w:val="auto"/>
              </w:rPr>
            </w:pPr>
          </w:p>
        </w:tc>
      </w:tr>
    </w:tbl>
    <w:p>
      <w:pPr>
        <w:sectPr>
          <w:pgSz w:w="11900" w:h="16838" w:orient="portrait"/>
          <w:cols w:equalWidth="0" w:num="1">
            <w:col w:w="11340"/>
          </w:cols>
          <w:pgMar w:left="240" w:top="459" w:right="319" w:bottom="1440" w:gutter="0" w:footer="0" w:header="0"/>
        </w:sectPr>
      </w:pPr>
    </w:p>
    <w:bookmarkStart w:id="92" w:name="page93"/>
    <w:bookmarkEnd w:id="92"/>
    <w:p>
      <w:pPr>
        <w:ind w:left="4200"/>
        <w:spacing w:after="0"/>
        <w:rPr>
          <w:sz w:val="20"/>
          <w:szCs w:val="20"/>
          <w:color w:val="auto"/>
        </w:rPr>
      </w:pPr>
      <w:r>
        <w:rPr>
          <w:rFonts w:ascii="Arial" w:cs="Arial" w:eastAsia="Arial" w:hAnsi="Arial"/>
          <w:sz w:val="16"/>
          <w:szCs w:val="16"/>
          <w:u w:val="single" w:color="auto"/>
          <w:color w:val="auto"/>
        </w:rPr>
        <w:t>EXHIBIT 21 - LIST OF SUBSIDIARIES*</w:t>
      </w:r>
    </w:p>
    <w:p>
      <w:pPr>
        <w:spacing w:after="0" w:line="235" w:lineRule="exact"/>
        <w:rPr>
          <w:sz w:val="20"/>
          <w:szCs w:val="20"/>
          <w:color w:val="auto"/>
        </w:rPr>
      </w:pPr>
    </w:p>
    <w:p>
      <w:pPr>
        <w:ind w:left="460" w:hanging="452"/>
        <w:spacing w:after="0"/>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Bassett Furniture Industries of North Carolina, Inc. (North Carolina Corporation)</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E.B. Malone Corporation (Delaware Corporation)</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Bassett Direct Stores, Inc. (Virginia Corporation)</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Bassett Direct NC, LLC (Virginia limited liability company)</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Bassett Direct SC, LLC (Virginia limited liability company)</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Accessories Group, Inc. (Virginia Corporation)</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31"/>
        </w:numPr>
        <w:rPr>
          <w:rFonts w:ascii="Arial" w:cs="Arial" w:eastAsia="Arial" w:hAnsi="Arial"/>
          <w:sz w:val="16"/>
          <w:szCs w:val="16"/>
          <w:color w:val="auto"/>
        </w:rPr>
      </w:pPr>
      <w:r>
        <w:rPr>
          <w:rFonts w:ascii="Arial" w:cs="Arial" w:eastAsia="Arial" w:hAnsi="Arial"/>
          <w:sz w:val="16"/>
          <w:szCs w:val="16"/>
          <w:color w:val="auto"/>
        </w:rPr>
        <w:t>Bassett Industries Alternative Asset Fund, L.P. (99.8% ownership) (Delaware limited partnership)</w:t>
      </w:r>
    </w:p>
    <w:p>
      <w:pPr>
        <w:spacing w:after="0" w:line="113" w:lineRule="exact"/>
        <w:rPr>
          <w:rFonts w:ascii="Arial" w:cs="Arial" w:eastAsia="Arial" w:hAnsi="Arial"/>
          <w:sz w:val="16"/>
          <w:szCs w:val="16"/>
          <w:color w:val="auto"/>
        </w:rPr>
      </w:pPr>
    </w:p>
    <w:p>
      <w:pPr>
        <w:ind w:left="460" w:hanging="452"/>
        <w:spacing w:after="0"/>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LRG Furniture, LLC (80% ownership) (Virginia limited liability company)</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BDP, LC (91% ownership) (Texas limited liability company)</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BFD-Atlanta, LLC (Virginia limited liability company)</w:t>
      </w:r>
    </w:p>
    <w:p>
      <w:pPr>
        <w:spacing w:after="0" w:line="90" w:lineRule="exact"/>
        <w:rPr>
          <w:rFonts w:ascii="Arial" w:cs="Arial" w:eastAsia="Arial" w:hAnsi="Arial"/>
          <w:sz w:val="18"/>
          <w:szCs w:val="18"/>
          <w:color w:val="auto"/>
        </w:rPr>
      </w:pPr>
    </w:p>
    <w:p>
      <w:pPr>
        <w:ind w:left="460" w:hanging="452"/>
        <w:spacing w:after="0"/>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BDU NY, LLC (Virginia limited liability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208280</wp:posOffset>
            </wp:positionV>
            <wp:extent cx="600075"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600075" cy="8890"/>
                    </a:xfrm>
                    <a:prstGeom prst="rect">
                      <a:avLst/>
                    </a:prstGeom>
                    <a:noFill/>
                  </pic:spPr>
                </pic:pic>
              </a:graphicData>
            </a:graphic>
          </wp:anchor>
        </w:drawing>
      </w: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color w:val="auto"/>
        </w:rPr>
        <w:t>*  All subsidiaries are wholly-owned unless otherwise noted.</w:t>
      </w:r>
    </w:p>
    <w:p>
      <w:pPr>
        <w:sectPr>
          <w:pgSz w:w="11900" w:h="16838" w:orient="portrait"/>
          <w:cols w:equalWidth="0" w:num="1">
            <w:col w:w="10219"/>
          </w:cols>
          <w:pgMar w:left="240" w:top="131" w:right="1440" w:bottom="1440" w:gutter="0" w:footer="0" w:header="0"/>
        </w:sectPr>
      </w:pPr>
    </w:p>
    <w:bookmarkStart w:id="93" w:name="page94"/>
    <w:bookmarkEnd w:id="93"/>
    <w:p>
      <w:pPr>
        <w:jc w:val="right"/>
        <w:spacing w:after="0"/>
        <w:rPr>
          <w:sz w:val="20"/>
          <w:szCs w:val="20"/>
          <w:color w:val="auto"/>
        </w:rPr>
      </w:pPr>
      <w:r>
        <w:rPr>
          <w:rFonts w:ascii="Arial" w:cs="Arial" w:eastAsia="Arial" w:hAnsi="Arial"/>
          <w:sz w:val="18"/>
          <w:szCs w:val="18"/>
          <w:color w:val="auto"/>
        </w:rPr>
        <w:t>EXHIBIT 23A</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Consent of Independent Registered Public Accounting Firm</w:t>
      </w:r>
    </w:p>
    <w:p>
      <w:pPr>
        <w:spacing w:after="0" w:line="171" w:lineRule="exact"/>
        <w:rPr>
          <w:sz w:val="20"/>
          <w:szCs w:val="20"/>
          <w:color w:val="auto"/>
        </w:rPr>
      </w:pPr>
    </w:p>
    <w:p>
      <w:pPr>
        <w:ind w:right="80"/>
        <w:spacing w:after="0" w:line="298" w:lineRule="auto"/>
        <w:rPr>
          <w:sz w:val="20"/>
          <w:szCs w:val="20"/>
          <w:color w:val="auto"/>
        </w:rPr>
      </w:pPr>
      <w:r>
        <w:rPr>
          <w:rFonts w:ascii="Arial" w:cs="Arial" w:eastAsia="Arial" w:hAnsi="Arial"/>
          <w:sz w:val="16"/>
          <w:szCs w:val="16"/>
          <w:color w:val="auto"/>
        </w:rPr>
        <w:t>We consent to the incorporation by reference in this Annual Report (Form 10-K) of Bassett Furniture Industries, Incorporated of our reports dated February 7, 2007, with respect to the consolidated financial statements of Bassett Furniture Industries, Incorporated, Bassett Furniture Industries, Incorporated management’s assessment of the effectiveness of internal control over financial reporting, and the effectiveness of internal control over financial reporting of Bassett Furniture Industries, Incorporated, included in the 2006 Annual Report to Shareholders of Bassett Furniture Industries, Incorporated.</w:t>
      </w:r>
    </w:p>
    <w:p>
      <w:pPr>
        <w:spacing w:after="0" w:line="113" w:lineRule="exact"/>
        <w:rPr>
          <w:sz w:val="20"/>
          <w:szCs w:val="20"/>
          <w:color w:val="auto"/>
        </w:rPr>
      </w:pPr>
    </w:p>
    <w:p>
      <w:pPr>
        <w:jc w:val="both"/>
        <w:ind w:right="200"/>
        <w:spacing w:after="0" w:line="306" w:lineRule="auto"/>
        <w:rPr>
          <w:sz w:val="20"/>
          <w:szCs w:val="20"/>
          <w:color w:val="auto"/>
        </w:rPr>
      </w:pPr>
      <w:r>
        <w:rPr>
          <w:rFonts w:ascii="Arial" w:cs="Arial" w:eastAsia="Arial" w:hAnsi="Arial"/>
          <w:sz w:val="16"/>
          <w:szCs w:val="16"/>
          <w:color w:val="auto"/>
        </w:rPr>
        <w:t>Our audits also included the financial statement schedule of Bassett Furniture Industries, Incorporated listed in Item 15(a). This schedule is the responsibility of the Company’s management. Our responsibility is to express an opinion based on our audits. In our opinion, the financial statement schedule referred to above, when considered in relation to the basic financial statements taken as a whole, presents fairly in all material respects the information set forth therein.</w:t>
      </w:r>
    </w:p>
    <w:p>
      <w:pPr>
        <w:spacing w:after="0" w:line="107" w:lineRule="exact"/>
        <w:rPr>
          <w:sz w:val="20"/>
          <w:szCs w:val="20"/>
          <w:color w:val="auto"/>
        </w:rPr>
      </w:pPr>
    </w:p>
    <w:p>
      <w:pPr>
        <w:spacing w:after="0" w:line="294" w:lineRule="auto"/>
        <w:rPr>
          <w:sz w:val="20"/>
          <w:szCs w:val="20"/>
          <w:color w:val="auto"/>
        </w:rPr>
      </w:pPr>
      <w:r>
        <w:rPr>
          <w:rFonts w:ascii="Arial" w:cs="Arial" w:eastAsia="Arial" w:hAnsi="Arial"/>
          <w:sz w:val="16"/>
          <w:szCs w:val="16"/>
          <w:color w:val="auto"/>
        </w:rPr>
        <w:t>We also consent to the incorporation by reference in the Registration Statements (Form S-8 No. 33-52405, Form S-8 No. 33-52407, Form S-8 No. 333-60327, and Form S-8 No. 333-43188) of our report dated February 7, 2007, with respect to the consolidated financial statements incorporated herein by reference, our report dated February 7, 2007, with respect to management’s assessment of the effectiveness of internal control over financial reporting and the effectiveness of internal control over financial reporting incorporated herein by reference and our report included in the preceding paragraph with respect to the financial statement schedule included in this Annual Report (Form 10-K) of Bassett Furniture Industries, Incorporated.</w:t>
      </w:r>
    </w:p>
    <w:p>
      <w:pPr>
        <w:spacing w:after="0" w:line="116"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 Ernst &amp; Young LLP</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Greensboro, North Carolina</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February 7, 2007</w:t>
      </w:r>
    </w:p>
    <w:p>
      <w:pPr>
        <w:sectPr>
          <w:pgSz w:w="11900" w:h="16838" w:orient="portrait"/>
          <w:cols w:equalWidth="0" w:num="1">
            <w:col w:w="11420"/>
          </w:cols>
          <w:pgMar w:left="240" w:top="131" w:right="239" w:bottom="1440" w:gutter="0" w:footer="0" w:header="0"/>
        </w:sectPr>
      </w:pPr>
    </w:p>
    <w:bookmarkStart w:id="94" w:name="page95"/>
    <w:bookmarkEnd w:id="94"/>
    <w:p>
      <w:pPr>
        <w:jc w:val="right"/>
        <w:spacing w:after="0"/>
        <w:rPr>
          <w:sz w:val="20"/>
          <w:szCs w:val="20"/>
          <w:color w:val="auto"/>
        </w:rPr>
      </w:pPr>
      <w:r>
        <w:rPr>
          <w:rFonts w:ascii="Arial" w:cs="Arial" w:eastAsia="Arial" w:hAnsi="Arial"/>
          <w:sz w:val="18"/>
          <w:szCs w:val="18"/>
          <w:color w:val="auto"/>
        </w:rPr>
        <w:t>EXHIBIT 23B</w:t>
      </w:r>
    </w:p>
    <w:p>
      <w:pPr>
        <w:spacing w:after="0" w:line="84" w:lineRule="exact"/>
        <w:rPr>
          <w:sz w:val="20"/>
          <w:szCs w:val="20"/>
          <w:color w:val="auto"/>
        </w:rPr>
      </w:pPr>
    </w:p>
    <w:p>
      <w:pPr>
        <w:ind w:right="5280"/>
        <w:spacing w:after="0" w:line="351" w:lineRule="auto"/>
        <w:rPr>
          <w:sz w:val="20"/>
          <w:szCs w:val="20"/>
          <w:color w:val="auto"/>
        </w:rPr>
      </w:pPr>
      <w:r>
        <w:rPr>
          <w:rFonts w:ascii="Arial" w:cs="Arial" w:eastAsia="Arial" w:hAnsi="Arial"/>
          <w:sz w:val="18"/>
          <w:szCs w:val="18"/>
          <w:b w:val="1"/>
          <w:bCs w:val="1"/>
          <w:color w:val="auto"/>
        </w:rPr>
        <w:t xml:space="preserve">CONSENT OF INDEPENDENT REGISTERED PUBLIC ACCOUNTING FIRM </w:t>
      </w:r>
      <w:r>
        <w:rPr>
          <w:rFonts w:ascii="Arial" w:cs="Arial" w:eastAsia="Arial" w:hAnsi="Arial"/>
          <w:sz w:val="18"/>
          <w:szCs w:val="18"/>
          <w:color w:val="auto"/>
        </w:rPr>
        <w:t>Board of Directors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Bassett Furniture Industries, Incorporated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Bassett, Virginia</w:t>
      </w:r>
    </w:p>
    <w:p>
      <w:pPr>
        <w:spacing w:after="0" w:line="84" w:lineRule="exact"/>
        <w:rPr>
          <w:sz w:val="20"/>
          <w:szCs w:val="20"/>
          <w:color w:val="auto"/>
        </w:rPr>
      </w:pPr>
    </w:p>
    <w:p>
      <w:pPr>
        <w:ind w:right="80"/>
        <w:spacing w:after="0" w:line="298" w:lineRule="auto"/>
        <w:rPr>
          <w:sz w:val="20"/>
          <w:szCs w:val="20"/>
          <w:color w:val="auto"/>
        </w:rPr>
      </w:pPr>
      <w:r>
        <w:rPr>
          <w:rFonts w:ascii="Arial" w:cs="Arial" w:eastAsia="Arial" w:hAnsi="Arial"/>
          <w:sz w:val="16"/>
          <w:szCs w:val="16"/>
          <w:color w:val="auto"/>
        </w:rPr>
        <w:t>We consent to incorporation by reference in the Registration Statements (Nos. 33-52405, 33-52407, 333-60327 and 333-43188) on Form S-8 of Bassett Furniture Industries, Incorporated and subsidiaries of our report dated December 20, 2006, relating to the balance sheets of International Home Furnishings Center, Inc. as of October 31, 2006 and 2005, and the related statements of income, stockholders’ equity (deficit) and cash flows for each of the three years in the period ended October 31, 2006, which report is included in the annual report on Form 10-K of Bassett Furniture Industries, Incorporated and subsidiaries.</w:t>
      </w:r>
    </w:p>
    <w:p>
      <w:pPr>
        <w:spacing w:after="0" w:line="113" w:lineRule="exact"/>
        <w:rPr>
          <w:sz w:val="20"/>
          <w:szCs w:val="20"/>
          <w:color w:val="auto"/>
        </w:rPr>
      </w:pPr>
    </w:p>
    <w:p>
      <w:pPr>
        <w:ind w:left="4320"/>
        <w:spacing w:after="0"/>
        <w:rPr>
          <w:sz w:val="20"/>
          <w:szCs w:val="20"/>
          <w:color w:val="auto"/>
        </w:rPr>
      </w:pPr>
      <w:r>
        <w:rPr>
          <w:rFonts w:ascii="Arial" w:cs="Arial" w:eastAsia="Arial" w:hAnsi="Arial"/>
          <w:sz w:val="18"/>
          <w:szCs w:val="18"/>
          <w:color w:val="auto"/>
        </w:rPr>
        <w:t>/s/ Dixon Hughes PLLC</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High Point, North Carolina</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February 7, 2007</w:t>
      </w:r>
    </w:p>
    <w:p>
      <w:pPr>
        <w:sectPr>
          <w:pgSz w:w="11900" w:h="16838" w:orient="portrait"/>
          <w:cols w:equalWidth="0" w:num="1">
            <w:col w:w="11420"/>
          </w:cols>
          <w:pgMar w:left="240" w:top="131" w:right="239" w:bottom="1440" w:gutter="0" w:footer="0" w:header="0"/>
        </w:sectPr>
      </w:pPr>
    </w:p>
    <w:bookmarkStart w:id="95" w:name="page96"/>
    <w:bookmarkEnd w:id="95"/>
    <w:p>
      <w:pPr>
        <w:jc w:val="right"/>
        <w:spacing w:after="0"/>
        <w:rPr>
          <w:sz w:val="20"/>
          <w:szCs w:val="20"/>
          <w:color w:val="auto"/>
        </w:rPr>
      </w:pPr>
      <w:r>
        <w:rPr>
          <w:rFonts w:ascii="Arial" w:cs="Arial" w:eastAsia="Arial" w:hAnsi="Arial"/>
          <w:sz w:val="18"/>
          <w:szCs w:val="18"/>
          <w:color w:val="auto"/>
        </w:rPr>
        <w:t>Exhibit 31A</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CERTIFICATIONS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I, Robert H. Spilman, Jr., certify that:</w:t>
      </w:r>
    </w:p>
    <w:p>
      <w:pPr>
        <w:spacing w:after="0" w:line="90" w:lineRule="exact"/>
        <w:rPr>
          <w:sz w:val="20"/>
          <w:szCs w:val="20"/>
          <w:color w:val="auto"/>
        </w:rPr>
      </w:pPr>
    </w:p>
    <w:p>
      <w:pPr>
        <w:ind w:left="460" w:hanging="452"/>
        <w:spacing w:after="0"/>
        <w:tabs>
          <w:tab w:leader="none" w:pos="4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Bassett Furniture Industries, Incorporated;</w:t>
      </w:r>
    </w:p>
    <w:p>
      <w:pPr>
        <w:spacing w:after="0" w:line="90" w:lineRule="exact"/>
        <w:rPr>
          <w:rFonts w:ascii="Arial" w:cs="Arial" w:eastAsia="Arial" w:hAnsi="Arial"/>
          <w:sz w:val="18"/>
          <w:szCs w:val="18"/>
          <w:color w:val="auto"/>
        </w:rPr>
      </w:pPr>
    </w:p>
    <w:p>
      <w:pPr>
        <w:ind w:left="460" w:right="260" w:hanging="452"/>
        <w:spacing w:after="0" w:line="357" w:lineRule="auto"/>
        <w:tabs>
          <w:tab w:leader="none" w:pos="460" w:val="left"/>
        </w:tabs>
        <w:numPr>
          <w:ilvl w:val="0"/>
          <w:numId w:val="32"/>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ind w:left="460" w:right="60" w:hanging="452"/>
        <w:spacing w:after="0" w:line="268" w:lineRule="auto"/>
        <w:tabs>
          <w:tab w:leader="none" w:pos="4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50" w:lineRule="exact"/>
        <w:rPr>
          <w:rFonts w:ascii="Arial" w:cs="Arial" w:eastAsia="Arial" w:hAnsi="Arial"/>
          <w:sz w:val="18"/>
          <w:szCs w:val="18"/>
          <w:color w:val="auto"/>
        </w:rPr>
      </w:pPr>
    </w:p>
    <w:p>
      <w:pPr>
        <w:ind w:left="460" w:right="20" w:hanging="452"/>
        <w:spacing w:after="0" w:line="259" w:lineRule="auto"/>
        <w:tabs>
          <w:tab w:leader="none" w:pos="4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59" w:lineRule="exact"/>
        <w:rPr>
          <w:rFonts w:ascii="Arial" w:cs="Arial" w:eastAsia="Arial" w:hAnsi="Arial"/>
          <w:sz w:val="18"/>
          <w:szCs w:val="18"/>
          <w:color w:val="auto"/>
        </w:rPr>
      </w:pPr>
    </w:p>
    <w:p>
      <w:pPr>
        <w:ind w:left="900" w:right="60" w:hanging="446"/>
        <w:spacing w:after="0" w:line="259" w:lineRule="auto"/>
        <w:tabs>
          <w:tab w:leader="none" w:pos="900" w:val="left"/>
        </w:tabs>
        <w:numPr>
          <w:ilvl w:val="1"/>
          <w:numId w:val="3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59" w:lineRule="exact"/>
        <w:rPr>
          <w:rFonts w:ascii="Arial" w:cs="Arial" w:eastAsia="Arial" w:hAnsi="Arial"/>
          <w:sz w:val="18"/>
          <w:szCs w:val="18"/>
          <w:color w:val="auto"/>
        </w:rPr>
      </w:pPr>
    </w:p>
    <w:p>
      <w:pPr>
        <w:ind w:left="900" w:right="40" w:hanging="446"/>
        <w:spacing w:after="0" w:line="259" w:lineRule="auto"/>
        <w:tabs>
          <w:tab w:leader="none" w:pos="900" w:val="left"/>
        </w:tabs>
        <w:numPr>
          <w:ilvl w:val="1"/>
          <w:numId w:val="3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59" w:lineRule="exact"/>
        <w:rPr>
          <w:rFonts w:ascii="Arial" w:cs="Arial" w:eastAsia="Arial" w:hAnsi="Arial"/>
          <w:sz w:val="18"/>
          <w:szCs w:val="18"/>
          <w:color w:val="auto"/>
        </w:rPr>
      </w:pPr>
    </w:p>
    <w:p>
      <w:pPr>
        <w:ind w:left="900" w:right="100" w:hanging="446"/>
        <w:spacing w:after="0" w:line="332" w:lineRule="auto"/>
        <w:tabs>
          <w:tab w:leader="none" w:pos="900" w:val="left"/>
        </w:tabs>
        <w:numPr>
          <w:ilvl w:val="1"/>
          <w:numId w:val="32"/>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4" w:lineRule="exact"/>
        <w:rPr>
          <w:rFonts w:ascii="Arial" w:cs="Arial" w:eastAsia="Arial" w:hAnsi="Arial"/>
          <w:sz w:val="16"/>
          <w:szCs w:val="16"/>
          <w:color w:val="auto"/>
        </w:rPr>
      </w:pPr>
    </w:p>
    <w:p>
      <w:pPr>
        <w:ind w:left="900" w:right="140" w:hanging="446"/>
        <w:spacing w:after="0" w:line="259" w:lineRule="auto"/>
        <w:tabs>
          <w:tab w:leader="none" w:pos="900" w:val="left"/>
        </w:tabs>
        <w:numPr>
          <w:ilvl w:val="1"/>
          <w:numId w:val="3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quarter in the case of an annual report) that has materially affected, or is reasonably likely to materially affect, the registrant’s internal control over financial reporting; and</w:t>
      </w:r>
    </w:p>
    <w:p>
      <w:pPr>
        <w:spacing w:after="0" w:line="59" w:lineRule="exact"/>
        <w:rPr>
          <w:rFonts w:ascii="Arial" w:cs="Arial" w:eastAsia="Arial" w:hAnsi="Arial"/>
          <w:sz w:val="18"/>
          <w:szCs w:val="18"/>
          <w:color w:val="auto"/>
        </w:rPr>
      </w:pPr>
    </w:p>
    <w:p>
      <w:pPr>
        <w:ind w:left="460" w:right="460" w:hanging="452"/>
        <w:spacing w:after="0" w:line="332" w:lineRule="auto"/>
        <w:tabs>
          <w:tab w:leader="none" w:pos="460" w:val="left"/>
        </w:tabs>
        <w:numPr>
          <w:ilvl w:val="0"/>
          <w:numId w:val="32"/>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4" w:lineRule="exact"/>
        <w:rPr>
          <w:rFonts w:ascii="Arial" w:cs="Arial" w:eastAsia="Arial" w:hAnsi="Arial"/>
          <w:sz w:val="16"/>
          <w:szCs w:val="16"/>
          <w:color w:val="auto"/>
        </w:rPr>
      </w:pPr>
    </w:p>
    <w:p>
      <w:pPr>
        <w:ind w:left="900" w:right="20" w:hanging="446"/>
        <w:spacing w:after="0" w:line="268" w:lineRule="auto"/>
        <w:tabs>
          <w:tab w:leader="none" w:pos="900" w:val="left"/>
        </w:tabs>
        <w:numPr>
          <w:ilvl w:val="1"/>
          <w:numId w:val="32"/>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50" w:lineRule="exact"/>
        <w:rPr>
          <w:rFonts w:ascii="Arial" w:cs="Arial" w:eastAsia="Arial" w:hAnsi="Arial"/>
          <w:sz w:val="18"/>
          <w:szCs w:val="18"/>
          <w:color w:val="auto"/>
        </w:rPr>
      </w:pPr>
    </w:p>
    <w:p>
      <w:pPr>
        <w:ind w:left="900" w:right="60" w:hanging="446"/>
        <w:spacing w:after="0" w:line="268" w:lineRule="auto"/>
        <w:tabs>
          <w:tab w:leader="none" w:pos="900" w:val="left"/>
        </w:tabs>
        <w:numPr>
          <w:ilvl w:val="1"/>
          <w:numId w:val="3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color w:val="auto"/>
        </w:rPr>
        <w:t>February 8, 2007</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color w:val="auto"/>
        </w:rPr>
        <w:t>/s/ Robert H. Spilman,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2898775"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Robert H. Spilman, Jr.</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President and Chief Executive Officer</w:t>
      </w:r>
    </w:p>
    <w:p>
      <w:pPr>
        <w:sectPr>
          <w:pgSz w:w="11900" w:h="16838" w:orient="portrait"/>
          <w:cols w:equalWidth="0" w:num="1">
            <w:col w:w="11420"/>
          </w:cols>
          <w:pgMar w:left="240" w:top="131" w:right="239" w:bottom="1440" w:gutter="0" w:footer="0" w:header="0"/>
        </w:sectPr>
      </w:pPr>
    </w:p>
    <w:bookmarkStart w:id="96" w:name="page97"/>
    <w:bookmarkEnd w:id="96"/>
    <w:p>
      <w:pPr>
        <w:jc w:val="right"/>
        <w:spacing w:after="0"/>
        <w:rPr>
          <w:sz w:val="20"/>
          <w:szCs w:val="20"/>
          <w:color w:val="auto"/>
        </w:rPr>
      </w:pPr>
      <w:r>
        <w:rPr>
          <w:rFonts w:ascii="Arial" w:cs="Arial" w:eastAsia="Arial" w:hAnsi="Arial"/>
          <w:sz w:val="18"/>
          <w:szCs w:val="18"/>
          <w:color w:val="auto"/>
        </w:rPr>
        <w:t>Exhibit 31B</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CERTIFICATIONS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I, Barry C. Safrit, certify that:</w:t>
      </w:r>
    </w:p>
    <w:p>
      <w:pPr>
        <w:spacing w:after="0" w:line="90" w:lineRule="exact"/>
        <w:rPr>
          <w:sz w:val="20"/>
          <w:szCs w:val="20"/>
          <w:color w:val="auto"/>
        </w:rPr>
      </w:pPr>
    </w:p>
    <w:p>
      <w:pPr>
        <w:ind w:left="460" w:hanging="452"/>
        <w:spacing w:after="0"/>
        <w:tabs>
          <w:tab w:leader="none" w:pos="4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Bassett Furniture Industries, Incorporated;</w:t>
      </w:r>
    </w:p>
    <w:p>
      <w:pPr>
        <w:spacing w:after="0" w:line="90" w:lineRule="exact"/>
        <w:rPr>
          <w:rFonts w:ascii="Arial" w:cs="Arial" w:eastAsia="Arial" w:hAnsi="Arial"/>
          <w:sz w:val="18"/>
          <w:szCs w:val="18"/>
          <w:color w:val="auto"/>
        </w:rPr>
      </w:pPr>
    </w:p>
    <w:p>
      <w:pPr>
        <w:ind w:left="460" w:right="260" w:hanging="452"/>
        <w:spacing w:after="0" w:line="357" w:lineRule="auto"/>
        <w:tabs>
          <w:tab w:leader="none" w:pos="460" w:val="left"/>
        </w:tabs>
        <w:numPr>
          <w:ilvl w:val="0"/>
          <w:numId w:val="33"/>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ind w:left="460" w:right="60" w:hanging="452"/>
        <w:spacing w:after="0" w:line="268" w:lineRule="auto"/>
        <w:tabs>
          <w:tab w:leader="none" w:pos="4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50" w:lineRule="exact"/>
        <w:rPr>
          <w:rFonts w:ascii="Arial" w:cs="Arial" w:eastAsia="Arial" w:hAnsi="Arial"/>
          <w:sz w:val="18"/>
          <w:szCs w:val="18"/>
          <w:color w:val="auto"/>
        </w:rPr>
      </w:pPr>
    </w:p>
    <w:p>
      <w:pPr>
        <w:ind w:left="460" w:right="20" w:hanging="452"/>
        <w:spacing w:after="0" w:line="259" w:lineRule="auto"/>
        <w:tabs>
          <w:tab w:leader="none" w:pos="4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59" w:lineRule="exact"/>
        <w:rPr>
          <w:rFonts w:ascii="Arial" w:cs="Arial" w:eastAsia="Arial" w:hAnsi="Arial"/>
          <w:sz w:val="18"/>
          <w:szCs w:val="18"/>
          <w:color w:val="auto"/>
        </w:rPr>
      </w:pPr>
    </w:p>
    <w:p>
      <w:pPr>
        <w:ind w:left="900" w:right="60" w:hanging="446"/>
        <w:spacing w:after="0" w:line="259" w:lineRule="auto"/>
        <w:tabs>
          <w:tab w:leader="none" w:pos="900" w:val="left"/>
        </w:tabs>
        <w:numPr>
          <w:ilvl w:val="1"/>
          <w:numId w:val="33"/>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59" w:lineRule="exact"/>
        <w:rPr>
          <w:rFonts w:ascii="Arial" w:cs="Arial" w:eastAsia="Arial" w:hAnsi="Arial"/>
          <w:sz w:val="18"/>
          <w:szCs w:val="18"/>
          <w:color w:val="auto"/>
        </w:rPr>
      </w:pPr>
    </w:p>
    <w:p>
      <w:pPr>
        <w:ind w:left="900" w:right="40" w:hanging="446"/>
        <w:spacing w:after="0" w:line="259" w:lineRule="auto"/>
        <w:tabs>
          <w:tab w:leader="none" w:pos="900" w:val="left"/>
        </w:tabs>
        <w:numPr>
          <w:ilvl w:val="1"/>
          <w:numId w:val="33"/>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59" w:lineRule="exact"/>
        <w:rPr>
          <w:rFonts w:ascii="Arial" w:cs="Arial" w:eastAsia="Arial" w:hAnsi="Arial"/>
          <w:sz w:val="18"/>
          <w:szCs w:val="18"/>
          <w:color w:val="auto"/>
        </w:rPr>
      </w:pPr>
    </w:p>
    <w:p>
      <w:pPr>
        <w:ind w:left="900" w:right="100" w:hanging="446"/>
        <w:spacing w:after="0" w:line="332" w:lineRule="auto"/>
        <w:tabs>
          <w:tab w:leader="none" w:pos="900" w:val="left"/>
        </w:tabs>
        <w:numPr>
          <w:ilvl w:val="1"/>
          <w:numId w:val="33"/>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4" w:lineRule="exact"/>
        <w:rPr>
          <w:rFonts w:ascii="Arial" w:cs="Arial" w:eastAsia="Arial" w:hAnsi="Arial"/>
          <w:sz w:val="16"/>
          <w:szCs w:val="16"/>
          <w:color w:val="auto"/>
        </w:rPr>
      </w:pPr>
    </w:p>
    <w:p>
      <w:pPr>
        <w:ind w:left="900" w:right="140" w:hanging="446"/>
        <w:spacing w:after="0" w:line="259" w:lineRule="auto"/>
        <w:tabs>
          <w:tab w:leader="none" w:pos="900" w:val="left"/>
        </w:tabs>
        <w:numPr>
          <w:ilvl w:val="1"/>
          <w:numId w:val="33"/>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quarter in the case of an annual report) that has materially affected, or is reasonably likely to materially affect, the registrant’s internal control over financial reporting; and</w:t>
      </w:r>
    </w:p>
    <w:p>
      <w:pPr>
        <w:spacing w:after="0" w:line="59" w:lineRule="exact"/>
        <w:rPr>
          <w:rFonts w:ascii="Arial" w:cs="Arial" w:eastAsia="Arial" w:hAnsi="Arial"/>
          <w:sz w:val="18"/>
          <w:szCs w:val="18"/>
          <w:color w:val="auto"/>
        </w:rPr>
      </w:pPr>
    </w:p>
    <w:p>
      <w:pPr>
        <w:ind w:left="460" w:right="460" w:hanging="452"/>
        <w:spacing w:after="0" w:line="332" w:lineRule="auto"/>
        <w:tabs>
          <w:tab w:leader="none" w:pos="460" w:val="left"/>
        </w:tabs>
        <w:numPr>
          <w:ilvl w:val="0"/>
          <w:numId w:val="33"/>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4" w:lineRule="exact"/>
        <w:rPr>
          <w:rFonts w:ascii="Arial" w:cs="Arial" w:eastAsia="Arial" w:hAnsi="Arial"/>
          <w:sz w:val="16"/>
          <w:szCs w:val="16"/>
          <w:color w:val="auto"/>
        </w:rPr>
      </w:pPr>
    </w:p>
    <w:p>
      <w:pPr>
        <w:ind w:left="900" w:right="20" w:hanging="446"/>
        <w:spacing w:after="0" w:line="268" w:lineRule="auto"/>
        <w:tabs>
          <w:tab w:leader="none" w:pos="900" w:val="left"/>
        </w:tabs>
        <w:numPr>
          <w:ilvl w:val="1"/>
          <w:numId w:val="33"/>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50" w:lineRule="exact"/>
        <w:rPr>
          <w:rFonts w:ascii="Arial" w:cs="Arial" w:eastAsia="Arial" w:hAnsi="Arial"/>
          <w:sz w:val="18"/>
          <w:szCs w:val="18"/>
          <w:color w:val="auto"/>
        </w:rPr>
      </w:pPr>
    </w:p>
    <w:p>
      <w:pPr>
        <w:ind w:left="900" w:right="60" w:hanging="446"/>
        <w:spacing w:after="0" w:line="268" w:lineRule="auto"/>
        <w:tabs>
          <w:tab w:leader="none" w:pos="900" w:val="left"/>
        </w:tabs>
        <w:numPr>
          <w:ilvl w:val="1"/>
          <w:numId w:val="3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color w:val="auto"/>
        </w:rPr>
        <w:t>February 12, 2007</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color w:val="auto"/>
        </w:rPr>
        <w:t>/s/ Barry C. Safrit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2898775"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Barry C. Safrit</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Senior Vice President and Chief Financial Officer</w:t>
      </w:r>
    </w:p>
    <w:p>
      <w:pPr>
        <w:sectPr>
          <w:pgSz w:w="11900" w:h="16838" w:orient="portrait"/>
          <w:cols w:equalWidth="0" w:num="1">
            <w:col w:w="11420"/>
          </w:cols>
          <w:pgMar w:left="240" w:top="131" w:right="239" w:bottom="1440" w:gutter="0" w:footer="0" w:header="0"/>
        </w:sectPr>
      </w:pPr>
    </w:p>
    <w:bookmarkStart w:id="97" w:name="page98"/>
    <w:bookmarkEnd w:id="97"/>
    <w:p>
      <w:pPr>
        <w:ind w:left="10560"/>
        <w:spacing w:after="0"/>
        <w:rPr>
          <w:sz w:val="20"/>
          <w:szCs w:val="20"/>
          <w:color w:val="auto"/>
        </w:rPr>
      </w:pPr>
      <w:r>
        <w:rPr>
          <w:rFonts w:ascii="Arial" w:cs="Arial" w:eastAsia="Arial" w:hAnsi="Arial"/>
          <w:sz w:val="16"/>
          <w:szCs w:val="16"/>
          <w:color w:val="auto"/>
        </w:rPr>
        <w:t>Exhibit 32A</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CERTIFICATION PURSUANT TO 18 U.S.C. SECTION 1350,</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OF THE SARBANES-OXLEY ACT OF 2002</w:t>
      </w:r>
    </w:p>
    <w:p>
      <w:pPr>
        <w:spacing w:after="0" w:line="165" w:lineRule="exact"/>
        <w:rPr>
          <w:sz w:val="20"/>
          <w:szCs w:val="20"/>
          <w:color w:val="auto"/>
        </w:rPr>
      </w:pPr>
    </w:p>
    <w:p>
      <w:pPr>
        <w:jc w:val="both"/>
        <w:ind w:right="100"/>
        <w:spacing w:after="0" w:line="306" w:lineRule="auto"/>
        <w:rPr>
          <w:sz w:val="20"/>
          <w:szCs w:val="20"/>
          <w:color w:val="auto"/>
        </w:rPr>
      </w:pPr>
      <w:r>
        <w:rPr>
          <w:rFonts w:ascii="Arial" w:cs="Arial" w:eastAsia="Arial" w:hAnsi="Arial"/>
          <w:sz w:val="16"/>
          <w:szCs w:val="16"/>
          <w:color w:val="auto"/>
        </w:rPr>
        <w:t>In connection with the Annual Report of Bassett Furniture Industries, Incorporated (the “Company”) on Form 10-K for the period ending November 25, 2006, as filed with the Securities and Exchange Commission on the date hereof (the “Report”), I Robert H. Spilman, Jr., Chief Executive Officer of the Company, certify, pursuant to 18 U.S.C. ss.1350, as adopted pursuant to ss.906 of the Sarbanes-Oxley Act of 2002, that:</w:t>
      </w:r>
    </w:p>
    <w:p>
      <w:pPr>
        <w:spacing w:after="0" w:line="26" w:lineRule="exact"/>
        <w:rPr>
          <w:sz w:val="20"/>
          <w:szCs w:val="20"/>
          <w:color w:val="auto"/>
        </w:rPr>
      </w:pPr>
    </w:p>
    <w:p>
      <w:pPr>
        <w:ind w:left="900" w:hanging="446"/>
        <w:spacing w:after="0"/>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Sections 13(a) or 15(d) of the Securities Exchange Act of 1934; and</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34"/>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color w:val="auto"/>
        </w:rPr>
        <w:t>/s/ Robert H. Spilman,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2898775"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Robert H. Spilman, Jr.</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President and Chief Executive Officer</w:t>
      </w:r>
    </w:p>
    <w:p>
      <w:pPr>
        <w:spacing w:after="0" w:line="165" w:lineRule="exact"/>
        <w:rPr>
          <w:sz w:val="20"/>
          <w:szCs w:val="20"/>
          <w:color w:val="auto"/>
        </w:rPr>
      </w:pPr>
    </w:p>
    <w:p>
      <w:pPr>
        <w:spacing w:after="0" w:line="268" w:lineRule="auto"/>
        <w:rPr>
          <w:sz w:val="20"/>
          <w:szCs w:val="20"/>
          <w:color w:val="auto"/>
        </w:rPr>
      </w:pPr>
      <w:r>
        <w:rPr>
          <w:rFonts w:ascii="Arial" w:cs="Arial" w:eastAsia="Arial" w:hAnsi="Arial"/>
          <w:sz w:val="18"/>
          <w:szCs w:val="18"/>
          <w:i w:val="1"/>
          <w:iCs w:val="1"/>
          <w:color w:val="auto"/>
        </w:rPr>
        <w:t>A signed original of this written statement required by Section 906 has been provided to Bassett Furniture Industries, Incorporated and will be retained by Bassett Furniture Industries, Incorporated and furnished to the Securities and Exchange Commission or its staff upon request.</w:t>
      </w:r>
    </w:p>
    <w:p>
      <w:pPr>
        <w:sectPr>
          <w:pgSz w:w="11900" w:h="16838" w:orient="portrait"/>
          <w:cols w:equalWidth="0" w:num="1">
            <w:col w:w="11420"/>
          </w:cols>
          <w:pgMar w:left="240" w:top="131" w:right="239" w:bottom="1440" w:gutter="0" w:footer="0" w:header="0"/>
        </w:sectPr>
      </w:pPr>
    </w:p>
    <w:bookmarkStart w:id="98" w:name="page99"/>
    <w:bookmarkEnd w:id="98"/>
    <w:p>
      <w:pPr>
        <w:ind w:left="10560"/>
        <w:spacing w:after="0"/>
        <w:rPr>
          <w:sz w:val="20"/>
          <w:szCs w:val="20"/>
          <w:color w:val="auto"/>
        </w:rPr>
      </w:pPr>
      <w:r>
        <w:rPr>
          <w:rFonts w:ascii="Arial" w:cs="Arial" w:eastAsia="Arial" w:hAnsi="Arial"/>
          <w:sz w:val="16"/>
          <w:szCs w:val="16"/>
          <w:color w:val="auto"/>
        </w:rPr>
        <w:t>Exhibit 32B</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CERTIFICATION PURSUANT TO 18 U.S.C. SECTION 1350,</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OF THE SARBANES-OXLEY ACT OF 2002</w:t>
      </w:r>
    </w:p>
    <w:p>
      <w:pPr>
        <w:spacing w:after="0" w:line="165" w:lineRule="exact"/>
        <w:rPr>
          <w:sz w:val="20"/>
          <w:szCs w:val="20"/>
          <w:color w:val="auto"/>
        </w:rPr>
      </w:pPr>
    </w:p>
    <w:p>
      <w:pPr>
        <w:jc w:val="both"/>
        <w:ind w:right="100"/>
        <w:spacing w:after="0" w:line="306" w:lineRule="auto"/>
        <w:rPr>
          <w:sz w:val="20"/>
          <w:szCs w:val="20"/>
          <w:color w:val="auto"/>
        </w:rPr>
      </w:pPr>
      <w:r>
        <w:rPr>
          <w:rFonts w:ascii="Arial" w:cs="Arial" w:eastAsia="Arial" w:hAnsi="Arial"/>
          <w:sz w:val="16"/>
          <w:szCs w:val="16"/>
          <w:color w:val="auto"/>
        </w:rPr>
        <w:t>In connection with the Annual Report of Bassett Furniture Industries, Incorporated (the “Company”) on Form 10-K for the period ending November 25, 2006, as filed with the Securities and Exchange Commission on the date hereof (the “Report”), I Barry C. Safrit, Senior Vice President and Chief Financial Officer of the Company, certify, pursuant to 18 U.S.C. ss.1350, as adopted pursuant to ss.906 of the Sarbanes-Oxley Act of 2002, that:</w:t>
      </w:r>
    </w:p>
    <w:p>
      <w:pPr>
        <w:spacing w:after="0" w:line="26" w:lineRule="exact"/>
        <w:rPr>
          <w:sz w:val="20"/>
          <w:szCs w:val="20"/>
          <w:color w:val="auto"/>
        </w:rPr>
      </w:pPr>
    </w:p>
    <w:p>
      <w:pPr>
        <w:ind w:left="900" w:hanging="446"/>
        <w:spacing w:after="0"/>
        <w:tabs>
          <w:tab w:leader="none" w:pos="9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Sections 13(a) or 15(d) of the Securities Exchange Act of 1934; and</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35"/>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color w:val="auto"/>
        </w:rPr>
        <w:t>/s/ Barry C. Safrit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2898775" cy="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Barry C. Safrit</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Senior Vice President and Chief Financial Officer</w:t>
      </w:r>
    </w:p>
    <w:p>
      <w:pPr>
        <w:spacing w:after="0" w:line="165" w:lineRule="exact"/>
        <w:rPr>
          <w:sz w:val="20"/>
          <w:szCs w:val="20"/>
          <w:color w:val="auto"/>
        </w:rPr>
      </w:pPr>
    </w:p>
    <w:p>
      <w:pPr>
        <w:spacing w:after="0" w:line="268" w:lineRule="auto"/>
        <w:rPr>
          <w:sz w:val="20"/>
          <w:szCs w:val="20"/>
          <w:color w:val="auto"/>
        </w:rPr>
      </w:pPr>
      <w:r>
        <w:rPr>
          <w:rFonts w:ascii="Arial" w:cs="Arial" w:eastAsia="Arial" w:hAnsi="Arial"/>
          <w:sz w:val="18"/>
          <w:szCs w:val="18"/>
          <w:i w:val="1"/>
          <w:iCs w:val="1"/>
          <w:color w:val="auto"/>
        </w:rPr>
        <w:t>A signed original of this written statement required by Section 906 has been provided to Bassett Furniture Industries, Incorporated and will be retained by Bassett Furniture Industries, Incorporated and furnished to the Securities and Exchange Commission or its staff upon request.</w:t>
      </w:r>
    </w:p>
    <w:sectPr>
      <w:pgSz w:w="11900" w:h="16838" w:orient="portrait"/>
      <w:cols w:equalWidth="0" w:num="1">
        <w:col w:w="11420"/>
      </w:cols>
      <w:pgMar w:left="240" w:top="13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31BD7B7"/>
    <w:multiLevelType w:val="hybridMultilevel"/>
    <w:lvl w:ilvl="0">
      <w:lvlJc w:val="left"/>
      <w:lvlText w:val="☒"/>
      <w:numFmt w:val="bullet"/>
      <w:start w:val="1"/>
    </w:lvl>
  </w:abstractNum>
  <w:abstractNum w:abstractNumId="1">
    <w:nsid w:val="3F2DBA31"/>
    <w:multiLevelType w:val="hybridMultilevel"/>
    <w:lvl w:ilvl="0">
      <w:lvlJc w:val="left"/>
      <w:lvlText w:val="☐"/>
      <w:numFmt w:val="bullet"/>
      <w:start w:val="1"/>
    </w:lvl>
  </w:abstractNum>
  <w:abstractNum w:abstractNumId="2">
    <w:nsid w:val="7C83E458"/>
    <w:multiLevelType w:val="hybridMultilevel"/>
    <w:lvl w:ilvl="0">
      <w:lvlJc w:val="left"/>
      <w:lvlText w:val="(%1)"/>
      <w:numFmt w:val="decimal"/>
      <w:start w:val="1"/>
    </w:lvl>
  </w:abstractNum>
  <w:abstractNum w:abstractNumId="3">
    <w:nsid w:val="257130A3"/>
    <w:multiLevelType w:val="hybridMultilevel"/>
    <w:lvl w:ilvl="0">
      <w:lvlJc w:val="left"/>
      <w:lvlText w:val="•"/>
      <w:numFmt w:val="bullet"/>
      <w:start w:val="1"/>
    </w:lvl>
  </w:abstractNum>
  <w:abstractNum w:abstractNumId="4">
    <w:nsid w:val="62BBD95A"/>
    <w:multiLevelType w:val="hybridMultilevel"/>
    <w:lvl w:ilvl="0">
      <w:lvlJc w:val="left"/>
      <w:lvlText w:val="(%1)"/>
      <w:numFmt w:val="decimal"/>
      <w:start w:val="1"/>
    </w:lvl>
  </w:abstractNum>
  <w:abstractNum w:abstractNumId="5">
    <w:nsid w:val="436C6125"/>
    <w:multiLevelType w:val="hybridMultilevel"/>
    <w:lvl w:ilvl="0">
      <w:lvlJc w:val="left"/>
      <w:lvlText w:val="(%1)"/>
      <w:numFmt w:val="lowerLetter"/>
      <w:start w:val="1"/>
    </w:lvl>
  </w:abstractNum>
  <w:abstractNum w:abstractNumId="6">
    <w:nsid w:val="628C895D"/>
    <w:multiLevelType w:val="hybridMultilevel"/>
    <w:lvl w:ilvl="0">
      <w:lvlJc w:val="left"/>
      <w:lvlText w:val="(%1)"/>
      <w:numFmt w:val="decimal"/>
      <w:start w:val="1"/>
    </w:lvl>
  </w:abstractNum>
  <w:abstractNum w:abstractNumId="7">
    <w:nsid w:val="333AB105"/>
    <w:multiLevelType w:val="hybridMultilevel"/>
    <w:lvl w:ilvl="0">
      <w:lvlJc w:val="left"/>
      <w:lvlText w:val="%1."/>
      <w:numFmt w:val="lowerLetter"/>
      <w:start w:val="1"/>
    </w:lvl>
  </w:abstractNum>
  <w:abstractNum w:abstractNumId="8">
    <w:nsid w:val="721DA317"/>
    <w:multiLevelType w:val="hybridMultilevel"/>
    <w:lvl w:ilvl="0">
      <w:lvlJc w:val="left"/>
      <w:lvlText w:val="%1."/>
      <w:numFmt w:val="lowerLetter"/>
      <w:start w:val="2"/>
    </w:lvl>
  </w:abstractNum>
  <w:abstractNum w:abstractNumId="9">
    <w:nsid w:val="2443A858"/>
    <w:multiLevelType w:val="hybridMultilevel"/>
    <w:lvl w:ilvl="0">
      <w:lvlJc w:val="left"/>
      <w:lvlText w:val="%1."/>
      <w:numFmt w:val="lowerLetter"/>
      <w:start w:val="3"/>
    </w:lvl>
  </w:abstractNum>
  <w:abstractNum w:abstractNumId="10">
    <w:nsid w:val="2D1D5AE9"/>
    <w:multiLevelType w:val="hybridMultilevel"/>
    <w:lvl w:ilvl="0">
      <w:lvlJc w:val="left"/>
      <w:lvlText w:val="%1."/>
      <w:numFmt w:val="lowerLetter"/>
      <w:start w:val="4"/>
    </w:lvl>
  </w:abstractNum>
  <w:abstractNum w:abstractNumId="11">
    <w:nsid w:val="6763845E"/>
    <w:multiLevelType w:val="hybridMultilevel"/>
    <w:lvl w:ilvl="0">
      <w:lvlJc w:val="left"/>
      <w:lvlText w:val="•"/>
      <w:numFmt w:val="bullet"/>
      <w:start w:val="1"/>
    </w:lvl>
  </w:abstractNum>
  <w:abstractNum w:abstractNumId="12">
    <w:nsid w:val="75A2A8D4"/>
    <w:multiLevelType w:val="hybridMultilevel"/>
    <w:lvl w:ilvl="0">
      <w:lvlJc w:val="left"/>
      <w:lvlText w:val="%1."/>
      <w:numFmt w:val="lowerLetter"/>
      <w:start w:val="5"/>
    </w:lvl>
  </w:abstractNum>
  <w:abstractNum w:abstractNumId="13">
    <w:nsid w:val="8EDBDAB"/>
    <w:multiLevelType w:val="hybridMultilevel"/>
    <w:lvl w:ilvl="0">
      <w:lvlJc w:val="left"/>
      <w:lvlText w:val="(%1)"/>
      <w:numFmt w:val="lowerLetter"/>
      <w:start w:val="1"/>
    </w:lvl>
  </w:abstractNum>
  <w:abstractNum w:abstractNumId="14">
    <w:nsid w:val="79838CB2"/>
    <w:multiLevelType w:val="hybridMultilevel"/>
    <w:lvl w:ilvl="0">
      <w:lvlJc w:val="left"/>
      <w:lvlText w:val="(%1)"/>
      <w:numFmt w:val="decimal"/>
      <w:start w:val="2"/>
    </w:lvl>
  </w:abstractNum>
  <w:abstractNum w:abstractNumId="15">
    <w:nsid w:val="4353D0CD"/>
    <w:multiLevelType w:val="hybridMultilevel"/>
    <w:lvl w:ilvl="0">
      <w:lvlJc w:val="left"/>
      <w:lvlText w:val="%1."/>
      <w:numFmt w:val="decimal"/>
      <w:start w:val="21"/>
    </w:lvl>
  </w:abstractNum>
  <w:abstractNum w:abstractNumId="16">
    <w:nsid w:val="B03E0C6"/>
    <w:multiLevelType w:val="hybridMultilevel"/>
    <w:lvl w:ilvl="0">
      <w:lvlJc w:val="left"/>
      <w:lvlText w:val="**"/>
      <w:numFmt w:val="bullet"/>
      <w:start w:val="1"/>
    </w:lvl>
  </w:abstractNum>
  <w:abstractNum w:abstractNumId="17">
    <w:nsid w:val="189A769B"/>
    <w:multiLevelType w:val="hybridMultilevel"/>
    <w:lvl w:ilvl="0">
      <w:lvlJc w:val="left"/>
      <w:lvlText w:val="(%1)"/>
      <w:numFmt w:val="decimal"/>
      <w:start w:val="1"/>
    </w:lvl>
  </w:abstractNum>
  <w:abstractNum w:abstractNumId="18">
    <w:nsid w:val="54E49EB4"/>
    <w:multiLevelType w:val="hybridMultilevel"/>
    <w:lvl w:ilvl="0">
      <w:lvlJc w:val="left"/>
      <w:lvlText w:val="•"/>
      <w:numFmt w:val="bullet"/>
      <w:start w:val="1"/>
    </w:lvl>
  </w:abstractNum>
  <w:abstractNum w:abstractNumId="19">
    <w:nsid w:val="71F32454"/>
    <w:multiLevelType w:val="hybridMultilevel"/>
    <w:lvl w:ilvl="0">
      <w:lvlJc w:val="left"/>
      <w:lvlText w:val="(%1)"/>
      <w:numFmt w:val="lowerLetter"/>
      <w:start w:val="1"/>
    </w:lvl>
  </w:abstractNum>
  <w:abstractNum w:abstractNumId="20">
    <w:nsid w:val="2CA88611"/>
    <w:multiLevelType w:val="hybridMultilevel"/>
    <w:lvl w:ilvl="0">
      <w:lvlJc w:val="left"/>
      <w:lvlText w:val="(%1)"/>
      <w:numFmt w:val="lowerLetter"/>
      <w:start w:val="1"/>
    </w:lvl>
  </w:abstractNum>
  <w:abstractNum w:abstractNumId="21">
    <w:nsid w:val="836C40E"/>
    <w:multiLevelType w:val="hybridMultilevel"/>
    <w:lvl w:ilvl="0">
      <w:lvlJc w:val="left"/>
      <w:lvlText w:val="(%1)"/>
      <w:numFmt w:val="lowerLetter"/>
      <w:start w:val="1"/>
    </w:lvl>
  </w:abstractNum>
  <w:abstractNum w:abstractNumId="22">
    <w:nsid w:val="2901D82"/>
    <w:multiLevelType w:val="hybridMultilevel"/>
    <w:lvl w:ilvl="0">
      <w:lvlJc w:val="left"/>
      <w:lvlText w:val="(%1)"/>
      <w:numFmt w:val="lowerLetter"/>
      <w:start w:val="1"/>
    </w:lvl>
  </w:abstractNum>
  <w:abstractNum w:abstractNumId="23">
    <w:nsid w:val="3A95F874"/>
    <w:multiLevelType w:val="hybridMultilevel"/>
    <w:lvl w:ilvl="0">
      <w:lvlJc w:val="left"/>
      <w:lvlText w:val="%1."/>
      <w:numFmt w:val="decimal"/>
      <w:start w:val="3"/>
    </w:lvl>
  </w:abstractNum>
  <w:abstractNum w:abstractNumId="24">
    <w:nsid w:val="8138641"/>
    <w:multiLevelType w:val="hybridMultilevel"/>
    <w:lvl w:ilvl="0">
      <w:lvlJc w:val="left"/>
      <w:lvlText w:val="%1."/>
      <w:numFmt w:val="decimal"/>
      <w:start w:val="9"/>
    </w:lvl>
  </w:abstractNum>
  <w:abstractNum w:abstractNumId="25">
    <w:nsid w:val="1E7FF521"/>
    <w:multiLevelType w:val="hybridMultilevel"/>
    <w:lvl w:ilvl="0">
      <w:lvlJc w:val="left"/>
      <w:lvlText w:val="(%1)"/>
      <w:numFmt w:val="lowerLetter"/>
      <w:start w:val="1"/>
    </w:lvl>
  </w:abstractNum>
  <w:abstractNum w:abstractNumId="26">
    <w:nsid w:val="7C3DBD3D"/>
    <w:multiLevelType w:val="hybridMultilevel"/>
    <w:lvl w:ilvl="0">
      <w:lvlJc w:val="left"/>
      <w:lvlText w:val="(%1)"/>
      <w:numFmt w:val="decimal"/>
      <w:start w:val="1"/>
    </w:lvl>
  </w:abstractNum>
  <w:abstractNum w:abstractNumId="27">
    <w:nsid w:val="737B8DDC"/>
    <w:multiLevelType w:val="hybridMultilevel"/>
    <w:lvl w:ilvl="0">
      <w:lvlJc w:val="left"/>
      <w:lvlText w:val="(%1)"/>
      <w:numFmt w:val="lowerLetter"/>
      <w:start w:val="1"/>
    </w:lvl>
  </w:abstractNum>
  <w:abstractNum w:abstractNumId="28">
    <w:nsid w:val="6CEAF087"/>
    <w:multiLevelType w:val="hybridMultilevel"/>
    <w:lvl w:ilvl="0">
      <w:lvlJc w:val="left"/>
      <w:lvlText w:val="(%1)"/>
      <w:numFmt w:val="decimal"/>
      <w:start w:val="1"/>
    </w:lvl>
  </w:abstractNum>
  <w:abstractNum w:abstractNumId="29">
    <w:nsid w:val="22221A70"/>
    <w:multiLevelType w:val="hybridMultilevel"/>
    <w:lvl w:ilvl="0">
      <w:lvlJc w:val="left"/>
      <w:lvlText w:val="(%1)"/>
      <w:numFmt w:val="decimal"/>
      <w:start w:val="1"/>
    </w:lvl>
  </w:abstractNum>
  <w:abstractNum w:abstractNumId="30">
    <w:nsid w:val="4516DDE9"/>
    <w:multiLevelType w:val="hybridMultilevel"/>
    <w:lvl w:ilvl="0">
      <w:lvlJc w:val="left"/>
      <w:lvlText w:val="(%1)"/>
      <w:numFmt w:val="lowerLetter"/>
      <w:start w:val="1"/>
    </w:lvl>
  </w:abstractNum>
  <w:abstractNum w:abstractNumId="31">
    <w:nsid w:val="3006C83E"/>
    <w:multiLevelType w:val="hybridMultilevel"/>
    <w:lvl w:ilvl="0">
      <w:lvlJc w:val="left"/>
      <w:lvlText w:val="%1."/>
      <w:numFmt w:val="decimal"/>
      <w:start w:val="1"/>
    </w:lvl>
    <w:lvl w:ilvl="1">
      <w:lvlJc w:val="left"/>
      <w:lvlText w:val="%2)"/>
      <w:numFmt w:val="lowerLetter"/>
      <w:start w:val="1"/>
    </w:lvl>
  </w:abstractNum>
  <w:abstractNum w:abstractNumId="32">
    <w:nsid w:val="614FD4A1"/>
    <w:multiLevelType w:val="hybridMultilevel"/>
    <w:lvl w:ilvl="0">
      <w:lvlJc w:val="left"/>
      <w:lvlText w:val="%1."/>
      <w:numFmt w:val="decimal"/>
      <w:start w:val="1"/>
    </w:lvl>
    <w:lvl w:ilvl="1">
      <w:lvlJc w:val="left"/>
      <w:lvlText w:val="%2)"/>
      <w:numFmt w:val="lowerLetter"/>
      <w:start w:val="1"/>
    </w:lvl>
  </w:abstractNum>
  <w:abstractNum w:abstractNumId="33">
    <w:nsid w:val="419AC241"/>
    <w:multiLevelType w:val="hybridMultilevel"/>
    <w:lvl w:ilvl="0">
      <w:lvlJc w:val="left"/>
      <w:lvlText w:val="%1."/>
      <w:numFmt w:val="decimal"/>
      <w:start w:val="1"/>
    </w:lvl>
  </w:abstractNum>
  <w:abstractNum w:abstractNumId="34">
    <w:nsid w:val="5577F8E1"/>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jpe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2019-12-20T18:52:58Z</dcterms:created>
  <dcterms:modified xsi:type="dcterms:W3CDTF">2019-12-20T18:52:58Z</dcterms:modified>
</cp:coreProperties>
</file>