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217805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2723515</wp:posOffset>
            </wp:positionH>
            <wp:positionV relativeFrom="paragraph">
              <wp:posOffset>176530</wp:posOffset>
            </wp:positionV>
            <wp:extent cx="18097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300"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2723515</wp:posOffset>
            </wp:positionH>
            <wp:positionV relativeFrom="paragraph">
              <wp:posOffset>195580</wp:posOffset>
            </wp:positionV>
            <wp:extent cx="18097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35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Date of Report (Date of earliest event reported) January 18,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2723515</wp:posOffset>
            </wp:positionH>
            <wp:positionV relativeFrom="paragraph">
              <wp:posOffset>189230</wp:posOffset>
            </wp:positionV>
            <wp:extent cx="18097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320"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BASSETT FURNITURE INDUSTRIES, INCORPORATED</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2723515</wp:posOffset>
            </wp:positionH>
            <wp:positionV relativeFrom="paragraph">
              <wp:posOffset>176530</wp:posOffset>
            </wp:positionV>
            <wp:extent cx="18097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ectPr>
          <w:pgSz w:w="11900" w:h="16838" w:orient="portrait"/>
          <w:cols w:equalWidth="0" w:num="1">
            <w:col w:w="11300"/>
          </w:cols>
          <w:pgMar w:left="240" w:top="585" w:right="359" w:bottom="1440" w:gutter="0" w:footer="0" w:header="0"/>
        </w:sectPr>
      </w:pPr>
    </w:p>
    <w:p>
      <w:pPr>
        <w:spacing w:after="0" w:line="200" w:lineRule="exact"/>
        <w:rPr>
          <w:sz w:val="24"/>
          <w:szCs w:val="24"/>
          <w:color w:val="auto"/>
        </w:rPr>
      </w:pPr>
    </w:p>
    <w:p>
      <w:pPr>
        <w:spacing w:after="0" w:line="343" w:lineRule="exact"/>
        <w:rPr>
          <w:sz w:val="24"/>
          <w:szCs w:val="24"/>
          <w:color w:val="auto"/>
        </w:rPr>
      </w:pPr>
    </w:p>
    <w:p>
      <w:pPr>
        <w:ind w:left="1400"/>
        <w:spacing w:after="0"/>
        <w:rPr>
          <w:sz w:val="20"/>
          <w:szCs w:val="20"/>
          <w:color w:val="auto"/>
        </w:rPr>
      </w:pPr>
      <w:r>
        <w:rPr>
          <w:rFonts w:ascii="Arial" w:cs="Arial" w:eastAsia="Arial" w:hAnsi="Arial"/>
          <w:sz w:val="18"/>
          <w:szCs w:val="18"/>
          <w:b w:val="1"/>
          <w:bCs w:val="1"/>
          <w:color w:val="auto"/>
        </w:rPr>
        <w:t>VIRGINIA</w:t>
      </w:r>
    </w:p>
    <w:p>
      <w:pPr>
        <w:spacing w:after="0" w:line="27" w:lineRule="exact"/>
        <w:rPr>
          <w:sz w:val="24"/>
          <w:szCs w:val="24"/>
          <w:color w:val="auto"/>
        </w:rPr>
      </w:pPr>
    </w:p>
    <w:p>
      <w:pPr>
        <w:ind w:left="720"/>
        <w:spacing w:after="0"/>
        <w:rPr>
          <w:sz w:val="20"/>
          <w:szCs w:val="20"/>
          <w:color w:val="auto"/>
        </w:rPr>
      </w:pPr>
      <w:r>
        <w:rPr>
          <w:rFonts w:ascii="Arial" w:cs="Arial" w:eastAsia="Arial" w:hAnsi="Arial"/>
          <w:sz w:val="16"/>
          <w:szCs w:val="16"/>
          <w:b w:val="1"/>
          <w:bCs w:val="1"/>
          <w:color w:val="auto"/>
        </w:rPr>
        <w:t>(State or other jurisdiction of</w:t>
      </w:r>
    </w:p>
    <w:p>
      <w:pPr>
        <w:spacing w:after="0" w:line="32" w:lineRule="exact"/>
        <w:rPr>
          <w:sz w:val="24"/>
          <w:szCs w:val="24"/>
          <w:color w:val="auto"/>
        </w:rPr>
      </w:pPr>
    </w:p>
    <w:p>
      <w:pPr>
        <w:ind w:left="660"/>
        <w:spacing w:after="0"/>
        <w:rPr>
          <w:sz w:val="20"/>
          <w:szCs w:val="20"/>
          <w:color w:val="auto"/>
        </w:rPr>
      </w:pPr>
      <w:r>
        <w:rPr>
          <w:rFonts w:ascii="Arial" w:cs="Arial" w:eastAsia="Arial" w:hAnsi="Arial"/>
          <w:sz w:val="16"/>
          <w:szCs w:val="16"/>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23" w:lineRule="exact"/>
        <w:rPr>
          <w:sz w:val="24"/>
          <w:szCs w:val="24"/>
          <w:color w:val="auto"/>
        </w:rPr>
      </w:pPr>
    </w:p>
    <w:p>
      <w:pPr>
        <w:jc w:val="center"/>
        <w:ind w:right="1600"/>
        <w:spacing w:after="0"/>
        <w:rPr>
          <w:sz w:val="20"/>
          <w:szCs w:val="20"/>
          <w:color w:val="auto"/>
        </w:rPr>
      </w:pPr>
      <w:r>
        <w:rPr>
          <w:rFonts w:ascii="Arial" w:cs="Arial" w:eastAsia="Arial" w:hAnsi="Arial"/>
          <w:sz w:val="18"/>
          <w:szCs w:val="18"/>
          <w:b w:val="1"/>
          <w:bCs w:val="1"/>
          <w:color w:val="auto"/>
        </w:rPr>
        <w:t>0-209</w:t>
      </w:r>
    </w:p>
    <w:p>
      <w:pPr>
        <w:spacing w:after="0" w:line="27" w:lineRule="exact"/>
        <w:rPr>
          <w:sz w:val="24"/>
          <w:szCs w:val="24"/>
          <w:color w:val="auto"/>
        </w:rPr>
      </w:pPr>
    </w:p>
    <w:p>
      <w:pPr>
        <w:jc w:val="center"/>
        <w:ind w:right="1600"/>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23" w:lineRule="exact"/>
        <w:rPr>
          <w:sz w:val="24"/>
          <w:szCs w:val="24"/>
          <w:color w:val="auto"/>
        </w:rPr>
      </w:pPr>
    </w:p>
    <w:p>
      <w:pPr>
        <w:jc w:val="center"/>
        <w:ind w:right="1000"/>
        <w:spacing w:after="0"/>
        <w:rPr>
          <w:sz w:val="20"/>
          <w:szCs w:val="20"/>
          <w:color w:val="auto"/>
        </w:rPr>
      </w:pPr>
      <w:r>
        <w:rPr>
          <w:rFonts w:ascii="Arial" w:cs="Arial" w:eastAsia="Arial" w:hAnsi="Arial"/>
          <w:sz w:val="18"/>
          <w:szCs w:val="18"/>
          <w:b w:val="1"/>
          <w:bCs w:val="1"/>
          <w:color w:val="auto"/>
        </w:rPr>
        <w:t>54-0135270</w:t>
      </w:r>
    </w:p>
    <w:p>
      <w:pPr>
        <w:spacing w:after="0" w:line="27" w:lineRule="exact"/>
        <w:rPr>
          <w:sz w:val="24"/>
          <w:szCs w:val="24"/>
          <w:color w:val="auto"/>
        </w:rPr>
      </w:pPr>
    </w:p>
    <w:p>
      <w:pPr>
        <w:jc w:val="center"/>
        <w:ind w:right="1000"/>
        <w:spacing w:after="0"/>
        <w:rPr>
          <w:sz w:val="20"/>
          <w:szCs w:val="20"/>
          <w:color w:val="auto"/>
        </w:rPr>
      </w:pPr>
      <w:r>
        <w:rPr>
          <w:rFonts w:ascii="Arial" w:cs="Arial" w:eastAsia="Arial" w:hAnsi="Arial"/>
          <w:sz w:val="18"/>
          <w:szCs w:val="18"/>
          <w:b w:val="1"/>
          <w:bCs w:val="1"/>
          <w:color w:val="auto"/>
        </w:rPr>
        <w:t>(I.R.S. Employer</w:t>
      </w:r>
    </w:p>
    <w:p>
      <w:pPr>
        <w:spacing w:after="0" w:line="9" w:lineRule="exact"/>
        <w:rPr>
          <w:sz w:val="24"/>
          <w:szCs w:val="24"/>
          <w:color w:val="auto"/>
        </w:rPr>
      </w:pPr>
    </w:p>
    <w:p>
      <w:pPr>
        <w:jc w:val="center"/>
        <w:ind w:right="1000"/>
        <w:spacing w:after="0"/>
        <w:rPr>
          <w:sz w:val="20"/>
          <w:szCs w:val="20"/>
          <w:color w:val="auto"/>
        </w:rPr>
      </w:pPr>
      <w:r>
        <w:rPr>
          <w:rFonts w:ascii="Arial" w:cs="Arial" w:eastAsia="Arial" w:hAnsi="Arial"/>
          <w:sz w:val="16"/>
          <w:szCs w:val="16"/>
          <w:b w:val="1"/>
          <w:bCs w:val="1"/>
          <w:color w:val="auto"/>
        </w:rPr>
        <w:t>Identification No.)</w:t>
      </w:r>
    </w:p>
    <w:p>
      <w:pPr>
        <w:spacing w:after="0" w:line="200" w:lineRule="exact"/>
        <w:rPr>
          <w:sz w:val="24"/>
          <w:szCs w:val="24"/>
          <w:color w:val="auto"/>
        </w:rPr>
      </w:pPr>
    </w:p>
    <w:p>
      <w:pPr>
        <w:sectPr>
          <w:pgSz w:w="11900" w:h="16838" w:orient="portrait"/>
          <w:cols w:equalWidth="0" w:num="3">
            <w:col w:w="4160" w:space="720"/>
            <w:col w:w="3300" w:space="720"/>
            <w:col w:w="2400"/>
          </w:cols>
          <w:pgMar w:left="240" w:top="585" w:right="359" w:bottom="1440" w:gutter="0" w:footer="0" w:header="0"/>
          <w:type w:val="continuous"/>
        </w:sectPr>
      </w:pPr>
    </w:p>
    <w:p>
      <w:pPr>
        <w:spacing w:after="0" w:line="246" w:lineRule="exact"/>
        <w:rPr>
          <w:sz w:val="24"/>
          <w:szCs w:val="24"/>
          <w:color w:val="auto"/>
        </w:rPr>
      </w:pPr>
    </w:p>
    <w:p>
      <w:pPr>
        <w:jc w:val="center"/>
        <w:ind w:right="2040"/>
        <w:spacing w:after="0"/>
        <w:rPr>
          <w:sz w:val="20"/>
          <w:szCs w:val="20"/>
          <w:color w:val="auto"/>
        </w:rPr>
      </w:pPr>
      <w:r>
        <w:rPr>
          <w:rFonts w:ascii="Arial" w:cs="Arial" w:eastAsia="Arial" w:hAnsi="Arial"/>
          <w:sz w:val="17"/>
          <w:szCs w:val="17"/>
          <w:b w:val="1"/>
          <w:bCs w:val="1"/>
          <w:color w:val="auto"/>
        </w:rPr>
        <w:t>3525 FAIRYSTONE PARK HIGHWAY</w:t>
      </w:r>
    </w:p>
    <w:p>
      <w:pPr>
        <w:spacing w:after="0" w:line="39" w:lineRule="exact"/>
        <w:rPr>
          <w:sz w:val="24"/>
          <w:szCs w:val="24"/>
          <w:color w:val="auto"/>
        </w:rPr>
      </w:pPr>
    </w:p>
    <w:p>
      <w:pPr>
        <w:jc w:val="center"/>
        <w:ind w:right="2040"/>
        <w:spacing w:after="0"/>
        <w:rPr>
          <w:sz w:val="20"/>
          <w:szCs w:val="20"/>
          <w:color w:val="auto"/>
        </w:rPr>
      </w:pPr>
      <w:r>
        <w:rPr>
          <w:rFonts w:ascii="Arial" w:cs="Arial" w:eastAsia="Arial" w:hAnsi="Arial"/>
          <w:sz w:val="18"/>
          <w:szCs w:val="18"/>
          <w:b w:val="1"/>
          <w:bCs w:val="1"/>
          <w:color w:val="auto"/>
        </w:rPr>
        <w:t>BASSETT, VIRGINIA</w:t>
      </w:r>
    </w:p>
    <w:p>
      <w:pPr>
        <w:spacing w:after="0" w:line="9" w:lineRule="exact"/>
        <w:rPr>
          <w:sz w:val="24"/>
          <w:szCs w:val="24"/>
          <w:color w:val="auto"/>
        </w:rPr>
      </w:pPr>
    </w:p>
    <w:p>
      <w:pPr>
        <w:jc w:val="center"/>
        <w:ind w:right="2040"/>
        <w:spacing w:after="0"/>
        <w:rPr>
          <w:sz w:val="20"/>
          <w:szCs w:val="20"/>
          <w:color w:val="auto"/>
        </w:rPr>
      </w:pPr>
      <w:r>
        <w:rPr>
          <w:rFonts w:ascii="Arial" w:cs="Arial" w:eastAsia="Arial" w:hAnsi="Arial"/>
          <w:sz w:val="16"/>
          <w:szCs w:val="16"/>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2" w:lineRule="exact"/>
        <w:rPr>
          <w:sz w:val="24"/>
          <w:szCs w:val="24"/>
          <w:color w:val="auto"/>
        </w:rPr>
      </w:pPr>
    </w:p>
    <w:p>
      <w:pPr>
        <w:jc w:val="center"/>
        <w:ind w:right="2200"/>
        <w:spacing w:after="0"/>
        <w:rPr>
          <w:sz w:val="20"/>
          <w:szCs w:val="20"/>
          <w:color w:val="auto"/>
        </w:rPr>
      </w:pPr>
      <w:r>
        <w:rPr>
          <w:rFonts w:ascii="Arial" w:cs="Arial" w:eastAsia="Arial" w:hAnsi="Arial"/>
          <w:sz w:val="18"/>
          <w:szCs w:val="18"/>
          <w:b w:val="1"/>
          <w:bCs w:val="1"/>
          <w:color w:val="auto"/>
        </w:rPr>
        <w:t>24055</w:t>
      </w:r>
    </w:p>
    <w:p>
      <w:pPr>
        <w:spacing w:after="0" w:line="27"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(Zip Code)</w:t>
      </w:r>
    </w:p>
    <w:p>
      <w:pPr>
        <w:spacing w:after="0" w:line="200" w:lineRule="exact"/>
        <w:rPr>
          <w:sz w:val="24"/>
          <w:szCs w:val="24"/>
          <w:color w:val="auto"/>
        </w:rPr>
      </w:pPr>
    </w:p>
    <w:p>
      <w:pPr>
        <w:sectPr>
          <w:pgSz w:w="11900" w:h="16838" w:orient="portrait"/>
          <w:cols w:equalWidth="0" w:num="2">
            <w:col w:w="7540" w:space="720"/>
            <w:col w:w="3040"/>
          </w:cols>
          <w:pgMar w:left="240" w:top="585" w:right="359" w:bottom="1440" w:gutter="0" w:footer="0" w:header="0"/>
          <w:type w:val="continuous"/>
        </w:sectPr>
      </w:pPr>
    </w:p>
    <w:p>
      <w:pPr>
        <w:spacing w:after="0" w:line="3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276/629-6000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29"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34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201930</wp:posOffset>
            </wp:positionV>
            <wp:extent cx="72466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639445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00"/>
          </w:cols>
          <w:pgMar w:left="240" w:top="585" w:right="359" w:bottom="1440" w:gutter="0" w:footer="0" w:header="0"/>
          <w:type w:val="continuous"/>
        </w:sectPr>
      </w:pPr>
    </w:p>
    <w:bookmarkStart w:id="1" w:name="page2"/>
    <w:bookmarkEnd w:id="1"/>
    <w:p>
      <w:pPr>
        <w:spacing w:after="0"/>
        <w:tabs>
          <w:tab w:leader="none" w:pos="1140" w:val="left"/>
        </w:tabs>
        <w:rPr>
          <w:sz w:val="20"/>
          <w:szCs w:val="20"/>
          <w:color w:val="auto"/>
        </w:rPr>
      </w:pPr>
      <w:r>
        <w:rPr>
          <w:rFonts w:ascii="Arial" w:cs="Arial" w:eastAsia="Arial" w:hAnsi="Arial"/>
          <w:sz w:val="18"/>
          <w:szCs w:val="18"/>
          <w:color w:val="auto"/>
        </w:rPr>
        <w:t>Item 2.02.</w:t>
      </w:r>
      <w:r>
        <w:rPr>
          <w:sz w:val="20"/>
          <w:szCs w:val="20"/>
          <w:color w:val="auto"/>
        </w:rPr>
        <w:tab/>
      </w:r>
      <w:r>
        <w:rPr>
          <w:rFonts w:ascii="Arial" w:cs="Arial" w:eastAsia="Arial" w:hAnsi="Arial"/>
          <w:sz w:val="16"/>
          <w:szCs w:val="16"/>
          <w:color w:val="auto"/>
        </w:rPr>
        <w:t>Results of Operations and Financial Condition.</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January 18, 2018 Bassett Furniture Industries issued a news release relating to, among other things, the fourth quarter financial results for the fiscal year ended November 25, 2017. A copy of the news release announcing this information is attached to this report as Exhibit 99.</w:t>
      </w:r>
    </w:p>
    <w:p>
      <w:pPr>
        <w:spacing w:after="0" w:line="197"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Item 9.01.</w:t>
      </w:r>
      <w:r>
        <w:rPr>
          <w:sz w:val="20"/>
          <w:szCs w:val="20"/>
          <w:color w:val="auto"/>
        </w:rPr>
        <w:tab/>
      </w:r>
      <w:r>
        <w:rPr>
          <w:rFonts w:ascii="Arial" w:cs="Arial" w:eastAsia="Arial" w:hAnsi="Arial"/>
          <w:sz w:val="16"/>
          <w:szCs w:val="16"/>
          <w:color w:val="auto"/>
        </w:rPr>
        <w:t>Financial Statements and Exhibits.</w:t>
      </w:r>
    </w:p>
    <w:p>
      <w:pPr>
        <w:spacing w:after="0" w:line="22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color w:val="auto"/>
        </w:rPr>
        <w:t>Exhibit 99</w:t>
      </w:r>
      <w:r>
        <w:rPr>
          <w:sz w:val="20"/>
          <w:szCs w:val="20"/>
          <w:color w:val="auto"/>
        </w:rPr>
        <w:tab/>
      </w:r>
      <w:r>
        <w:rPr>
          <w:rFonts w:ascii="Arial" w:cs="Arial" w:eastAsia="Arial" w:hAnsi="Arial"/>
          <w:sz w:val="16"/>
          <w:szCs w:val="16"/>
          <w:color w:val="auto"/>
        </w:rPr>
        <w:t>News release issued by Bassett Furniture Industries, Inc. on January 18,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375285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220"/>
          </w:cols>
          <w:pgMar w:left="240" w:top="584" w:right="4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80" w:type="dxa"/>
            <w:vAlign w:val="bottom"/>
          </w:tcPr>
          <w:p>
            <w:pPr>
              <w:spacing w:after="0"/>
              <w:rPr>
                <w:sz w:val="20"/>
                <w:szCs w:val="20"/>
                <w:color w:val="auto"/>
              </w:rPr>
            </w:pPr>
          </w:p>
        </w:tc>
        <w:tc>
          <w:tcPr>
            <w:tcW w:w="5700" w:type="dxa"/>
            <w:vAlign w:val="bottom"/>
          </w:tcPr>
          <w:p>
            <w:pPr>
              <w:ind w:left="580"/>
              <w:spacing w:after="0"/>
              <w:rPr>
                <w:sz w:val="20"/>
                <w:szCs w:val="20"/>
                <w:color w:val="auto"/>
              </w:rPr>
            </w:pPr>
            <w:r>
              <w:rPr>
                <w:rFonts w:ascii="Arial" w:cs="Arial" w:eastAsia="Arial" w:hAnsi="Arial"/>
                <w:sz w:val="18"/>
                <w:szCs w:val="18"/>
                <w:color w:val="auto"/>
              </w:rPr>
              <w:t>BASSETT FURNITURE INDUSTRIES, INCORPORATED</w:t>
            </w:r>
          </w:p>
        </w:tc>
        <w:tc>
          <w:tcPr>
            <w:tcW w:w="1140" w:type="dxa"/>
            <w:vAlign w:val="bottom"/>
          </w:tcPr>
          <w:p>
            <w:pPr>
              <w:spacing w:after="0"/>
              <w:rPr>
                <w:sz w:val="20"/>
                <w:szCs w:val="20"/>
                <w:color w:val="auto"/>
              </w:rPr>
            </w:pPr>
          </w:p>
        </w:tc>
      </w:tr>
      <w:tr>
        <w:trPr>
          <w:trHeight w:val="432"/>
        </w:trPr>
        <w:tc>
          <w:tcPr>
            <w:tcW w:w="4580" w:type="dxa"/>
            <w:vAlign w:val="bottom"/>
          </w:tcPr>
          <w:p>
            <w:pPr>
              <w:spacing w:after="0"/>
              <w:rPr>
                <w:sz w:val="20"/>
                <w:szCs w:val="20"/>
                <w:color w:val="auto"/>
              </w:rPr>
            </w:pPr>
            <w:r>
              <w:rPr>
                <w:rFonts w:ascii="Arial" w:cs="Arial" w:eastAsia="Arial" w:hAnsi="Arial"/>
                <w:sz w:val="18"/>
                <w:szCs w:val="18"/>
                <w:color w:val="auto"/>
              </w:rPr>
              <w:t>Date: January 18, 2018</w:t>
            </w:r>
          </w:p>
        </w:tc>
        <w:tc>
          <w:tcPr>
            <w:tcW w:w="5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    /s/ J. Michael Daniel</w:t>
            </w:r>
          </w:p>
        </w:tc>
        <w:tc>
          <w:tcPr>
            <w:tcW w:w="1140" w:type="dxa"/>
            <w:vAlign w:val="bottom"/>
          </w:tcPr>
          <w:p>
            <w:pPr>
              <w:spacing w:after="0"/>
              <w:rPr>
                <w:sz w:val="24"/>
                <w:szCs w:val="24"/>
                <w:color w:val="auto"/>
              </w:rPr>
            </w:pPr>
          </w:p>
        </w:tc>
      </w:tr>
      <w:tr>
        <w:trPr>
          <w:trHeight w:val="195"/>
        </w:trPr>
        <w:tc>
          <w:tcPr>
            <w:tcW w:w="4580" w:type="dxa"/>
            <w:vAlign w:val="bottom"/>
          </w:tcPr>
          <w:p>
            <w:pPr>
              <w:spacing w:after="0"/>
              <w:rPr>
                <w:sz w:val="16"/>
                <w:szCs w:val="16"/>
                <w:color w:val="auto"/>
              </w:rPr>
            </w:pPr>
          </w:p>
        </w:tc>
        <w:tc>
          <w:tcPr>
            <w:tcW w:w="5700" w:type="dxa"/>
            <w:vAlign w:val="bottom"/>
          </w:tcPr>
          <w:p>
            <w:pPr>
              <w:ind w:left="580"/>
              <w:spacing w:after="0" w:line="195" w:lineRule="exact"/>
              <w:rPr>
                <w:sz w:val="20"/>
                <w:szCs w:val="20"/>
                <w:color w:val="auto"/>
              </w:rPr>
            </w:pPr>
            <w:r>
              <w:rPr>
                <w:rFonts w:ascii="Arial" w:cs="Arial" w:eastAsia="Arial" w:hAnsi="Arial"/>
                <w:sz w:val="18"/>
                <w:szCs w:val="18"/>
                <w:color w:val="auto"/>
              </w:rPr>
              <w:t>J. Michael Daniel</w:t>
            </w:r>
          </w:p>
        </w:tc>
        <w:tc>
          <w:tcPr>
            <w:tcW w:w="1140" w:type="dxa"/>
            <w:vAlign w:val="bottom"/>
          </w:tcPr>
          <w:p>
            <w:pPr>
              <w:spacing w:after="0"/>
              <w:rPr>
                <w:sz w:val="16"/>
                <w:szCs w:val="16"/>
                <w:color w:val="auto"/>
              </w:rPr>
            </w:pPr>
          </w:p>
        </w:tc>
      </w:tr>
      <w:tr>
        <w:trPr>
          <w:trHeight w:val="230"/>
        </w:trPr>
        <w:tc>
          <w:tcPr>
            <w:tcW w:w="4580" w:type="dxa"/>
            <w:vAlign w:val="bottom"/>
          </w:tcPr>
          <w:p>
            <w:pPr>
              <w:spacing w:after="0"/>
              <w:rPr>
                <w:sz w:val="20"/>
                <w:szCs w:val="20"/>
                <w:color w:val="auto"/>
              </w:rPr>
            </w:pPr>
          </w:p>
        </w:tc>
        <w:tc>
          <w:tcPr>
            <w:tcW w:w="5700" w:type="dxa"/>
            <w:vAlign w:val="bottom"/>
          </w:tcPr>
          <w:p>
            <w:pPr>
              <w:ind w:left="580"/>
              <w:spacing w:after="0"/>
              <w:rPr>
                <w:sz w:val="20"/>
                <w:szCs w:val="20"/>
                <w:color w:val="auto"/>
              </w:rPr>
            </w:pPr>
            <w:r>
              <w:rPr>
                <w:rFonts w:ascii="Arial" w:cs="Arial" w:eastAsia="Arial" w:hAnsi="Arial"/>
                <w:sz w:val="18"/>
                <w:szCs w:val="18"/>
                <w:color w:val="auto"/>
              </w:rPr>
              <w:t>Title:  Senior Vice President – Chief Financial Officer</w:t>
            </w:r>
          </w:p>
        </w:tc>
        <w:tc>
          <w:tcPr>
            <w:tcW w:w="1140" w:type="dxa"/>
            <w:vAlign w:val="bottom"/>
          </w:tcPr>
          <w:p>
            <w:pPr>
              <w:spacing w:after="0"/>
              <w:rPr>
                <w:sz w:val="20"/>
                <w:szCs w:val="20"/>
                <w:color w:val="auto"/>
              </w:rPr>
            </w:pPr>
          </w:p>
        </w:tc>
      </w:tr>
      <w:tr>
        <w:trPr>
          <w:trHeight w:val="1033"/>
        </w:trPr>
        <w:tc>
          <w:tcPr>
            <w:tcW w:w="4580" w:type="dxa"/>
            <w:vAlign w:val="bottom"/>
            <w:tcBorders>
              <w:bottom w:val="single" w:sz="8" w:color="auto"/>
            </w:tcBorders>
          </w:tcPr>
          <w:p>
            <w:pPr>
              <w:spacing w:after="0"/>
              <w:rPr>
                <w:sz w:val="24"/>
                <w:szCs w:val="24"/>
                <w:color w:val="auto"/>
              </w:rPr>
            </w:pPr>
          </w:p>
        </w:tc>
        <w:tc>
          <w:tcPr>
            <w:tcW w:w="570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3" w:name="page4"/>
    <w:bookmarkEnd w:id="3"/>
    <w:p>
      <w:pPr>
        <w:jc w:val="right"/>
        <w:ind w:right="3799"/>
        <w:spacing w:after="0"/>
        <w:rPr>
          <w:sz w:val="20"/>
          <w:szCs w:val="20"/>
          <w:color w:val="auto"/>
        </w:rPr>
      </w:pPr>
      <w:r>
        <w:rPr>
          <w:rFonts w:ascii="Arial" w:cs="Arial" w:eastAsia="Arial" w:hAnsi="Arial"/>
          <w:sz w:val="18"/>
          <w:szCs w:val="18"/>
          <w:color w:val="auto"/>
        </w:rPr>
        <w:t>EXHIBIT INDEX</w:t>
      </w:r>
    </w:p>
    <w:p>
      <w:pPr>
        <w:spacing w:after="0" w:line="200" w:lineRule="exact"/>
        <w:rPr>
          <w:sz w:val="20"/>
          <w:szCs w:val="20"/>
          <w:color w:val="auto"/>
        </w:rPr>
      </w:pPr>
    </w:p>
    <w:p>
      <w:pPr>
        <w:spacing w:after="0" w:line="241"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Description</w:t>
      </w:r>
    </w:p>
    <w:p>
      <w:pPr>
        <w:spacing w:after="0" w:line="225" w:lineRule="exact"/>
        <w:rPr>
          <w:sz w:val="20"/>
          <w:szCs w:val="20"/>
          <w:color w:val="auto"/>
        </w:rPr>
      </w:pPr>
    </w:p>
    <w:p>
      <w:pPr>
        <w:spacing w:after="0"/>
        <w:rPr>
          <w:rFonts w:ascii="Arial" w:cs="Arial" w:eastAsia="Arial" w:hAnsi="Arial"/>
          <w:sz w:val="16"/>
          <w:szCs w:val="16"/>
          <w:color w:val="auto"/>
        </w:rPr>
      </w:pPr>
      <w:r>
        <w:rPr>
          <w:rFonts w:ascii="Arial" w:cs="Arial" w:eastAsia="Arial" w:hAnsi="Arial"/>
          <w:sz w:val="16"/>
          <w:szCs w:val="16"/>
          <w:color w:val="auto"/>
        </w:rPr>
        <w:t xml:space="preserve">Exhibit No. 99 </w:t>
      </w:r>
      <w:hyperlink w:anchor="page5">
        <w:r>
          <w:rPr>
            <w:rFonts w:ascii="Arial" w:cs="Arial" w:eastAsia="Arial" w:hAnsi="Arial"/>
            <w:sz w:val="16"/>
            <w:szCs w:val="16"/>
            <w:u w:val="single" w:color="auto"/>
            <w:color w:val="0000EE"/>
          </w:rPr>
          <w:t>News release issued by Bassett Furniture Industries on January 18, 2018.</w:t>
        </w:r>
      </w:hyperlink>
    </w:p>
    <w:p>
      <w:pPr>
        <w:sectPr>
          <w:pgSz w:w="11900" w:h="16838" w:orient="portrait"/>
          <w:cols w:equalWidth="0" w:num="1">
            <w:col w:w="10219"/>
          </w:cols>
          <w:pgMar w:left="240" w:top="584" w:right="1440" w:bottom="1440" w:gutter="0" w:footer="0" w:header="0"/>
        </w:sectPr>
      </w:pPr>
    </w:p>
    <w:bookmarkStart w:id="4" w:name="page5"/>
    <w:bookmarkEnd w:id="4"/>
    <w:p>
      <w:pPr>
        <w:spacing w:after="0"/>
        <w:rPr>
          <w:sz w:val="20"/>
          <w:szCs w:val="20"/>
          <w:color w:val="auto"/>
        </w:rPr>
      </w:pPr>
      <w:r>
        <w:rPr>
          <w:rFonts w:ascii="Arial" w:cs="Arial" w:eastAsia="Arial" w:hAnsi="Arial"/>
          <w:sz w:val="16"/>
          <w:szCs w:val="16"/>
          <w:b w:val="1"/>
          <w:bCs w:val="1"/>
          <w:color w:val="auto"/>
        </w:rPr>
        <w:t>Exhibit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169545</wp:posOffset>
            </wp:positionV>
            <wp:extent cx="1097915" cy="3771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097915" cy="377190"/>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Arial" w:cs="Arial" w:eastAsia="Arial" w:hAnsi="Arial"/>
          <w:sz w:val="16"/>
          <w:szCs w:val="16"/>
          <w:color w:val="auto"/>
        </w:rPr>
        <w:t>Bassett Furniture Industries, Inc.</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P.O. Box 626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Bassett, VA 24055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 Michael Daniel</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Senior Vice President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(276) 629-6614 – Investors</w:t>
      </w:r>
    </w:p>
    <w:p>
      <w:pPr>
        <w:spacing w:after="0" w:line="200" w:lineRule="exact"/>
        <w:rPr>
          <w:sz w:val="20"/>
          <w:szCs w:val="20"/>
          <w:color w:val="auto"/>
        </w:rPr>
      </w:pPr>
    </w:p>
    <w:p>
      <w:pPr>
        <w:sectPr>
          <w:pgSz w:w="11900" w:h="16838" w:orient="portrait"/>
          <w:cols w:equalWidth="0" w:num="2">
            <w:col w:w="6140" w:space="720"/>
            <w:col w:w="4560"/>
          </w:cols>
          <w:pgMar w:left="240" w:top="337" w:right="239" w:bottom="1440" w:gutter="0" w:footer="0" w:header="0"/>
          <w:type w:val="continuous"/>
        </w:sect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6"/>
          <w:szCs w:val="16"/>
          <w:color w:val="auto"/>
        </w:rPr>
        <w:t>For Immediate Release</w:t>
      </w:r>
    </w:p>
    <w:p>
      <w:pPr>
        <w:spacing w:after="0" w:line="20" w:lineRule="exact"/>
        <w:rPr>
          <w:sz w:val="20"/>
          <w:szCs w:val="20"/>
          <w:color w:val="auto"/>
        </w:rPr>
      </w:pPr>
      <w:r>
        <w:rPr>
          <w:sz w:val="20"/>
          <w:szCs w:val="20"/>
          <w:color w:val="auto"/>
        </w:rPr>
        <w:br w:type="column"/>
      </w:r>
    </w:p>
    <w:p>
      <w:pPr>
        <w:spacing w:after="0" w:line="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Jay S. Moore</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Director of Communications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(276) 629-6450 – Media</w:t>
      </w:r>
    </w:p>
    <w:p>
      <w:pPr>
        <w:spacing w:after="0" w:line="200" w:lineRule="exact"/>
        <w:rPr>
          <w:sz w:val="20"/>
          <w:szCs w:val="20"/>
          <w:color w:val="auto"/>
        </w:rPr>
      </w:pPr>
    </w:p>
    <w:p>
      <w:pPr>
        <w:sectPr>
          <w:pgSz w:w="11900" w:h="16838" w:orient="portrait"/>
          <w:cols w:equalWidth="0" w:num="2">
            <w:col w:w="6140" w:space="720"/>
            <w:col w:w="4560"/>
          </w:cols>
          <w:pgMar w:left="240" w:top="337" w:right="239" w:bottom="1440" w:gutter="0" w:footer="0" w:header="0"/>
          <w:type w:val="continuous"/>
        </w:sect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32"/>
          <w:szCs w:val="32"/>
          <w:color w:val="auto"/>
        </w:rPr>
        <w:t>Bassett Furniture News Release</w:t>
      </w:r>
    </w:p>
    <w:p>
      <w:pPr>
        <w:spacing w:after="0" w:line="2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Bassett Announces Fiscal Fourth Quarter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30480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97"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(Bassett, Va.) – January 18, 2018 – Bassett Furniture Industries, Inc. (Nasdaq: BSET) announced today its results of operations for its fiscal quarter ended November 25, 2017.</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Fiscal 2017 Fourth Quarter Highlights</w:t>
      </w:r>
    </w:p>
    <w:p>
      <w:pPr>
        <w:spacing w:after="0" w:line="23" w:lineRule="exact"/>
        <w:rPr>
          <w:sz w:val="20"/>
          <w:szCs w:val="20"/>
          <w:color w:val="auto"/>
        </w:rPr>
      </w:pPr>
    </w:p>
    <w:p>
      <w:pPr>
        <w:ind w:left="660" w:hanging="328"/>
        <w:spacing w:after="0"/>
        <w:tabs>
          <w:tab w:leader="none" w:pos="660" w:val="left"/>
        </w:tabs>
        <w:numPr>
          <w:ilvl w:val="0"/>
          <w:numId w:val="2"/>
        </w:numPr>
        <w:rPr>
          <w:rFonts w:ascii="Arial" w:cs="Arial" w:eastAsia="Arial" w:hAnsi="Arial"/>
          <w:sz w:val="16"/>
          <w:szCs w:val="16"/>
          <w:color w:val="auto"/>
        </w:rPr>
      </w:pPr>
      <w:r>
        <w:rPr>
          <w:rFonts w:ascii="Arial" w:cs="Arial" w:eastAsia="Arial" w:hAnsi="Arial"/>
          <w:sz w:val="16"/>
          <w:szCs w:val="16"/>
          <w:color w:val="auto"/>
        </w:rPr>
        <w:t>Consolidated sales were $118.2 million for the fourth quarter of 2017 compared to $113.9 million for the fourth quarter of 2016, an increase of 3.9%.</w:t>
      </w:r>
    </w:p>
    <w:p>
      <w:pPr>
        <w:spacing w:after="0" w:line="32" w:lineRule="exact"/>
        <w:rPr>
          <w:rFonts w:ascii="Arial" w:cs="Arial" w:eastAsia="Arial" w:hAnsi="Arial"/>
          <w:sz w:val="16"/>
          <w:szCs w:val="16"/>
          <w:color w:val="auto"/>
        </w:rPr>
      </w:pPr>
    </w:p>
    <w:p>
      <w:pPr>
        <w:ind w:left="660" w:hanging="328"/>
        <w:spacing w:after="0"/>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color w:val="auto"/>
        </w:rPr>
        <w:t>Operating income for the quarter was $7.5 million or 6.3% of sales as compared to $9.0 million or 7.9% of sales for the prior year quarter.</w:t>
      </w:r>
    </w:p>
    <w:p>
      <w:pPr>
        <w:spacing w:after="0" w:line="20" w:lineRule="exact"/>
        <w:rPr>
          <w:rFonts w:ascii="Arial" w:cs="Arial" w:eastAsia="Arial" w:hAnsi="Arial"/>
          <w:sz w:val="17"/>
          <w:szCs w:val="17"/>
          <w:color w:val="auto"/>
        </w:rPr>
      </w:pPr>
    </w:p>
    <w:p>
      <w:pPr>
        <w:jc w:val="both"/>
        <w:ind w:left="660" w:right="20" w:hanging="328"/>
        <w:spacing w:after="0" w:line="281" w:lineRule="auto"/>
        <w:tabs>
          <w:tab w:leader="none" w:pos="660" w:val="left"/>
        </w:tabs>
        <w:numPr>
          <w:ilvl w:val="0"/>
          <w:numId w:val="2"/>
        </w:numPr>
        <w:rPr>
          <w:rFonts w:ascii="Arial" w:cs="Arial" w:eastAsia="Arial" w:hAnsi="Arial"/>
          <w:sz w:val="16"/>
          <w:szCs w:val="16"/>
          <w:color w:val="auto"/>
        </w:rPr>
      </w:pPr>
      <w:r>
        <w:rPr>
          <w:rFonts w:ascii="Arial" w:cs="Arial" w:eastAsia="Arial" w:hAnsi="Arial"/>
          <w:sz w:val="16"/>
          <w:szCs w:val="16"/>
          <w:color w:val="auto"/>
        </w:rPr>
        <w:t>Wholesale sales were $63.2 million for the fourth quarter of 2017 compared to $62.6 million for the third quarter of 2016, an increase of 1.0%. Wholesale operating income for the quarter was $4.0 million or 6.3% of sales as compared to $4.3 million or 6.9% of sales for the prior year quarter.</w:t>
      </w:r>
    </w:p>
    <w:p>
      <w:pPr>
        <w:spacing w:after="0" w:line="1" w:lineRule="exact"/>
        <w:rPr>
          <w:rFonts w:ascii="Arial" w:cs="Arial" w:eastAsia="Arial" w:hAnsi="Arial"/>
          <w:sz w:val="16"/>
          <w:szCs w:val="16"/>
          <w:color w:val="auto"/>
        </w:rPr>
      </w:pPr>
    </w:p>
    <w:p>
      <w:pPr>
        <w:jc w:val="both"/>
        <w:ind w:left="660" w:hanging="328"/>
        <w:spacing w:after="0" w:line="250"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Company-owned store sales were $72.1 million for the fourth quarter of 2017 compared to $69.9 million for the fourth quarter of 2016, an increase of 3.2%. This included a comparable store sales decrease of 1.7% compared to the prior year quarter. Comparable store operating income was $3.5 million or 5.5% of sales for the current year quarter as compared to $3.3 million or 5.0% of sales for the prior year quarter. Total retail operating income was $2.1 million or 2.9% of sales for the quarter as compared to $2.9 million or 4.1% of sales for the prior year quarter. Comparable store written sales for the quarter increased 2.7%.</w:t>
      </w:r>
    </w:p>
    <w:p>
      <w:pPr>
        <w:spacing w:after="0" w:line="2" w:lineRule="exact"/>
        <w:rPr>
          <w:rFonts w:ascii="Arial" w:cs="Arial" w:eastAsia="Arial" w:hAnsi="Arial"/>
          <w:sz w:val="18"/>
          <w:szCs w:val="18"/>
          <w:color w:val="auto"/>
        </w:rPr>
      </w:pPr>
    </w:p>
    <w:p>
      <w:pPr>
        <w:ind w:left="660" w:hanging="328"/>
        <w:spacing w:after="0" w:line="281" w:lineRule="auto"/>
        <w:tabs>
          <w:tab w:leader="none" w:pos="660" w:val="left"/>
        </w:tabs>
        <w:numPr>
          <w:ilvl w:val="0"/>
          <w:numId w:val="2"/>
        </w:numPr>
        <w:rPr>
          <w:rFonts w:ascii="Arial" w:cs="Arial" w:eastAsia="Arial" w:hAnsi="Arial"/>
          <w:sz w:val="16"/>
          <w:szCs w:val="16"/>
          <w:color w:val="auto"/>
        </w:rPr>
      </w:pPr>
      <w:r>
        <w:rPr>
          <w:rFonts w:ascii="Arial" w:cs="Arial" w:eastAsia="Arial" w:hAnsi="Arial"/>
          <w:sz w:val="16"/>
          <w:szCs w:val="16"/>
          <w:color w:val="auto"/>
        </w:rPr>
        <w:t>Revenue for Zenith was $25.7 million for the fourth quarter of 2017 compared to $24.2 million for the fourth quarter of 2016, a 6.1% increase. Zenith’s operating income for the quarter was $1.2 million or 4.8% of sales as compared to $1.4 million or 5.9% of sales for the prior year quarter.</w:t>
      </w:r>
    </w:p>
    <w:p>
      <w:pPr>
        <w:spacing w:after="0" w:line="1" w:lineRule="exact"/>
        <w:rPr>
          <w:rFonts w:ascii="Arial" w:cs="Arial" w:eastAsia="Arial" w:hAnsi="Arial"/>
          <w:sz w:val="16"/>
          <w:szCs w:val="16"/>
          <w:color w:val="auto"/>
        </w:rPr>
      </w:pPr>
    </w:p>
    <w:p>
      <w:pPr>
        <w:ind w:left="660" w:right="20" w:hanging="328"/>
        <w:spacing w:after="0" w:line="261"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Net income for the quarter was $5.0 million or $0.46 per diluted share as compared to $5.0 million or $0.47 per diluted share for the prior year quarter.</w:t>
      </w:r>
    </w:p>
    <w:p>
      <w:pPr>
        <w:spacing w:after="0" w:line="40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were pleased to finish our fourth quarter with a 4% gain in consolidated revenue, thus capping fiscal 2017 as a solid year for Bassett,” observed Rob Spilman, Chairman and CEO. “Despite the sales gain, however, quarterly operating income decreased to $7.5 million, or 17% less than last year. The opening of stores in Pittsburgh, Pennsylvania and Wichita, Kansas during the quarter ushered in a period of robust expansion for our corporate store network as we plan to open at least 10 new locations and reposition 2 to 3 others over the next 18 months. Indeed, we have already opened a second Phoenix store and have entered the Oklahoma City market since closing our fiscal year on November 25, 2017. Suffice it to say that this amount of new store startup activity produces detrimental short term effects on our profitability as witnessed in this most recent reporting period. Nevertheless, we strongly believe that expanding our store network is the best way for us to grow and coupled with other planned initiatives, these investments will make Bassett a larger and more profitable enterprise as a result. Furthermore, we believe that increasing our store count, which will benefit our wholesale, retail and logistics segments in the long run, is an appropriate use of our strong balance sheet.”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347345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type w:val="continuous"/>
        </w:sectPr>
      </w:pPr>
    </w:p>
    <w:bookmarkStart w:id="5" w:name="page6"/>
    <w:bookmarkEnd w:id="5"/>
    <w:p>
      <w:pPr>
        <w:jc w:val="both"/>
        <w:spacing w:after="0" w:line="255" w:lineRule="auto"/>
        <w:rPr>
          <w:sz w:val="20"/>
          <w:szCs w:val="20"/>
          <w:color w:val="auto"/>
        </w:rPr>
      </w:pPr>
      <w:r>
        <w:rPr>
          <w:rFonts w:ascii="Arial" w:cs="Arial" w:eastAsia="Arial" w:hAnsi="Arial"/>
          <w:sz w:val="18"/>
          <w:szCs w:val="18"/>
          <w:color w:val="auto"/>
        </w:rPr>
        <w:t>“A centerpiece of our store expansion strategy is the new “Generation 3” prototype that will debut in Frisco, Texas during the third quarter of 2018,” continued Spilman. “Two years in the making, the new store will showcase Bassett’s interior design and customizable home furnishings competencies through a technology laden fixturing package designed to easily navigate the many options that we offer to create personalized space for our consumers. We have engaged a group of experts to work with our internal team to architect the Generation 3 store and to unify the Bassett shopping experience from our website to our store to the ultimate delivery of our furniture and accessory offerings to the home. The corresponding foundational investments in systems and customer experience enhancements that we began in 2017 will accelerate in 2018 and will result in higher levels of SG&amp;A spending for the next several quarters. The end result of these investments will:</w:t>
      </w:r>
    </w:p>
    <w:p>
      <w:pPr>
        <w:spacing w:after="0" w:line="189"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elevate digital brand awareness through heightened social media outreach,</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educate and inspire more consumers to experience the Bassett brand digitally or through our brick and mortar stores,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enhance in store collaboration through the introduction of an upholstery sectional configurator and 3-D room planning capabilities, and</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deliver smarter, faster customer service that allows transactions to be tracked via mobile devices from purchase, to manufacture of the goods, to delivery to the home.</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fusion of our brick and mortar experience, our custom manufacturing platform, and our digital strategy will definitely sharpen in fiscal 2018. Although we acknowledge that there are accompanying operational costs with this vision and with our store expansion, we believe that charting this course now is prudent, exciting, and indeed necessary to provide Bassett its own space amidst the much discussed disruptive forces that in part define the U.S. retail landscape today.”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Wholesale Segment</w:t>
      </w:r>
    </w:p>
    <w:p>
      <w:pPr>
        <w:spacing w:after="0" w:line="22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Net sales for the wholesale segment were $63.2 million for the fourth quarter of 2017 as compared to $62.6 million for the fourth quarter of 2016, an increase of $0.6 million or 1.0%. This increase was driven by an 8.7% increase in furniture shipments to the open market (outside the Bassett Home Furnishings network) partially offset by a 5.5% decrease in furniture shipments to the Bassett Home Furnishings network compared to the prior year period. Wholesale shipments of accessories, a much smaller component of the Company’s wholesale revenues, increased 77% over the prior year quarter. Gross margins for the wholesale segment were 34.1% for the fourth quarter of 2017 as compared to 35.5% for the prior year quarter. This decrease was primarily driven by lower margins in the Bench Made operation from inefficiencies in starting up the production of the new solid oak line, imported wood operation resulting from higher container freight costs and domestic upholstery operation from higher material and labor costs. Wholesale SG&amp;A for the fourth quarter of 2017 was $17.6 million as compared to $17.9 million for the prior year period. SG&amp;A as a percentage of sales decreased to 27.8% as compared to 28.6% for the fourth quarter of 2016. This decrease in SG&amp;A as a percentage of sales was primarily driven by lower incentive compensation costs. Operating income was $4.0 million or 6.3% of sales as compared to $4.3 million or 6.9% of sales in the prior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344805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6" w:name="page7"/>
    <w:bookmarkEnd w:id="6"/>
    <w:p>
      <w:pPr>
        <w:jc w:val="both"/>
        <w:spacing w:after="0" w:line="264" w:lineRule="auto"/>
        <w:rPr>
          <w:sz w:val="20"/>
          <w:szCs w:val="20"/>
          <w:color w:val="auto"/>
        </w:rPr>
      </w:pPr>
      <w:r>
        <w:rPr>
          <w:rFonts w:ascii="Arial" w:cs="Arial" w:eastAsia="Arial" w:hAnsi="Arial"/>
          <w:sz w:val="18"/>
          <w:szCs w:val="18"/>
          <w:color w:val="auto"/>
        </w:rPr>
        <w:t>“Wholesale sales increased 1% for the quarter and 4% for the year,” said Spilman. “The quarter was a mixed bag as sales to customers outside the store network grew nicely while shipments to the store network actually declined. The primary reasons for the retail shipment shortfall were the effects of hurricanes on the Houston and Puerto Rico stores and an overall written sales decrease in the licensed store network.”</w:t>
      </w:r>
    </w:p>
    <w:p>
      <w:pPr>
        <w:spacing w:after="0" w:line="181"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“Trends in the wholesale segment that were prevalent during the year continued in the quarter,” added Spilman. “In the wood division, shipments of domestically produced products increased although at a less robust level than experienced earlier in the year. Our Bench Made product line grew by 40% in 2017. We encountered production inefficiencies in the startup of our new Bench Made Oak line that began shipping at year end and is about to be marketed in our stores. As has been the case for some time, shipments of imported wood products declined disproportionately in the quarter. We are heartened by the success of our Bella Collection that was new in 2017 and will expand the line this spring. More importantly, February will mark the unveiling of our new B Modern line in our stores, in print, and on the web. The modern style sensibility has increasingly permeated the industry over the past several years. Consumer research that we conducted in 2016 specifically found that our core consumer considers the absence of this styling to be a void in our assortment. Accordingly, we have been working to address this gap and have high hopes for the Presidents’ Day launch of B Modern. Domestic upholstery finished another year of growth in 2017. Shipments from our Newton, NC facility grew in absolute dollars about the same amount as from our new Grand Prairie, Texas factory. The new B Modern styling in wood will have accompaniment in the form of domestic upholstery that will provide a fresh point of view to our lineup. Rising material costs in upholstery were an issue in the quarter and we have made pricing adjustments to our line that are just now taking effect. Finally, our open market Club Level by Bassett division performed well in the period and is expected to continue to grow in 2018.”</w:t>
      </w:r>
    </w:p>
    <w:p>
      <w:pPr>
        <w:spacing w:after="0" w:line="16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“Subsequent to year end we acquired the Lane Venture outdoor furniture business for $15.6 million,” continued Spilman. “We are excited about our entry into this category and believe that Lane Venture will provide a foundation for us to become a significant participant in the field. We will operate Lane Venture as a stand-alone business and do not plan to market the product in the Bassett stores. We have our hands full at the moment in getting Lane Venture up and running with a new technology platform, a new manufacturing model, and in a newly leased facility. Once we begin to realize the fruits of these efforts, we plan a separately marketed and merchandised outdoor assortment for our stores under the Bassett Outdoor name. This will only occur after we are satisfied that we have begun to tap the full potential of the Lane Venture opportunity.”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Retail Segment</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Net sales for the 60 Company-owned Bassett Home Furnishings stores were $72.1 million for the fourth quarter of 2017 as compared to $69.9 million for the fourth quarter of 2016, an increase of $2.2 million or 3.2%. The increase was due to a $3.3 million increase in non-comparable store sales partially offset by a $1.2 million or 1.7% decrease in comparable store sales. Due to the flooding from Hurricane Harvey, the Company’s four stores in Houston were closed for almost two weeks. Excluding those four stores, the comparable store sales decrease was 0.4% for the quarter.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340995</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7" w:name="page8"/>
    <w:bookmarkEnd w:id="7"/>
    <w:p>
      <w:pPr>
        <w:jc w:val="both"/>
        <w:spacing w:after="0" w:line="264" w:lineRule="auto"/>
        <w:rPr>
          <w:sz w:val="20"/>
          <w:szCs w:val="20"/>
          <w:color w:val="auto"/>
        </w:rPr>
      </w:pPr>
      <w:r>
        <w:rPr>
          <w:rFonts w:ascii="Arial" w:cs="Arial" w:eastAsia="Arial" w:hAnsi="Arial"/>
          <w:sz w:val="18"/>
          <w:szCs w:val="18"/>
          <w:color w:val="auto"/>
        </w:rPr>
        <w:t>While the Company does not recognize sales until goods are delivered to the consumer, management tracks written sales (the retail dollar value of sales orders taken, rather than delivered) as a key store performance indicator. Written sales for comparable stores increased by 2.7% for the fourth quarter of 2017 as compared to the fourth quarter of 2016.</w:t>
      </w:r>
    </w:p>
    <w:p>
      <w:pPr>
        <w:spacing w:after="0" w:line="18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consolidated retail operating profit for the fourth quarter of 2017 was $2.1 million as compared to $2.9 million for the fourth quarter of 2016, a decrease of $0.8 million. The 54 comparable stores generated operating income of $3.5 million for the quarter, or 5.5% of sales, as compared to $3.3 million, or 5.0% of sales, for the prior year quarter. Gross margins for comparable stores were 52.5% for the fourth quarter of 2017 as compared to 50.5% for the fourth quarter of 2016. This increase is primarily due to improved pricing strategies and product mix. SG&amp;A expenses for comparable stores increased $0.5 million to $30.0 million or 47.0% of sales as compared to 45.5% of sales for the fourth quarter of 2016. The increase in SG&amp;A was primarily due to higher advertising costs along with increased payroll and benefits costs.</w:t>
      </w:r>
    </w:p>
    <w:p>
      <w:pPr>
        <w:spacing w:after="0" w:line="19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Non-comparable stores generated sales of $8.3 million with an operating loss of $1.4 million as compared to sales of $5 million and an operating loss of $0.4 million in the prior year quarter. As part of the $1.4 million loss for the quarter period, the Company incurred $0.8 million in new store pre-opening costs, an increase of $0.4 million over the prior year. As previously stated, the Company’s retail expansion is initially costly. However, the Company believes that site selection and new store presentation will generally result in locations that operate at or above a retail break-even level within a reasonable period of time following store opening.</w:t>
      </w:r>
    </w:p>
    <w:p>
      <w:pPr>
        <w:spacing w:after="0" w:line="188"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“In assessing the year for corporate retail, we take pride in the fact that our 1.9% delivered comparable store sales increase marked the seventh consecutive year of positive comps for our retail team,” observed Spilman. “The bar is definitely being raised each year and achieving comparable store growth is not getting easier. Our focus on this metric serves as a catalyst to drive the intensity and the innovation that are the hallmarks of our retail organization. With our aforementioned store expansion plans in 2018 as a backdrop, it is noteworthy that over the past 3 years we have opened 11 stores, only to close another 12 over the same period of time. We also purchased another store from a previously existing licensee. Upgrading our real estate portfolio has been an integral part of our retail strategy as we have consciously moved away from older locations that were mostly taken over from former licensees as a result of the Great Recession. The key point here is that although our retail volume has grown by $52 million since the end of fiscal 2014, our store count has not grown. Therefore, our growth has come from opening more productive stores and improving our comparable store performance. The most exciting element in all of this is that the great majority of these closings are behind us and we look forward to adding stores in the future without having to simultaneously close a similar number of locations. As a result, we are excited to finally be in position to generate retail and wholesale growth by increasing our store count.”</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Logistical Services Segment</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Revenue for Zenith was $25.7 million for the fourth quarter of 2017 as compared to $24.2 million for 2016, an increase of $1.5 million or 6.1%. Revenues to both Bassett and non-Bassett customers were higher quarter over quarter. Zenith’s operating expenses for the fourth quarter of 2017 were $24.5 million or 95.2% of revenue as compared to $22.8 million or 94.1% for the fourth quarter of 2016. This resulted in operating profit of $1.2 million or 4.8% of sales for the current quarter as compared to $1.4 million or 5.9% of sales for the prior year quarter. This decrease is primarily due to the start-up of several new local home delivery hubs to support the growth of new Bassett stores.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351790</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u w:val="single" w:color="auto"/>
          <w:color w:val="auto"/>
        </w:rPr>
        <w:t>About Bassett Furniture Industries, Inc.</w:t>
      </w:r>
    </w:p>
    <w:p>
      <w:pPr>
        <w:spacing w:after="0" w:line="23"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Bassett Furniture Industries, Inc. (NASDAQ:BSET), is a leading manufacturer and marketer of high quality home furnishings. With 92 company- and licensee-owned stores at the time of this release, Bassett has leveraged its strong brand name in furniture into a network of corporate and licensed stores that focus on providing consumers with a friendly environment for buying furniture and accessories. The most significant growth opportunity for Bassett continues to be the Company’s dedicated retail store program. Bassett’s retail strategy includes stylish, custom-built furniture that is ready for delivery in the home within 30 days. The stores also feature the latest on-trend furniture styles, free in-home design visits, and coordinated decorating accessories. Bassett also has a traditional wholesale business with more than 700 accounts on the open market, across the United States and internationally and a logistics business specializing in home furnishings. For more information, visit the Company’s website at bassettfurniture.com. (BSET-E)</w:t>
      </w:r>
    </w:p>
    <w:p>
      <w:pPr>
        <w:spacing w:after="0" w:line="165" w:lineRule="exact"/>
        <w:rPr>
          <w:sz w:val="20"/>
          <w:szCs w:val="20"/>
          <w:color w:val="auto"/>
        </w:rPr>
      </w:pPr>
    </w:p>
    <w:p>
      <w:pPr>
        <w:jc w:val="both"/>
        <w:ind w:firstLine="401"/>
        <w:spacing w:after="0" w:line="287" w:lineRule="auto"/>
        <w:rPr>
          <w:sz w:val="20"/>
          <w:szCs w:val="20"/>
          <w:color w:val="auto"/>
        </w:rPr>
      </w:pPr>
      <w:r>
        <w:rPr>
          <w:rFonts w:ascii="Arial" w:cs="Arial" w:eastAsia="Arial" w:hAnsi="Arial"/>
          <w:sz w:val="16"/>
          <w:szCs w:val="16"/>
          <w:b w:val="1"/>
          <w:bCs w:val="1"/>
          <w:color w:val="auto"/>
        </w:rPr>
        <w:t>Certain of the statements in this release, particularly those preceded by, followed by or including the words “believes,” “expects,” “anticipates,” “intends,” “should,” “estimates,” or similar expressions, or those relating to or anticipating financial results for periods beyond the end of the fourth fiscal quarter of 2017, constitute “forward looking statements” within the meaning of Section 27A of the Securities Act of 1933, as amended. For those statements, Bassett claims the protection of the safe harbor for forward looking statements contained in the Private Securities Litigation Reform Act of 1995. In many cases, Bassett cannot predict what factors would cause actual results to differ materially from those indicated in the forward looking statements. Expectations included in the forward-looking statements are based on preliminary information as well as certain assumptions which management believes to be reasonable at this time. The following important factors affect Bassett and could cause actual results to differ materially from those indicated in the forward looking statements: the effects of national and global economic or other conditions and future events on the retail demand for home furnishings and the ability of Bassett’s customers and consumers to obtain credit; and the economic, competitive, governmental and other factors identified in Bassett’s filings with the Securities and Exchange Commission. Any forward-looking statement that Bassett makes speaks only as of the date of such statement, and Bassett undertakes no obligation to update any forward-looking statements, whether as a result of new information, future events or otherwise. Comparisons of results for current and any prior periods are not intended to express any future trends or indication of future performance, unless expressed as such, and should only be viewed as historical data.</w:t>
      </w:r>
    </w:p>
    <w:p>
      <w:pPr>
        <w:spacing w:after="0" w:line="165" w:lineRule="exact"/>
        <w:rPr>
          <w:sz w:val="20"/>
          <w:szCs w:val="20"/>
          <w:color w:val="auto"/>
        </w:rPr>
      </w:pPr>
    </w:p>
    <w:p>
      <w:pPr>
        <w:jc w:val="center"/>
        <w:ind w:left="420"/>
        <w:spacing w:after="0"/>
        <w:rPr>
          <w:sz w:val="20"/>
          <w:szCs w:val="20"/>
          <w:color w:val="auto"/>
        </w:rPr>
      </w:pPr>
      <w:r>
        <w:rPr>
          <w:rFonts w:ascii="Arial" w:cs="Arial" w:eastAsia="Arial" w:hAnsi="Arial"/>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377825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Condensed Consolidated Statements of Income - 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for per share data)</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300" w:type="dxa"/>
            <w:vAlign w:val="bottom"/>
            <w:tcBorders>
              <w:bottom w:val="single" w:sz="8" w:color="auto"/>
            </w:tcBorders>
            <w:gridSpan w:val="5"/>
          </w:tcPr>
          <w:p>
            <w:pPr>
              <w:jc w:val="right"/>
              <w:ind w:right="680"/>
              <w:spacing w:after="0"/>
              <w:rPr>
                <w:sz w:val="20"/>
                <w:szCs w:val="20"/>
                <w:color w:val="auto"/>
              </w:rPr>
            </w:pPr>
            <w:r>
              <w:rPr>
                <w:rFonts w:ascii="Arial" w:cs="Arial" w:eastAsia="Arial" w:hAnsi="Arial"/>
                <w:sz w:val="18"/>
                <w:szCs w:val="18"/>
                <w:color w:val="auto"/>
              </w:rPr>
              <w:t>Quarter Ended</w:t>
            </w:r>
          </w:p>
        </w:tc>
        <w:tc>
          <w:tcPr>
            <w:tcW w:w="94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300" w:type="dxa"/>
            <w:vAlign w:val="bottom"/>
            <w:tcBorders>
              <w:bottom w:val="single" w:sz="8" w:color="auto"/>
            </w:tcBorders>
            <w:gridSpan w:val="5"/>
          </w:tcPr>
          <w:p>
            <w:pPr>
              <w:jc w:val="right"/>
              <w:ind w:right="800"/>
              <w:spacing w:after="0"/>
              <w:rPr>
                <w:sz w:val="20"/>
                <w:szCs w:val="20"/>
                <w:color w:val="auto"/>
              </w:rPr>
            </w:pPr>
            <w:r>
              <w:rPr>
                <w:rFonts w:ascii="Arial" w:cs="Arial" w:eastAsia="Arial" w:hAnsi="Arial"/>
                <w:sz w:val="18"/>
                <w:szCs w:val="18"/>
                <w:color w:val="auto"/>
              </w:rPr>
              <w:t>Year Ended</w:t>
            </w:r>
          </w:p>
        </w:tc>
        <w:tc>
          <w:tcPr>
            <w:tcW w:w="94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80" w:type="dxa"/>
            <w:vAlign w:val="bottom"/>
            <w:gridSpan w:val="4"/>
          </w:tcPr>
          <w:p>
            <w:pPr>
              <w:jc w:val="right"/>
              <w:ind w:right="560"/>
              <w:spacing w:after="0"/>
              <w:rPr>
                <w:sz w:val="20"/>
                <w:szCs w:val="20"/>
                <w:color w:val="auto"/>
              </w:rPr>
            </w:pPr>
            <w:r>
              <w:rPr>
                <w:rFonts w:ascii="Arial" w:cs="Arial" w:eastAsia="Arial" w:hAnsi="Arial"/>
                <w:sz w:val="18"/>
                <w:szCs w:val="18"/>
                <w:color w:val="auto"/>
              </w:rPr>
              <w:t>November 25, 2017</w:t>
            </w:r>
          </w:p>
        </w:tc>
        <w:tc>
          <w:tcPr>
            <w:tcW w:w="120" w:type="dxa"/>
            <w:vAlign w:val="bottom"/>
          </w:tcPr>
          <w:p>
            <w:pPr>
              <w:spacing w:after="0"/>
              <w:rPr>
                <w:sz w:val="18"/>
                <w:szCs w:val="18"/>
                <w:color w:val="auto"/>
              </w:rPr>
            </w:pPr>
          </w:p>
        </w:tc>
        <w:tc>
          <w:tcPr>
            <w:tcW w:w="1900" w:type="dxa"/>
            <w:vAlign w:val="bottom"/>
            <w:gridSpan w:val="3"/>
          </w:tcPr>
          <w:p>
            <w:pPr>
              <w:jc w:val="right"/>
              <w:ind w:right="190"/>
              <w:spacing w:after="0"/>
              <w:rPr>
                <w:sz w:val="20"/>
                <w:szCs w:val="20"/>
                <w:color w:val="auto"/>
              </w:rPr>
            </w:pPr>
            <w:r>
              <w:rPr>
                <w:rFonts w:ascii="Arial" w:cs="Arial" w:eastAsia="Arial" w:hAnsi="Arial"/>
                <w:sz w:val="18"/>
                <w:szCs w:val="18"/>
                <w:color w:val="auto"/>
              </w:rPr>
              <w:t>November 26, 2016</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80" w:type="dxa"/>
            <w:vAlign w:val="bottom"/>
            <w:gridSpan w:val="4"/>
          </w:tcPr>
          <w:p>
            <w:pPr>
              <w:jc w:val="right"/>
              <w:ind w:right="580"/>
              <w:spacing w:after="0"/>
              <w:rPr>
                <w:sz w:val="20"/>
                <w:szCs w:val="20"/>
                <w:color w:val="auto"/>
              </w:rPr>
            </w:pPr>
            <w:r>
              <w:rPr>
                <w:rFonts w:ascii="Arial" w:cs="Arial" w:eastAsia="Arial" w:hAnsi="Arial"/>
                <w:sz w:val="18"/>
                <w:szCs w:val="18"/>
                <w:color w:val="auto"/>
                <w:w w:val="99"/>
              </w:rPr>
              <w:t>November 25, 2017</w:t>
            </w:r>
          </w:p>
        </w:tc>
        <w:tc>
          <w:tcPr>
            <w:tcW w:w="120" w:type="dxa"/>
            <w:vAlign w:val="bottom"/>
          </w:tcPr>
          <w:p>
            <w:pPr>
              <w:spacing w:after="0"/>
              <w:rPr>
                <w:sz w:val="18"/>
                <w:szCs w:val="18"/>
                <w:color w:val="auto"/>
              </w:rPr>
            </w:pPr>
          </w:p>
        </w:tc>
        <w:tc>
          <w:tcPr>
            <w:tcW w:w="1900" w:type="dxa"/>
            <w:vAlign w:val="bottom"/>
            <w:gridSpan w:val="3"/>
          </w:tcPr>
          <w:p>
            <w:pPr>
              <w:jc w:val="right"/>
              <w:ind w:right="210"/>
              <w:spacing w:after="0"/>
              <w:rPr>
                <w:sz w:val="20"/>
                <w:szCs w:val="20"/>
                <w:color w:val="auto"/>
              </w:rPr>
            </w:pPr>
            <w:r>
              <w:rPr>
                <w:rFonts w:ascii="Arial" w:cs="Arial" w:eastAsia="Arial" w:hAnsi="Arial"/>
                <w:sz w:val="18"/>
                <w:szCs w:val="18"/>
                <w:color w:val="auto"/>
                <w:w w:val="99"/>
              </w:rPr>
              <w:t>November 26, 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ind w:right="10"/>
              <w:spacing w:after="0" w:line="195" w:lineRule="exact"/>
              <w:rPr>
                <w:sz w:val="20"/>
                <w:szCs w:val="20"/>
                <w:color w:val="auto"/>
              </w:rPr>
            </w:pPr>
            <w:r>
              <w:rPr>
                <w:rFonts w:ascii="Arial" w:cs="Arial" w:eastAsia="Arial" w:hAnsi="Arial"/>
                <w:sz w:val="18"/>
                <w:szCs w:val="18"/>
                <w:color w:val="auto"/>
              </w:rPr>
              <w:t>Percent of</w:t>
            </w:r>
          </w:p>
        </w:tc>
        <w:tc>
          <w:tcPr>
            <w:tcW w:w="26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Percent of</w:t>
            </w:r>
          </w:p>
        </w:tc>
        <w:tc>
          <w:tcPr>
            <w:tcW w:w="2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Percent of</w:t>
            </w:r>
          </w:p>
        </w:tc>
        <w:tc>
          <w:tcPr>
            <w:tcW w:w="2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Percent of</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w w:val="99"/>
              </w:rPr>
              <w:t>Amount</w:t>
            </w:r>
          </w:p>
        </w:tc>
        <w:tc>
          <w:tcPr>
            <w:tcW w:w="1220" w:type="dxa"/>
            <w:vAlign w:val="bottom"/>
            <w:gridSpan w:val="2"/>
          </w:tcPr>
          <w:p>
            <w:pPr>
              <w:jc w:val="right"/>
              <w:ind w:right="380"/>
              <w:spacing w:after="0"/>
              <w:rPr>
                <w:sz w:val="20"/>
                <w:szCs w:val="20"/>
                <w:color w:val="auto"/>
              </w:rPr>
            </w:pPr>
            <w:r>
              <w:rPr>
                <w:rFonts w:ascii="Arial" w:cs="Arial" w:eastAsia="Arial" w:hAnsi="Arial"/>
                <w:sz w:val="18"/>
                <w:szCs w:val="18"/>
                <w:color w:val="auto"/>
              </w:rPr>
              <w:t>Net Sales</w:t>
            </w:r>
          </w:p>
        </w:tc>
        <w:tc>
          <w:tcPr>
            <w:tcW w:w="120" w:type="dxa"/>
            <w:vAlign w:val="bottom"/>
          </w:tcPr>
          <w:p>
            <w:pPr>
              <w:spacing w:after="0"/>
              <w:rPr>
                <w:sz w:val="20"/>
                <w:szCs w:val="20"/>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w w:val="96"/>
              </w:rPr>
              <w:t>Amount</w:t>
            </w:r>
          </w:p>
        </w:tc>
        <w:tc>
          <w:tcPr>
            <w:tcW w:w="1220" w:type="dxa"/>
            <w:vAlign w:val="bottom"/>
            <w:gridSpan w:val="2"/>
          </w:tcPr>
          <w:p>
            <w:pPr>
              <w:jc w:val="right"/>
              <w:ind w:right="380"/>
              <w:spacing w:after="0"/>
              <w:rPr>
                <w:sz w:val="20"/>
                <w:szCs w:val="20"/>
                <w:color w:val="auto"/>
              </w:rPr>
            </w:pPr>
            <w:r>
              <w:rPr>
                <w:rFonts w:ascii="Arial" w:cs="Arial" w:eastAsia="Arial" w:hAnsi="Arial"/>
                <w:sz w:val="18"/>
                <w:szCs w:val="18"/>
                <w:color w:val="auto"/>
              </w:rPr>
              <w:t>Net Sales</w:t>
            </w:r>
          </w:p>
        </w:tc>
        <w:tc>
          <w:tcPr>
            <w:tcW w:w="120" w:type="dxa"/>
            <w:vAlign w:val="bottom"/>
          </w:tcPr>
          <w:p>
            <w:pPr>
              <w:spacing w:after="0"/>
              <w:rPr>
                <w:sz w:val="20"/>
                <w:szCs w:val="20"/>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w w:val="96"/>
              </w:rPr>
              <w:t>Amount</w:t>
            </w:r>
          </w:p>
        </w:tc>
        <w:tc>
          <w:tcPr>
            <w:tcW w:w="1220" w:type="dxa"/>
            <w:vAlign w:val="bottom"/>
            <w:gridSpan w:val="2"/>
          </w:tcPr>
          <w:p>
            <w:pPr>
              <w:jc w:val="right"/>
              <w:ind w:right="380"/>
              <w:spacing w:after="0"/>
              <w:rPr>
                <w:sz w:val="20"/>
                <w:szCs w:val="20"/>
                <w:color w:val="auto"/>
              </w:rPr>
            </w:pPr>
            <w:r>
              <w:rPr>
                <w:rFonts w:ascii="Arial" w:cs="Arial" w:eastAsia="Arial" w:hAnsi="Arial"/>
                <w:sz w:val="18"/>
                <w:szCs w:val="18"/>
                <w:color w:val="auto"/>
              </w:rPr>
              <w:t>Net Sales</w:t>
            </w:r>
          </w:p>
        </w:tc>
        <w:tc>
          <w:tcPr>
            <w:tcW w:w="120" w:type="dxa"/>
            <w:vAlign w:val="bottom"/>
          </w:tcPr>
          <w:p>
            <w:pPr>
              <w:spacing w:after="0"/>
              <w:rPr>
                <w:sz w:val="20"/>
                <w:szCs w:val="20"/>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w w:val="96"/>
              </w:rPr>
              <w:t>Amount</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Net Sales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tcPr>
          <w:p>
            <w:pPr>
              <w:ind w:left="160"/>
              <w:spacing w:after="0"/>
              <w:rPr>
                <w:sz w:val="20"/>
                <w:szCs w:val="20"/>
                <w:color w:val="auto"/>
              </w:rPr>
            </w:pPr>
            <w:r>
              <w:rPr>
                <w:rFonts w:ascii="Arial" w:cs="Arial" w:eastAsia="Arial" w:hAnsi="Arial"/>
                <w:sz w:val="18"/>
                <w:szCs w:val="18"/>
                <w:color w:val="auto"/>
                <w:w w:val="99"/>
              </w:rPr>
              <w:t>Furniture and accessories</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103,953</w:t>
            </w: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100,339</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398,097</w:t>
            </w: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377,196</w:t>
            </w: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Logistics</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14,272</w:t>
            </w: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13,447</w:t>
            </w:r>
          </w:p>
        </w:tc>
        <w:tc>
          <w:tcPr>
            <w:tcW w:w="94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54,406</w:t>
            </w: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54,842</w:t>
            </w: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96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940" w:type="dxa"/>
            <w:vAlign w:val="bottom"/>
            <w:shd w:val="clear" w:color="auto" w:fill="CCEEFF"/>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94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9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240" w:type="dxa"/>
            <w:vAlign w:val="bottom"/>
          </w:tcPr>
          <w:p>
            <w:pPr>
              <w:ind w:left="320"/>
              <w:spacing w:after="0"/>
              <w:rPr>
                <w:sz w:val="20"/>
                <w:szCs w:val="20"/>
                <w:color w:val="auto"/>
              </w:rPr>
            </w:pPr>
            <w:r>
              <w:rPr>
                <w:rFonts w:ascii="Arial" w:cs="Arial" w:eastAsia="Arial" w:hAnsi="Arial"/>
                <w:sz w:val="18"/>
                <w:szCs w:val="18"/>
                <w:color w:val="auto"/>
              </w:rPr>
              <w:t>Total sales revenue</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118,225</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113,786</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452,503</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432,038</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2240" w:type="dxa"/>
            <w:vAlign w:val="bottom"/>
          </w:tcPr>
          <w:p>
            <w:pPr>
              <w:spacing w:after="0" w:line="201" w:lineRule="exact"/>
              <w:rPr>
                <w:sz w:val="20"/>
                <w:szCs w:val="20"/>
                <w:color w:val="auto"/>
              </w:rPr>
            </w:pPr>
            <w:r>
              <w:rPr>
                <w:rFonts w:ascii="Arial" w:cs="Arial" w:eastAsia="Arial" w:hAnsi="Arial"/>
                <w:sz w:val="18"/>
                <w:szCs w:val="18"/>
                <w:color w:val="auto"/>
              </w:rPr>
              <w:t>Cost of furniture and</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40" w:type="dxa"/>
            <w:vAlign w:val="bottom"/>
          </w:tcPr>
          <w:p>
            <w:pPr>
              <w:ind w:left="160"/>
              <w:spacing w:after="0"/>
              <w:rPr>
                <w:sz w:val="20"/>
                <w:szCs w:val="20"/>
                <w:color w:val="auto"/>
              </w:rPr>
            </w:pPr>
            <w:r>
              <w:rPr>
                <w:rFonts w:ascii="Arial" w:cs="Arial" w:eastAsia="Arial" w:hAnsi="Arial"/>
                <w:sz w:val="18"/>
                <w:szCs w:val="18"/>
                <w:color w:val="auto"/>
              </w:rPr>
              <w:t>accessories sold</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45,380</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38.4%</w:t>
            </w: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43,023</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37.8%</w:t>
            </w: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177,579</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39.2%</w:t>
            </w: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167,519</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38.8%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2240" w:type="dxa"/>
            <w:vAlign w:val="bottom"/>
          </w:tcPr>
          <w:p>
            <w:pPr>
              <w:spacing w:after="0" w:line="201" w:lineRule="exact"/>
              <w:rPr>
                <w:sz w:val="20"/>
                <w:szCs w:val="20"/>
                <w:color w:val="auto"/>
              </w:rPr>
            </w:pPr>
            <w:r>
              <w:rPr>
                <w:rFonts w:ascii="Arial" w:cs="Arial" w:eastAsia="Arial" w:hAnsi="Arial"/>
                <w:sz w:val="18"/>
                <w:szCs w:val="18"/>
                <w:color w:val="auto"/>
              </w:rPr>
              <w:t>Selling, general and</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tcPr>
          <w:p>
            <w:pPr>
              <w:ind w:left="160"/>
              <w:spacing w:after="0"/>
              <w:rPr>
                <w:sz w:val="20"/>
                <w:szCs w:val="20"/>
                <w:color w:val="auto"/>
              </w:rPr>
            </w:pPr>
            <w:r>
              <w:rPr>
                <w:rFonts w:ascii="Arial" w:cs="Arial" w:eastAsia="Arial" w:hAnsi="Arial"/>
                <w:sz w:val="18"/>
                <w:szCs w:val="18"/>
                <w:color w:val="auto"/>
              </w:rPr>
              <w:t>administrative expenses</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tcPr>
          <w:p>
            <w:pPr>
              <w:ind w:left="160"/>
              <w:spacing w:after="0"/>
              <w:rPr>
                <w:sz w:val="20"/>
                <w:szCs w:val="20"/>
                <w:color w:val="auto"/>
              </w:rPr>
            </w:pPr>
            <w:r>
              <w:rPr>
                <w:rFonts w:ascii="Arial" w:cs="Arial" w:eastAsia="Arial" w:hAnsi="Arial"/>
                <w:sz w:val="18"/>
                <w:szCs w:val="18"/>
                <w:color w:val="auto"/>
              </w:rPr>
              <w:t>excluding new store pre-</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40" w:type="dxa"/>
            <w:vAlign w:val="bottom"/>
          </w:tcPr>
          <w:p>
            <w:pPr>
              <w:ind w:left="160"/>
              <w:spacing w:after="0"/>
              <w:rPr>
                <w:sz w:val="20"/>
                <w:szCs w:val="20"/>
                <w:color w:val="auto"/>
              </w:rPr>
            </w:pPr>
            <w:r>
              <w:rPr>
                <w:rFonts w:ascii="Arial" w:cs="Arial" w:eastAsia="Arial" w:hAnsi="Arial"/>
                <w:sz w:val="18"/>
                <w:szCs w:val="18"/>
                <w:color w:val="auto"/>
              </w:rPr>
              <w:t>opening costs</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64,521</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54.6%</w:t>
            </w: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61,333</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53.9%</w:t>
            </w: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245,493</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54.3%</w:t>
            </w: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235,178</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54.4%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w w:val="96"/>
              </w:rPr>
              <w:t>New store pre-opening costs</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830</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0.7%</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421</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0.4%</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2,413</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0.5%</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1,148</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240" w:type="dxa"/>
            <w:vAlign w:val="bottom"/>
          </w:tcPr>
          <w:p>
            <w:pPr>
              <w:ind w:left="160"/>
              <w:spacing w:after="0"/>
              <w:rPr>
                <w:sz w:val="20"/>
                <w:szCs w:val="20"/>
                <w:color w:val="auto"/>
              </w:rPr>
            </w:pPr>
            <w:r>
              <w:rPr>
                <w:rFonts w:ascii="Arial" w:cs="Arial" w:eastAsia="Arial" w:hAnsi="Arial"/>
                <w:sz w:val="18"/>
                <w:szCs w:val="18"/>
                <w:color w:val="auto"/>
              </w:rPr>
              <w:t>Income from operations</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7,494</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6.3%</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9,009</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7.9%</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27,018</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6.0%</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28,193</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40" w:type="dxa"/>
            <w:vAlign w:val="bottom"/>
          </w:tcPr>
          <w:p>
            <w:pPr>
              <w:spacing w:after="0"/>
              <w:rPr>
                <w:sz w:val="20"/>
                <w:szCs w:val="20"/>
                <w:color w:val="auto"/>
              </w:rPr>
            </w:pPr>
            <w:r>
              <w:rPr>
                <w:rFonts w:ascii="Arial" w:cs="Arial" w:eastAsia="Arial" w:hAnsi="Arial"/>
                <w:sz w:val="18"/>
                <w:szCs w:val="18"/>
                <w:color w:val="auto"/>
                <w:w w:val="99"/>
              </w:rPr>
              <w:t>Gain on sale of investments</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954</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0.8%</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4,221</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0.9%</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2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Impairment of investment real</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80" w:type="dxa"/>
            <w:vAlign w:val="bottom"/>
            <w:tcBorders>
              <w:right w:val="single" w:sz="8" w:color="CCEEFF"/>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estate</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(1,084)</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-0.2%</w:t>
            </w:r>
          </w:p>
        </w:tc>
        <w:tc>
          <w:tcPr>
            <w:tcW w:w="12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240" w:type="dxa"/>
            <w:vAlign w:val="bottom"/>
          </w:tcPr>
          <w:p>
            <w:pPr>
              <w:spacing w:after="0" w:line="201" w:lineRule="exact"/>
              <w:rPr>
                <w:sz w:val="20"/>
                <w:szCs w:val="20"/>
                <w:color w:val="auto"/>
              </w:rPr>
            </w:pPr>
            <w:r>
              <w:rPr>
                <w:rFonts w:ascii="Arial" w:cs="Arial" w:eastAsia="Arial" w:hAnsi="Arial"/>
                <w:sz w:val="18"/>
                <w:szCs w:val="18"/>
                <w:color w:val="auto"/>
              </w:rPr>
              <w:t>Income from Continued</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tcPr>
          <w:p>
            <w:pPr>
              <w:ind w:left="160"/>
              <w:spacing w:after="0"/>
              <w:rPr>
                <w:sz w:val="20"/>
                <w:szCs w:val="20"/>
                <w:color w:val="auto"/>
              </w:rPr>
            </w:pPr>
            <w:r>
              <w:rPr>
                <w:rFonts w:ascii="Arial" w:cs="Arial" w:eastAsia="Arial" w:hAnsi="Arial"/>
                <w:sz w:val="18"/>
                <w:szCs w:val="18"/>
                <w:color w:val="auto"/>
                <w:w w:val="97"/>
              </w:rPr>
              <w:t>Dumping &amp; Subsidy Offset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240" w:type="dxa"/>
            <w:vAlign w:val="bottom"/>
          </w:tcPr>
          <w:p>
            <w:pPr>
              <w:ind w:left="160"/>
              <w:spacing w:after="0"/>
              <w:rPr>
                <w:sz w:val="20"/>
                <w:szCs w:val="20"/>
                <w:color w:val="auto"/>
              </w:rPr>
            </w:pPr>
            <w:r>
              <w:rPr>
                <w:rFonts w:ascii="Arial" w:cs="Arial" w:eastAsia="Arial" w:hAnsi="Arial"/>
                <w:sz w:val="18"/>
                <w:szCs w:val="18"/>
                <w:color w:val="auto"/>
              </w:rPr>
              <w:t>Act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94</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240</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94</w:t>
            </w:r>
          </w:p>
        </w:tc>
        <w:tc>
          <w:tcPr>
            <w:tcW w:w="180" w:type="dxa"/>
            <w:vAlign w:val="bottom"/>
          </w:tcPr>
          <w:p>
            <w:pPr>
              <w:spacing w:after="0"/>
              <w:rPr>
                <w:sz w:val="20"/>
                <w:szCs w:val="20"/>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0.0%</w:t>
            </w:r>
          </w:p>
        </w:tc>
        <w:tc>
          <w:tcPr>
            <w:tcW w:w="12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240</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Other loss, net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(379)</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-0.3%</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(752)</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-0.7%</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(2,373)</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-0.5%</w:t>
            </w: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(2,656)</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2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8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240" w:type="dxa"/>
            <w:vAlign w:val="bottom"/>
          </w:tcPr>
          <w:p>
            <w:pPr>
              <w:spacing w:after="0"/>
              <w:rPr>
                <w:sz w:val="20"/>
                <w:szCs w:val="20"/>
                <w:color w:val="auto"/>
              </w:rPr>
            </w:pPr>
            <w:r>
              <w:rPr>
                <w:rFonts w:ascii="Arial" w:cs="Arial" w:eastAsia="Arial" w:hAnsi="Arial"/>
                <w:sz w:val="18"/>
                <w:szCs w:val="18"/>
                <w:color w:val="auto"/>
                <w:w w:val="98"/>
              </w:rPr>
              <w:t>Income before income taxes</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8,163</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6.9%</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8,497</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7.5%</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27,876</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6.2%</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25,777</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40" w:type="dxa"/>
            <w:vAlign w:val="bottom"/>
          </w:tcPr>
          <w:p>
            <w:pPr>
              <w:spacing w:after="0"/>
              <w:rPr>
                <w:sz w:val="20"/>
                <w:szCs w:val="20"/>
                <w:color w:val="auto"/>
              </w:rPr>
            </w:pPr>
            <w:r>
              <w:rPr>
                <w:rFonts w:ascii="Arial" w:cs="Arial" w:eastAsia="Arial" w:hAnsi="Arial"/>
                <w:sz w:val="18"/>
                <w:szCs w:val="18"/>
                <w:color w:val="auto"/>
              </w:rPr>
              <w:t>Income tax provision</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3,189</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3,452</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9,620</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9,948</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8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4,974</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5,045</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4.4%</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18,256</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15,829</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22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Basic earnings per share</w:t>
            </w:r>
          </w:p>
        </w:tc>
        <w:tc>
          <w:tcPr>
            <w:tcW w:w="8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0.46</w:t>
            </w:r>
          </w:p>
        </w:tc>
        <w:tc>
          <w:tcPr>
            <w:tcW w:w="9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0.47</w:t>
            </w:r>
          </w:p>
        </w:tc>
        <w:tc>
          <w:tcPr>
            <w:tcW w:w="940" w:type="dxa"/>
            <w:vAlign w:val="bottom"/>
            <w:shd w:val="clear" w:color="auto" w:fill="CCEEFF"/>
          </w:tcPr>
          <w:p>
            <w:pPr>
              <w:spacing w:after="0"/>
              <w:rPr>
                <w:sz w:val="22"/>
                <w:szCs w:val="22"/>
                <w:color w:val="auto"/>
              </w:rPr>
            </w:pPr>
          </w:p>
        </w:tc>
        <w:tc>
          <w:tcPr>
            <w:tcW w:w="280" w:type="dxa"/>
            <w:vAlign w:val="bottom"/>
            <w:tcBorders>
              <w:right w:val="single" w:sz="8" w:color="CCEEFF"/>
            </w:tcBorders>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1.71</w:t>
            </w:r>
          </w:p>
        </w:tc>
        <w:tc>
          <w:tcPr>
            <w:tcW w:w="9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1.47</w:t>
            </w:r>
          </w:p>
        </w:tc>
        <w:tc>
          <w:tcPr>
            <w:tcW w:w="9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22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80" w:type="dxa"/>
            <w:vAlign w:val="bottom"/>
            <w:tcBorders>
              <w:top w:val="single" w:sz="8" w:color="CCEEFF"/>
            </w:tcBorders>
          </w:tcPr>
          <w:p>
            <w:pPr>
              <w:spacing w:after="0"/>
              <w:rPr>
                <w:sz w:val="17"/>
                <w:szCs w:val="17"/>
                <w:color w:val="auto"/>
              </w:rPr>
            </w:pPr>
          </w:p>
        </w:tc>
        <w:tc>
          <w:tcPr>
            <w:tcW w:w="960" w:type="dxa"/>
            <w:vAlign w:val="bottom"/>
            <w:tcBorders>
              <w:top w:val="single" w:sz="8" w:color="CCEEFF"/>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80" w:type="dxa"/>
            <w:vAlign w:val="bottom"/>
            <w:tcBorders>
              <w:top w:val="single" w:sz="8" w:color="CCEEFF"/>
            </w:tcBorders>
          </w:tcPr>
          <w:p>
            <w:pPr>
              <w:spacing w:after="0"/>
              <w:rPr>
                <w:sz w:val="17"/>
                <w:szCs w:val="17"/>
                <w:color w:val="auto"/>
              </w:rPr>
            </w:pPr>
          </w:p>
        </w:tc>
        <w:tc>
          <w:tcPr>
            <w:tcW w:w="940" w:type="dxa"/>
            <w:vAlign w:val="bottom"/>
            <w:tcBorders>
              <w:top w:val="single" w:sz="8" w:color="CCEEFF"/>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80" w:type="dxa"/>
            <w:vAlign w:val="bottom"/>
            <w:tcBorders>
              <w:top w:val="single" w:sz="8" w:color="CCEEFF"/>
            </w:tcBorders>
          </w:tcPr>
          <w:p>
            <w:pPr>
              <w:spacing w:after="0"/>
              <w:rPr>
                <w:sz w:val="17"/>
                <w:szCs w:val="17"/>
                <w:color w:val="auto"/>
              </w:rPr>
            </w:pPr>
          </w:p>
        </w:tc>
        <w:tc>
          <w:tcPr>
            <w:tcW w:w="940" w:type="dxa"/>
            <w:vAlign w:val="bottom"/>
            <w:tcBorders>
              <w:top w:val="single" w:sz="8" w:color="CCEEFF"/>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80" w:type="dxa"/>
            <w:vAlign w:val="bottom"/>
            <w:tcBorders>
              <w:top w:val="single" w:sz="8" w:color="CCEEFF"/>
            </w:tcBorders>
          </w:tcPr>
          <w:p>
            <w:pPr>
              <w:spacing w:after="0"/>
              <w:rPr>
                <w:sz w:val="17"/>
                <w:szCs w:val="17"/>
                <w:color w:val="auto"/>
              </w:rPr>
            </w:pPr>
          </w:p>
        </w:tc>
        <w:tc>
          <w:tcPr>
            <w:tcW w:w="940" w:type="dxa"/>
            <w:vAlign w:val="bottom"/>
            <w:tcBorders>
              <w:top w:val="single" w:sz="8" w:color="CCEEFF"/>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Diluted earnings per share</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0.46</w:t>
            </w:r>
          </w:p>
        </w:tc>
        <w:tc>
          <w:tcPr>
            <w:tcW w:w="9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0.47</w:t>
            </w:r>
          </w:p>
        </w:tc>
        <w:tc>
          <w:tcPr>
            <w:tcW w:w="940" w:type="dxa"/>
            <w:vAlign w:val="bottom"/>
            <w:shd w:val="clear" w:color="auto" w:fill="CCEEFF"/>
          </w:tcPr>
          <w:p>
            <w:pPr>
              <w:spacing w:after="0"/>
              <w:rPr>
                <w:sz w:val="22"/>
                <w:szCs w:val="22"/>
                <w:color w:val="auto"/>
              </w:rPr>
            </w:pPr>
          </w:p>
        </w:tc>
        <w:tc>
          <w:tcPr>
            <w:tcW w:w="280" w:type="dxa"/>
            <w:vAlign w:val="bottom"/>
            <w:tcBorders>
              <w:right w:val="single" w:sz="8" w:color="CCEEFF"/>
            </w:tcBorders>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1.70</w:t>
            </w:r>
          </w:p>
        </w:tc>
        <w:tc>
          <w:tcPr>
            <w:tcW w:w="9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1.46</w:t>
            </w:r>
          </w:p>
        </w:tc>
        <w:tc>
          <w:tcPr>
            <w:tcW w:w="9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555"/>
        </w:trPr>
        <w:tc>
          <w:tcPr>
            <w:tcW w:w="20" w:type="dxa"/>
            <w:vAlign w:val="bottom"/>
          </w:tcPr>
          <w:p>
            <w:pPr>
              <w:spacing w:after="0"/>
              <w:rPr>
                <w:sz w:val="24"/>
                <w:szCs w:val="24"/>
                <w:color w:val="auto"/>
              </w:rPr>
            </w:pPr>
          </w:p>
        </w:tc>
        <w:tc>
          <w:tcPr>
            <w:tcW w:w="224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78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CCEEFF"/>
              <w:bottom w:val="single" w:sz="8" w:color="auto"/>
            </w:tcBorders>
          </w:tcPr>
          <w:p>
            <w:pPr>
              <w:spacing w:after="0"/>
              <w:rPr>
                <w:sz w:val="24"/>
                <w:szCs w:val="24"/>
                <w:color w:val="auto"/>
              </w:rPr>
            </w:pPr>
          </w:p>
        </w:tc>
        <w:tc>
          <w:tcPr>
            <w:tcW w:w="960" w:type="dxa"/>
            <w:vAlign w:val="bottom"/>
            <w:tcBorders>
              <w:top w:val="single" w:sz="8" w:color="CCEEFF"/>
              <w:bottom w:val="single" w:sz="8" w:color="auto"/>
            </w:tcBorders>
          </w:tcPr>
          <w:p>
            <w:pPr>
              <w:spacing w:after="0"/>
              <w:rPr>
                <w:sz w:val="24"/>
                <w:szCs w:val="24"/>
                <w:color w:val="auto"/>
              </w:rPr>
            </w:pPr>
          </w:p>
        </w:tc>
        <w:tc>
          <w:tcPr>
            <w:tcW w:w="26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78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CCEEFF"/>
              <w:bottom w:val="single" w:sz="8" w:color="auto"/>
            </w:tcBorders>
          </w:tcPr>
          <w:p>
            <w:pPr>
              <w:spacing w:after="0"/>
              <w:rPr>
                <w:sz w:val="24"/>
                <w:szCs w:val="24"/>
                <w:color w:val="auto"/>
              </w:rPr>
            </w:pPr>
          </w:p>
        </w:tc>
        <w:tc>
          <w:tcPr>
            <w:tcW w:w="940" w:type="dxa"/>
            <w:vAlign w:val="bottom"/>
            <w:tcBorders>
              <w:top w:val="single" w:sz="8" w:color="CCEEFF"/>
              <w:bottom w:val="single" w:sz="8" w:color="auto"/>
            </w:tcBorders>
          </w:tcPr>
          <w:p>
            <w:pPr>
              <w:spacing w:after="0"/>
              <w:rPr>
                <w:sz w:val="24"/>
                <w:szCs w:val="24"/>
                <w:color w:val="auto"/>
              </w:rPr>
            </w:pPr>
          </w:p>
        </w:tc>
        <w:tc>
          <w:tcPr>
            <w:tcW w:w="28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78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CCEEFF"/>
              <w:bottom w:val="single" w:sz="8" w:color="auto"/>
            </w:tcBorders>
          </w:tcPr>
          <w:p>
            <w:pPr>
              <w:spacing w:after="0"/>
              <w:rPr>
                <w:sz w:val="24"/>
                <w:szCs w:val="24"/>
                <w:color w:val="auto"/>
              </w:rPr>
            </w:pPr>
          </w:p>
        </w:tc>
        <w:tc>
          <w:tcPr>
            <w:tcW w:w="940" w:type="dxa"/>
            <w:vAlign w:val="bottom"/>
            <w:tcBorders>
              <w:top w:val="single" w:sz="8" w:color="CCEEFF"/>
              <w:bottom w:val="single" w:sz="8" w:color="auto"/>
            </w:tcBorders>
          </w:tcPr>
          <w:p>
            <w:pPr>
              <w:spacing w:after="0"/>
              <w:rPr>
                <w:sz w:val="24"/>
                <w:szCs w:val="24"/>
                <w:color w:val="auto"/>
              </w:rPr>
            </w:pPr>
          </w:p>
        </w:tc>
        <w:tc>
          <w:tcPr>
            <w:tcW w:w="28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78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CCEEFF"/>
              <w:bottom w:val="single" w:sz="8" w:color="auto"/>
            </w:tcBorders>
          </w:tcPr>
          <w:p>
            <w:pPr>
              <w:spacing w:after="0"/>
              <w:rPr>
                <w:sz w:val="24"/>
                <w:szCs w:val="24"/>
                <w:color w:val="auto"/>
              </w:rPr>
            </w:pPr>
          </w:p>
        </w:tc>
        <w:tc>
          <w:tcPr>
            <w:tcW w:w="940" w:type="dxa"/>
            <w:vAlign w:val="bottom"/>
            <w:tcBorders>
              <w:top w:val="single" w:sz="8" w:color="CCEEFF"/>
              <w:bottom w:val="single" w:sz="8" w:color="auto"/>
            </w:tcBorders>
          </w:tcPr>
          <w:p>
            <w:pPr>
              <w:spacing w:after="0"/>
              <w:rPr>
                <w:sz w:val="24"/>
                <w:szCs w:val="24"/>
                <w:color w:val="auto"/>
              </w:rPr>
            </w:pPr>
          </w:p>
        </w:tc>
        <w:tc>
          <w:tcPr>
            <w:tcW w:w="160" w:type="dxa"/>
            <w:vAlign w:val="bottom"/>
            <w:tcBorders>
              <w:top w:val="single" w:sz="8" w:color="CCEEFF"/>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4"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460"/>
              <w:spacing w:after="0"/>
              <w:rPr>
                <w:sz w:val="20"/>
                <w:szCs w:val="20"/>
                <w:color w:val="auto"/>
              </w:rPr>
            </w:pPr>
            <w:r>
              <w:rPr>
                <w:rFonts w:ascii="Arial" w:cs="Arial" w:eastAsia="Arial" w:hAnsi="Arial"/>
                <w:sz w:val="18"/>
                <w:szCs w:val="18"/>
                <w:color w:val="auto"/>
              </w:rPr>
              <w:t>(Unaudited)</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1640" w:type="dxa"/>
            <w:vAlign w:val="bottom"/>
            <w:gridSpan w:val="3"/>
          </w:tcPr>
          <w:p>
            <w:pPr>
              <w:jc w:val="right"/>
              <w:ind w:right="160"/>
              <w:spacing w:after="0"/>
              <w:rPr>
                <w:sz w:val="20"/>
                <w:szCs w:val="20"/>
                <w:color w:val="auto"/>
              </w:rPr>
            </w:pPr>
            <w:r>
              <w:rPr>
                <w:rFonts w:ascii="Arial" w:cs="Arial" w:eastAsia="Arial" w:hAnsi="Arial"/>
                <w:sz w:val="18"/>
                <w:szCs w:val="18"/>
                <w:color w:val="auto"/>
                <w:w w:val="92"/>
              </w:rPr>
              <w:t>November 25, 2017</w:t>
            </w:r>
          </w:p>
        </w:tc>
        <w:tc>
          <w:tcPr>
            <w:tcW w:w="80" w:type="dxa"/>
            <w:vAlign w:val="bottom"/>
          </w:tcPr>
          <w:p>
            <w:pPr>
              <w:spacing w:after="0"/>
              <w:rPr>
                <w:sz w:val="20"/>
                <w:szCs w:val="20"/>
                <w:color w:val="auto"/>
              </w:rPr>
            </w:pPr>
          </w:p>
        </w:tc>
        <w:tc>
          <w:tcPr>
            <w:tcW w:w="1580" w:type="dxa"/>
            <w:vAlign w:val="bottom"/>
            <w:gridSpan w:val="3"/>
          </w:tcPr>
          <w:p>
            <w:pPr>
              <w:ind w:left="20"/>
              <w:spacing w:after="0"/>
              <w:rPr>
                <w:sz w:val="20"/>
                <w:szCs w:val="20"/>
                <w:color w:val="auto"/>
              </w:rPr>
            </w:pPr>
            <w:r>
              <w:rPr>
                <w:rFonts w:ascii="Arial" w:cs="Arial" w:eastAsia="Arial" w:hAnsi="Arial"/>
                <w:sz w:val="18"/>
                <w:szCs w:val="18"/>
                <w:color w:val="auto"/>
                <w:w w:val="97"/>
              </w:rPr>
              <w:t>November 26, 2016</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580" w:type="dxa"/>
            <w:vAlign w:val="bottom"/>
            <w:gridSpan w:val="3"/>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Assets</w:t>
            </w:r>
          </w:p>
        </w:tc>
        <w:tc>
          <w:tcPr>
            <w:tcW w:w="2520" w:type="dxa"/>
            <w:vAlign w:val="bottom"/>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1300" w:type="dxa"/>
            <w:vAlign w:val="bottom"/>
            <w:tcBorders>
              <w:top w:val="single" w:sz="8" w:color="auto"/>
            </w:tcBorders>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80" w:type="dxa"/>
            <w:vAlign w:val="bottom"/>
            <w:tcBorders>
              <w:top w:val="single" w:sz="8" w:color="auto"/>
            </w:tcBorders>
            <w:shd w:val="clear" w:color="auto" w:fill="CCEEFF"/>
          </w:tcPr>
          <w:p>
            <w:pPr>
              <w:spacing w:after="0"/>
              <w:rPr>
                <w:sz w:val="14"/>
                <w:szCs w:val="14"/>
                <w:color w:val="auto"/>
              </w:rPr>
            </w:pPr>
          </w:p>
        </w:tc>
        <w:tc>
          <w:tcPr>
            <w:tcW w:w="1000" w:type="dxa"/>
            <w:vAlign w:val="bottom"/>
            <w:tcBorders>
              <w:top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6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2820" w:type="dxa"/>
            <w:vAlign w:val="bottom"/>
            <w:tcBorders>
              <w:top w:val="single" w:sz="8" w:color="CCEEFF"/>
            </w:tcBorders>
            <w:shd w:val="clear" w:color="auto" w:fill="CCEEFF"/>
          </w:tcPr>
          <w:p>
            <w:pPr>
              <w:spacing w:after="0" w:line="20" w:lineRule="exact"/>
              <w:rPr>
                <w:sz w:val="1"/>
                <w:szCs w:val="1"/>
                <w:color w:val="auto"/>
              </w:rPr>
            </w:pPr>
          </w:p>
        </w:tc>
        <w:tc>
          <w:tcPr>
            <w:tcW w:w="25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3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10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80" w:type="dxa"/>
            <w:vAlign w:val="bottom"/>
            <w:gridSpan w:val="3"/>
          </w:tcPr>
          <w:p>
            <w:pPr>
              <w:spacing w:after="0"/>
              <w:rPr>
                <w:sz w:val="20"/>
                <w:szCs w:val="20"/>
                <w:color w:val="auto"/>
              </w:rPr>
            </w:pPr>
            <w:r>
              <w:rPr>
                <w:rFonts w:ascii="Arial" w:cs="Arial" w:eastAsia="Arial" w:hAnsi="Arial"/>
                <w:sz w:val="18"/>
                <w:szCs w:val="18"/>
                <w:b w:val="1"/>
                <w:bCs w:val="1"/>
                <w:color w:val="auto"/>
              </w:rPr>
              <w:t>Current assets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Cash and cash equivalents</w:t>
            </w:r>
          </w:p>
        </w:tc>
        <w:tc>
          <w:tcPr>
            <w:tcW w:w="27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53,949</w:t>
            </w:r>
          </w:p>
        </w:tc>
        <w:tc>
          <w:tcPr>
            <w:tcW w:w="5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35,144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Short-term investments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23,125</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23,125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Accounts receivable, net</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19,640</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18,358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Inventories, net</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54,476</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53,215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Other current assets</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8,192</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10,727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2820" w:type="dxa"/>
            <w:vAlign w:val="bottom"/>
            <w:shd w:val="clear" w:color="auto" w:fill="CCEEFF"/>
          </w:tcPr>
          <w:p>
            <w:pPr>
              <w:spacing w:after="0" w:line="20" w:lineRule="exact"/>
              <w:rPr>
                <w:sz w:val="1"/>
                <w:szCs w:val="1"/>
                <w:color w:val="auto"/>
              </w:rPr>
            </w:pPr>
          </w:p>
        </w:tc>
        <w:tc>
          <w:tcPr>
            <w:tcW w:w="252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580" w:type="dxa"/>
            <w:vAlign w:val="bottom"/>
            <w:gridSpan w:val="3"/>
          </w:tcPr>
          <w:p>
            <w:pPr>
              <w:spacing w:after="0"/>
              <w:rPr>
                <w:sz w:val="20"/>
                <w:szCs w:val="20"/>
                <w:color w:val="auto"/>
              </w:rPr>
            </w:pPr>
            <w:r>
              <w:rPr>
                <w:rFonts w:ascii="Arial" w:cs="Arial" w:eastAsia="Arial" w:hAnsi="Arial"/>
                <w:sz w:val="18"/>
                <w:szCs w:val="18"/>
                <w:color w:val="auto"/>
              </w:rPr>
              <w:t>Total current assets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159,382</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140,569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2820" w:type="dxa"/>
            <w:vAlign w:val="bottom"/>
            <w:shd w:val="clear" w:color="auto" w:fill="CCEEFF"/>
          </w:tcPr>
          <w:p>
            <w:pPr>
              <w:spacing w:after="0"/>
              <w:rPr>
                <w:sz w:val="18"/>
                <w:szCs w:val="18"/>
                <w:color w:val="auto"/>
              </w:rPr>
            </w:pPr>
          </w:p>
        </w:tc>
        <w:tc>
          <w:tcPr>
            <w:tcW w:w="252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80" w:type="dxa"/>
            <w:vAlign w:val="bottom"/>
            <w:gridSpan w:val="3"/>
          </w:tcPr>
          <w:p>
            <w:pPr>
              <w:spacing w:after="0"/>
              <w:rPr>
                <w:sz w:val="20"/>
                <w:szCs w:val="20"/>
                <w:color w:val="auto"/>
              </w:rPr>
            </w:pPr>
            <w:r>
              <w:rPr>
                <w:rFonts w:ascii="Arial" w:cs="Arial" w:eastAsia="Arial" w:hAnsi="Arial"/>
                <w:sz w:val="18"/>
                <w:szCs w:val="18"/>
                <w:color w:val="auto"/>
              </w:rPr>
              <w:t>Property and equipment, net</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103,244</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104,655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2820" w:type="dxa"/>
            <w:vAlign w:val="bottom"/>
            <w:shd w:val="clear" w:color="auto" w:fill="CCEEFF"/>
          </w:tcPr>
          <w:p>
            <w:pPr>
              <w:spacing w:after="0"/>
              <w:rPr>
                <w:sz w:val="18"/>
                <w:szCs w:val="18"/>
                <w:color w:val="auto"/>
              </w:rPr>
            </w:pP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80" w:type="dxa"/>
            <w:vAlign w:val="bottom"/>
            <w:gridSpan w:val="3"/>
          </w:tcPr>
          <w:p>
            <w:pPr>
              <w:spacing w:after="0"/>
              <w:rPr>
                <w:sz w:val="20"/>
                <w:szCs w:val="20"/>
                <w:color w:val="auto"/>
              </w:rPr>
            </w:pPr>
            <w:r>
              <w:rPr>
                <w:rFonts w:ascii="Arial" w:cs="Arial" w:eastAsia="Arial" w:hAnsi="Arial"/>
                <w:sz w:val="18"/>
                <w:szCs w:val="18"/>
                <w:b w:val="1"/>
                <w:bCs w:val="1"/>
                <w:color w:val="auto"/>
              </w:rPr>
              <w:t>Other long-term assets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Deferred income taxes, net</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8,393</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Goodwill and other intangible assets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17,351</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17,360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Other</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5,378</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7,612</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2820" w:type="dxa"/>
            <w:vAlign w:val="bottom"/>
            <w:shd w:val="clear" w:color="auto" w:fill="CCEEFF"/>
          </w:tcPr>
          <w:p>
            <w:pPr>
              <w:spacing w:after="0" w:line="20" w:lineRule="exact"/>
              <w:rPr>
                <w:sz w:val="1"/>
                <w:szCs w:val="1"/>
                <w:color w:val="auto"/>
              </w:rPr>
            </w:pPr>
          </w:p>
        </w:tc>
        <w:tc>
          <w:tcPr>
            <w:tcW w:w="252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580" w:type="dxa"/>
            <w:vAlign w:val="bottom"/>
            <w:gridSpan w:val="3"/>
          </w:tcPr>
          <w:p>
            <w:pPr>
              <w:spacing w:after="0"/>
              <w:rPr>
                <w:sz w:val="20"/>
                <w:szCs w:val="20"/>
                <w:color w:val="auto"/>
              </w:rPr>
            </w:pPr>
            <w:r>
              <w:rPr>
                <w:rFonts w:ascii="Arial" w:cs="Arial" w:eastAsia="Arial" w:hAnsi="Arial"/>
                <w:sz w:val="18"/>
                <w:szCs w:val="18"/>
                <w:color w:val="auto"/>
              </w:rPr>
              <w:t>Total long-term assets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31,122</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33,043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558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25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293,748</w:t>
            </w:r>
          </w:p>
        </w:tc>
        <w:tc>
          <w:tcPr>
            <w:tcW w:w="5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278,267</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60" w:type="dxa"/>
            <w:vAlign w:val="bottom"/>
            <w:tcBorders>
              <w:top w:val="single" w:sz="8" w:color="CCEEFF"/>
            </w:tcBorders>
          </w:tcPr>
          <w:p>
            <w:pPr>
              <w:spacing w:after="0"/>
              <w:rPr>
                <w:sz w:val="17"/>
                <w:szCs w:val="17"/>
                <w:color w:val="auto"/>
              </w:rPr>
            </w:pPr>
          </w:p>
        </w:tc>
        <w:tc>
          <w:tcPr>
            <w:tcW w:w="2300" w:type="dxa"/>
            <w:vAlign w:val="bottom"/>
            <w:tcBorders>
              <w:top w:val="single" w:sz="8" w:color="CCEEFF"/>
            </w:tcBorders>
          </w:tcPr>
          <w:p>
            <w:pPr>
              <w:spacing w:after="0"/>
              <w:rPr>
                <w:sz w:val="17"/>
                <w:szCs w:val="17"/>
                <w:color w:val="auto"/>
              </w:rPr>
            </w:pPr>
          </w:p>
        </w:tc>
        <w:tc>
          <w:tcPr>
            <w:tcW w:w="2820" w:type="dxa"/>
            <w:vAlign w:val="bottom"/>
            <w:tcBorders>
              <w:top w:val="single" w:sz="8" w:color="CCEEFF"/>
            </w:tcBorders>
          </w:tcPr>
          <w:p>
            <w:pPr>
              <w:spacing w:after="0"/>
              <w:rPr>
                <w:sz w:val="17"/>
                <w:szCs w:val="17"/>
                <w:color w:val="auto"/>
              </w:rPr>
            </w:pPr>
          </w:p>
        </w:tc>
        <w:tc>
          <w:tcPr>
            <w:tcW w:w="252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vMerge w:val="continue"/>
          </w:tcPr>
          <w:p>
            <w:pPr>
              <w:spacing w:after="0"/>
              <w:rPr>
                <w:sz w:val="17"/>
                <w:szCs w:val="17"/>
                <w:color w:val="auto"/>
              </w:rPr>
            </w:pPr>
          </w:p>
        </w:tc>
        <w:tc>
          <w:tcPr>
            <w:tcW w:w="5580" w:type="dxa"/>
            <w:vAlign w:val="bottom"/>
            <w:gridSpan w:val="3"/>
            <w:shd w:val="clear" w:color="auto" w:fill="CCEEFF"/>
          </w:tcPr>
          <w:p>
            <w:pPr>
              <w:spacing w:after="0" w:line="176" w:lineRule="exact"/>
              <w:rPr>
                <w:sz w:val="20"/>
                <w:szCs w:val="20"/>
                <w:color w:val="auto"/>
              </w:rPr>
            </w:pPr>
            <w:r>
              <w:rPr>
                <w:rFonts w:ascii="Arial" w:cs="Arial" w:eastAsia="Arial" w:hAnsi="Arial"/>
                <w:sz w:val="18"/>
                <w:szCs w:val="18"/>
                <w:b w:val="1"/>
                <w:bCs w:val="1"/>
                <w:color w:val="auto"/>
              </w:rPr>
              <w:t>Liabilities and Stockholders’ Equity</w:t>
            </w:r>
          </w:p>
        </w:tc>
        <w:tc>
          <w:tcPr>
            <w:tcW w:w="25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6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rPr>
              <w:t>Current liabilities</w:t>
            </w:r>
          </w:p>
        </w:tc>
        <w:tc>
          <w:tcPr>
            <w:tcW w:w="2820" w:type="dxa"/>
            <w:vAlign w:val="bottom"/>
            <w:tcBorders>
              <w:top w:val="single" w:sz="8" w:color="CCEEFF"/>
            </w:tcBorders>
          </w:tcPr>
          <w:p>
            <w:pPr>
              <w:spacing w:after="0"/>
              <w:rPr>
                <w:sz w:val="18"/>
                <w:szCs w:val="18"/>
                <w:color w:val="auto"/>
              </w:rPr>
            </w:pPr>
          </w:p>
        </w:tc>
        <w:tc>
          <w:tcPr>
            <w:tcW w:w="25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3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00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Accounts payable</w:t>
            </w:r>
          </w:p>
        </w:tc>
        <w:tc>
          <w:tcPr>
            <w:tcW w:w="27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21,760</w:t>
            </w:r>
          </w:p>
        </w:tc>
        <w:tc>
          <w:tcPr>
            <w:tcW w:w="5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21,281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Accrued compensation and benefits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14,670</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13,602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Customer deposits</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27,107</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25,181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Dividends payable</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3,759</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3,218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Current portion of long-term debt</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3,405</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Other accrued liabilities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12,655</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10,441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5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current liabilities</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83,356</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77,013</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2820" w:type="dxa"/>
            <w:vAlign w:val="bottom"/>
            <w:tcBorders>
              <w:top w:val="single" w:sz="8" w:color="CCEEFF"/>
            </w:tcBorders>
          </w:tcPr>
          <w:p>
            <w:pPr>
              <w:spacing w:after="0"/>
              <w:rPr>
                <w:sz w:val="18"/>
                <w:szCs w:val="18"/>
                <w:color w:val="auto"/>
              </w:rPr>
            </w:pPr>
          </w:p>
        </w:tc>
        <w:tc>
          <w:tcPr>
            <w:tcW w:w="252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8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Long-term liabilities</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Post employment benefit obligations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13,326</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12,760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Long-term debt</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329</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Other long-term liabilities</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5,277</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3,968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5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long-term liabilities</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18,932</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20,549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2820" w:type="dxa"/>
            <w:vAlign w:val="bottom"/>
            <w:tcBorders>
              <w:top w:val="single" w:sz="8" w:color="CCEEFF"/>
            </w:tcBorders>
          </w:tcPr>
          <w:p>
            <w:pPr>
              <w:spacing w:after="0"/>
              <w:rPr>
                <w:sz w:val="18"/>
                <w:szCs w:val="18"/>
                <w:color w:val="auto"/>
              </w:rPr>
            </w:pPr>
          </w:p>
        </w:tc>
        <w:tc>
          <w:tcPr>
            <w:tcW w:w="252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8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Common stock</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53,690</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53,615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Retained earnings</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139,378</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129,388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tcPr>
          <w:p>
            <w:pPr>
              <w:ind w:left="160"/>
              <w:spacing w:after="0"/>
              <w:rPr>
                <w:sz w:val="20"/>
                <w:szCs w:val="20"/>
                <w:color w:val="auto"/>
              </w:rPr>
            </w:pPr>
            <w:r>
              <w:rPr>
                <w:rFonts w:ascii="Arial" w:cs="Arial" w:eastAsia="Arial" w:hAnsi="Arial"/>
                <w:sz w:val="18"/>
                <w:szCs w:val="18"/>
                <w:color w:val="auto"/>
              </w:rPr>
              <w:t>Additional paid-in-capital</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962</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255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Accumulated other comprehensive loss</w:t>
            </w:r>
          </w:p>
        </w:tc>
        <w:tc>
          <w:tcPr>
            <w:tcW w:w="2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(2,570)</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(2,553)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2820" w:type="dxa"/>
            <w:vAlign w:val="bottom"/>
            <w:shd w:val="clear" w:color="auto" w:fill="CCEEFF"/>
          </w:tcPr>
          <w:p>
            <w:pPr>
              <w:spacing w:after="0" w:line="20" w:lineRule="exact"/>
              <w:rPr>
                <w:sz w:val="1"/>
                <w:szCs w:val="1"/>
                <w:color w:val="auto"/>
              </w:rPr>
            </w:pPr>
          </w:p>
        </w:tc>
        <w:tc>
          <w:tcPr>
            <w:tcW w:w="252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580" w:type="dxa"/>
            <w:vAlign w:val="bottom"/>
            <w:gridSpan w:val="3"/>
          </w:tcPr>
          <w:p>
            <w:pPr>
              <w:spacing w:after="0"/>
              <w:rPr>
                <w:sz w:val="20"/>
                <w:szCs w:val="20"/>
                <w:color w:val="auto"/>
              </w:rPr>
            </w:pPr>
            <w:r>
              <w:rPr>
                <w:rFonts w:ascii="Arial" w:cs="Arial" w:eastAsia="Arial" w:hAnsi="Arial"/>
                <w:sz w:val="18"/>
                <w:szCs w:val="18"/>
                <w:color w:val="auto"/>
              </w:rPr>
              <w:t>Total stockholders' equity</w:t>
            </w:r>
          </w:p>
        </w:tc>
        <w:tc>
          <w:tcPr>
            <w:tcW w:w="2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191,460</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180,705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558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25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293,748</w:t>
            </w:r>
          </w:p>
        </w:tc>
        <w:tc>
          <w:tcPr>
            <w:tcW w:w="5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278,267</w:t>
            </w:r>
          </w:p>
        </w:tc>
        <w:tc>
          <w:tcPr>
            <w:tcW w:w="0" w:type="dxa"/>
            <w:vAlign w:val="bottom"/>
          </w:tcPr>
          <w:p>
            <w:pPr>
              <w:spacing w:after="0"/>
              <w:rPr>
                <w:sz w:val="1"/>
                <w:szCs w:val="1"/>
                <w:color w:val="auto"/>
              </w:rPr>
            </w:pPr>
          </w:p>
        </w:tc>
      </w:tr>
      <w:tr>
        <w:trPr>
          <w:trHeight w:val="555"/>
        </w:trPr>
        <w:tc>
          <w:tcPr>
            <w:tcW w:w="20" w:type="dxa"/>
            <w:vAlign w:val="bottom"/>
          </w:tcPr>
          <w:p>
            <w:pPr>
              <w:spacing w:after="0"/>
              <w:rPr>
                <w:sz w:val="24"/>
                <w:szCs w:val="24"/>
                <w:color w:val="auto"/>
              </w:rPr>
            </w:pPr>
          </w:p>
        </w:tc>
        <w:tc>
          <w:tcPr>
            <w:tcW w:w="460" w:type="dxa"/>
            <w:vAlign w:val="bottom"/>
            <w:tcBorders>
              <w:top w:val="single" w:sz="8" w:color="CCEEFF"/>
              <w:bottom w:val="single" w:sz="8" w:color="auto"/>
            </w:tcBorders>
          </w:tcPr>
          <w:p>
            <w:pPr>
              <w:spacing w:after="0"/>
              <w:rPr>
                <w:sz w:val="24"/>
                <w:szCs w:val="24"/>
                <w:color w:val="auto"/>
              </w:rPr>
            </w:pPr>
          </w:p>
        </w:tc>
        <w:tc>
          <w:tcPr>
            <w:tcW w:w="2300" w:type="dxa"/>
            <w:vAlign w:val="bottom"/>
            <w:tcBorders>
              <w:top w:val="single" w:sz="8" w:color="CCEEFF"/>
              <w:bottom w:val="single" w:sz="8" w:color="auto"/>
            </w:tcBorders>
          </w:tcPr>
          <w:p>
            <w:pPr>
              <w:spacing w:after="0"/>
              <w:rPr>
                <w:sz w:val="24"/>
                <w:szCs w:val="24"/>
                <w:color w:val="auto"/>
              </w:rPr>
            </w:pPr>
          </w:p>
        </w:tc>
        <w:tc>
          <w:tcPr>
            <w:tcW w:w="2820" w:type="dxa"/>
            <w:vAlign w:val="bottom"/>
            <w:tcBorders>
              <w:top w:val="single" w:sz="8" w:color="CCEEFF"/>
              <w:bottom w:val="single" w:sz="8" w:color="auto"/>
            </w:tcBorders>
          </w:tcPr>
          <w:p>
            <w:pPr>
              <w:spacing w:after="0"/>
              <w:rPr>
                <w:sz w:val="24"/>
                <w:szCs w:val="24"/>
                <w:color w:val="auto"/>
              </w:rPr>
            </w:pPr>
          </w:p>
        </w:tc>
        <w:tc>
          <w:tcPr>
            <w:tcW w:w="2520" w:type="dxa"/>
            <w:vAlign w:val="bottom"/>
            <w:tcBorders>
              <w:top w:val="single" w:sz="8" w:color="CCEEFF"/>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130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480" w:type="dxa"/>
            <w:vAlign w:val="bottom"/>
            <w:tcBorders>
              <w:top w:val="single" w:sz="8" w:color="auto"/>
              <w:bottom w:val="single" w:sz="8" w:color="auto"/>
            </w:tcBorders>
          </w:tcPr>
          <w:p>
            <w:pPr>
              <w:spacing w:after="0"/>
              <w:rPr>
                <w:sz w:val="24"/>
                <w:szCs w:val="24"/>
                <w:color w:val="auto"/>
              </w:rPr>
            </w:pPr>
          </w:p>
        </w:tc>
        <w:tc>
          <w:tcPr>
            <w:tcW w:w="100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4"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Consolidated Statements of Cash Flows - 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800" w:type="dxa"/>
            <w:vAlign w:val="bottom"/>
            <w:tcBorders>
              <w:bottom w:val="single" w:sz="8" w:color="auto"/>
            </w:tcBorders>
            <w:gridSpan w:val="4"/>
          </w:tcPr>
          <w:p>
            <w:pPr>
              <w:ind w:left="660"/>
              <w:spacing w:after="0"/>
              <w:rPr>
                <w:sz w:val="20"/>
                <w:szCs w:val="20"/>
                <w:color w:val="auto"/>
              </w:rPr>
            </w:pPr>
            <w:r>
              <w:rPr>
                <w:rFonts w:ascii="Arial" w:cs="Arial" w:eastAsia="Arial" w:hAnsi="Arial"/>
                <w:sz w:val="18"/>
                <w:szCs w:val="18"/>
                <w:color w:val="auto"/>
              </w:rPr>
              <w:t>Year Ended</w:t>
            </w:r>
          </w:p>
        </w:tc>
        <w:tc>
          <w:tcPr>
            <w:tcW w:w="8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tcPr>
          <w:p>
            <w:pPr>
              <w:spacing w:after="0"/>
              <w:rPr>
                <w:sz w:val="18"/>
                <w:szCs w:val="18"/>
                <w:color w:val="auto"/>
              </w:rPr>
            </w:pPr>
          </w:p>
        </w:tc>
        <w:tc>
          <w:tcPr>
            <w:tcW w:w="1640" w:type="dxa"/>
            <w:vAlign w:val="bottom"/>
            <w:gridSpan w:val="3"/>
          </w:tcPr>
          <w:p>
            <w:pPr>
              <w:jc w:val="right"/>
              <w:ind w:right="160"/>
              <w:spacing w:after="0"/>
              <w:rPr>
                <w:sz w:val="20"/>
                <w:szCs w:val="20"/>
                <w:color w:val="auto"/>
              </w:rPr>
            </w:pPr>
            <w:r>
              <w:rPr>
                <w:rFonts w:ascii="Arial" w:cs="Arial" w:eastAsia="Arial" w:hAnsi="Arial"/>
                <w:sz w:val="18"/>
                <w:szCs w:val="18"/>
                <w:color w:val="auto"/>
                <w:w w:val="92"/>
              </w:rPr>
              <w:t>November 25, 2017</w:t>
            </w:r>
          </w:p>
        </w:tc>
        <w:tc>
          <w:tcPr>
            <w:tcW w:w="80" w:type="dxa"/>
            <w:vAlign w:val="bottom"/>
          </w:tcPr>
          <w:p>
            <w:pPr>
              <w:spacing w:after="0"/>
              <w:rPr>
                <w:sz w:val="18"/>
                <w:szCs w:val="18"/>
                <w:color w:val="auto"/>
              </w:rPr>
            </w:pPr>
          </w:p>
        </w:tc>
        <w:tc>
          <w:tcPr>
            <w:tcW w:w="1480" w:type="dxa"/>
            <w:vAlign w:val="bottom"/>
            <w:gridSpan w:val="2"/>
          </w:tcPr>
          <w:p>
            <w:pPr>
              <w:ind w:left="20"/>
              <w:spacing w:after="0"/>
              <w:rPr>
                <w:sz w:val="20"/>
                <w:szCs w:val="20"/>
                <w:color w:val="auto"/>
              </w:rPr>
            </w:pPr>
            <w:r>
              <w:rPr>
                <w:rFonts w:ascii="Arial" w:cs="Arial" w:eastAsia="Arial" w:hAnsi="Arial"/>
                <w:sz w:val="18"/>
                <w:szCs w:val="18"/>
                <w:color w:val="auto"/>
                <w:w w:val="91"/>
              </w:rPr>
              <w:t>November 26, 2016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5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color w:val="auto"/>
              </w:rPr>
              <w:t>Net income</w:t>
            </w:r>
          </w:p>
        </w:tc>
        <w:tc>
          <w:tcPr>
            <w:tcW w:w="520" w:type="dxa"/>
            <w:vAlign w:val="bottom"/>
          </w:tcPr>
          <w:p>
            <w:pPr>
              <w:jc w:val="right"/>
              <w:ind w:right="33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18,256</w:t>
            </w:r>
          </w:p>
        </w:tc>
        <w:tc>
          <w:tcPr>
            <w:tcW w:w="140" w:type="dxa"/>
            <w:vAlign w:val="bottom"/>
          </w:tcPr>
          <w:p>
            <w:pPr>
              <w:spacing w:after="0"/>
              <w:rPr>
                <w:sz w:val="18"/>
                <w:szCs w:val="18"/>
                <w:color w:val="auto"/>
              </w:rPr>
            </w:pPr>
          </w:p>
        </w:tc>
        <w:tc>
          <w:tcPr>
            <w:tcW w:w="6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15,829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(used in) operating activities:</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Arial" w:cs="Arial" w:eastAsia="Arial" w:hAnsi="Arial"/>
                <w:sz w:val="18"/>
                <w:szCs w:val="18"/>
                <w:color w:val="auto"/>
              </w:rPr>
              <w:t>Depreciation and amortization</w:t>
            </w: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13,312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12,249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Provision for asset impairment charge</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Arial" w:cs="Arial" w:eastAsia="Arial" w:hAnsi="Arial"/>
                <w:sz w:val="18"/>
                <w:szCs w:val="18"/>
                <w:color w:val="auto"/>
              </w:rPr>
              <w:t>Gain on sale of property and equipment</w:t>
            </w:r>
          </w:p>
        </w:tc>
        <w:tc>
          <w:tcPr>
            <w:tcW w:w="52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(1,190)</w:t>
            </w: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Gain on sale of investments</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(4,221)</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Arial" w:cs="Arial" w:eastAsia="Arial" w:hAnsi="Arial"/>
                <w:sz w:val="18"/>
                <w:szCs w:val="18"/>
                <w:color w:val="auto"/>
              </w:rPr>
              <w:t>Tenant improvement allowances received from lessors</w:t>
            </w: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1,643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914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Deferred income taxes</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(302)</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Arial" w:cs="Arial" w:eastAsia="Arial" w:hAnsi="Arial"/>
                <w:sz w:val="18"/>
                <w:szCs w:val="18"/>
                <w:color w:val="auto"/>
              </w:rPr>
              <w:t>Collateral deposited with insurance carrier</w:t>
            </w: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(300)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Other, net</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Arial" w:cs="Arial" w:eastAsia="Arial" w:hAnsi="Arial"/>
                <w:sz w:val="18"/>
                <w:szCs w:val="18"/>
                <w:color w:val="auto"/>
              </w:rPr>
              <w:t>Changes in operating assets and liabilities</w:t>
            </w:r>
          </w:p>
        </w:tc>
        <w:tc>
          <w:tcPr>
            <w:tcW w:w="5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80"/>
              <w:spacing w:after="0"/>
              <w:rPr>
                <w:sz w:val="20"/>
                <w:szCs w:val="20"/>
                <w:color w:val="auto"/>
              </w:rPr>
            </w:pPr>
            <w:r>
              <w:rPr>
                <w:rFonts w:ascii="Arial" w:cs="Arial" w:eastAsia="Arial" w:hAnsi="Arial"/>
                <w:sz w:val="18"/>
                <w:szCs w:val="18"/>
                <w:color w:val="auto"/>
              </w:rPr>
              <w:t>Accounts receivable</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(1,225)</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80"/>
              <w:spacing w:after="0"/>
              <w:rPr>
                <w:sz w:val="20"/>
                <w:szCs w:val="20"/>
                <w:color w:val="auto"/>
              </w:rPr>
            </w:pPr>
            <w:r>
              <w:rPr>
                <w:rFonts w:ascii="Arial" w:cs="Arial" w:eastAsia="Arial" w:hAnsi="Arial"/>
                <w:sz w:val="18"/>
                <w:szCs w:val="18"/>
                <w:color w:val="auto"/>
              </w:rPr>
              <w:t>Inventories</w:t>
            </w:r>
          </w:p>
        </w:tc>
        <w:tc>
          <w:tcPr>
            <w:tcW w:w="52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(918)</w:t>
            </w: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6,681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80"/>
              <w:spacing w:after="0"/>
              <w:rPr>
                <w:sz w:val="20"/>
                <w:szCs w:val="20"/>
                <w:color w:val="auto"/>
              </w:rPr>
            </w:pPr>
            <w:r>
              <w:rPr>
                <w:rFonts w:ascii="Arial" w:cs="Arial" w:eastAsia="Arial" w:hAnsi="Arial"/>
                <w:sz w:val="18"/>
                <w:szCs w:val="18"/>
                <w:color w:val="auto"/>
              </w:rPr>
              <w:t>Other current and long-term assets</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80"/>
              <w:spacing w:after="0"/>
              <w:rPr>
                <w:sz w:val="20"/>
                <w:szCs w:val="20"/>
                <w:color w:val="auto"/>
              </w:rPr>
            </w:pPr>
            <w:r>
              <w:rPr>
                <w:rFonts w:ascii="Arial" w:cs="Arial" w:eastAsia="Arial" w:hAnsi="Arial"/>
                <w:sz w:val="18"/>
                <w:szCs w:val="18"/>
                <w:color w:val="auto"/>
              </w:rPr>
              <w:t>Customer deposits</w:t>
            </w: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1,926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80"/>
              <w:spacing w:after="0"/>
              <w:rPr>
                <w:sz w:val="20"/>
                <w:szCs w:val="20"/>
                <w:color w:val="auto"/>
              </w:rPr>
            </w:pPr>
            <w:r>
              <w:rPr>
                <w:rFonts w:ascii="Arial" w:cs="Arial" w:eastAsia="Arial" w:hAnsi="Arial"/>
                <w:sz w:val="18"/>
                <w:szCs w:val="18"/>
                <w:color w:val="auto"/>
              </w:rPr>
              <w:t>Accounts payable and accrued liabilities</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4,138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(3,471)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tcBorders>
              <w:top w:val="single" w:sz="8" w:color="CCEEFF"/>
            </w:tcBorders>
          </w:tcPr>
          <w:p>
            <w:pPr>
              <w:ind w:left="320"/>
              <w:spacing w:after="0"/>
              <w:rPr>
                <w:sz w:val="20"/>
                <w:szCs w:val="20"/>
                <w:color w:val="auto"/>
              </w:rPr>
            </w:pPr>
            <w:r>
              <w:rPr>
                <w:rFonts w:ascii="Arial" w:cs="Arial" w:eastAsia="Arial" w:hAnsi="Arial"/>
                <w:sz w:val="18"/>
                <w:szCs w:val="18"/>
                <w:b w:val="1"/>
                <w:bCs w:val="1"/>
                <w:color w:val="auto"/>
              </w:rPr>
              <w:t>Net cash provided by operating activities</w:t>
            </w:r>
          </w:p>
        </w:tc>
        <w:tc>
          <w:tcPr>
            <w:tcW w:w="52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36,384</w:t>
            </w: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60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39,062</w:t>
            </w: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b w:val="1"/>
                <w:bCs w:val="1"/>
                <w:color w:val="auto"/>
              </w:rPr>
              <w:t>Investing activities:</w:t>
            </w:r>
          </w:p>
        </w:tc>
        <w:tc>
          <w:tcPr>
            <w:tcW w:w="5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Purchases of property and equipment</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(15,500)</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(21,501)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color w:val="auto"/>
              </w:rPr>
              <w:t>Proceeds from sale of retail real estate and property and equipment</w:t>
            </w: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4,474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667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sale of investments</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5,546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color w:val="auto"/>
              </w:rPr>
              <w:t>Acquisition of retail licensee store</w:t>
            </w:r>
          </w:p>
        </w:tc>
        <w:tc>
          <w:tcPr>
            <w:tcW w:w="52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(655)</w:t>
            </w: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Arial" w:cs="Arial" w:eastAsia="Arial" w:hAnsi="Arial"/>
                <w:sz w:val="18"/>
                <w:szCs w:val="18"/>
                <w:b w:val="1"/>
                <w:bCs w:val="1"/>
                <w:color w:val="auto"/>
              </w:rPr>
              <w:t>Net cash used in investing activities</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(6,135)</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(20,834)</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100" w:type="dxa"/>
            <w:vAlign w:val="bottom"/>
            <w:tcBorders>
              <w:top w:val="single" w:sz="8" w:color="CCEEFF"/>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color w:val="auto"/>
              </w:rPr>
              <w:t>Cash dividends</w:t>
            </w:r>
          </w:p>
        </w:tc>
        <w:tc>
          <w:tcPr>
            <w:tcW w:w="52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(7,725)</w:t>
            </w: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(6,311)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the exercise of stock options</w:t>
            </w: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color w:val="auto"/>
              </w:rPr>
              <w:t>Other issuance of common stock</w:t>
            </w: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168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Repurchases of common stock</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(83)</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(6,393)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color w:val="auto"/>
              </w:rPr>
              <w:t>Taxes paid related to net share settlement of equity awards</w:t>
            </w:r>
          </w:p>
        </w:tc>
        <w:tc>
          <w:tcPr>
            <w:tcW w:w="52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(641)</w:t>
            </w: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Repayments of notes payable</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(3,473)</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(14,251)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color w:val="auto"/>
              </w:rPr>
              <w:t>Proceeds from equipment loans</w:t>
            </w:r>
          </w:p>
        </w:tc>
        <w:tc>
          <w:tcPr>
            <w:tcW w:w="5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7,384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Arial" w:cs="Arial" w:eastAsia="Arial" w:hAnsi="Arial"/>
                <w:sz w:val="18"/>
                <w:szCs w:val="18"/>
                <w:b w:val="1"/>
                <w:bCs w:val="1"/>
                <w:color w:val="auto"/>
              </w:rPr>
              <w:t>Net cash used in financing activities</w:t>
            </w:r>
          </w:p>
        </w:tc>
        <w:tc>
          <w:tcPr>
            <w:tcW w:w="5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(11,444)</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(19,352)</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10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b w:val="1"/>
                <w:bCs w:val="1"/>
                <w:color w:val="auto"/>
              </w:rPr>
              <w:t>Change in cash and cash equivalents</w:t>
            </w: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18,805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(1,124)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 beginning of period</w:t>
            </w:r>
          </w:p>
        </w:tc>
        <w:tc>
          <w:tcPr>
            <w:tcW w:w="52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35,144</w:t>
            </w:r>
          </w:p>
        </w:tc>
        <w:tc>
          <w:tcPr>
            <w:tcW w:w="1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36,268</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120" w:type="dxa"/>
            <w:vAlign w:val="bottom"/>
            <w:gridSpan w:val="2"/>
          </w:tcPr>
          <w:p>
            <w:pPr>
              <w:spacing w:after="0"/>
              <w:rPr>
                <w:sz w:val="20"/>
                <w:szCs w:val="20"/>
                <w:color w:val="auto"/>
              </w:rPr>
            </w:pPr>
            <w:r>
              <w:rPr>
                <w:rFonts w:ascii="Arial" w:cs="Arial" w:eastAsia="Arial" w:hAnsi="Arial"/>
                <w:sz w:val="18"/>
                <w:szCs w:val="18"/>
                <w:b w:val="1"/>
                <w:bCs w:val="1"/>
                <w:color w:val="auto"/>
              </w:rPr>
              <w:t>Cash and cash equivalents - end of period</w:t>
            </w:r>
          </w:p>
        </w:tc>
        <w:tc>
          <w:tcPr>
            <w:tcW w:w="520" w:type="dxa"/>
            <w:vAlign w:val="bottom"/>
          </w:tcPr>
          <w:p>
            <w:pPr>
              <w:jc w:val="right"/>
              <w:ind w:right="33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53,949</w:t>
            </w:r>
          </w:p>
        </w:tc>
        <w:tc>
          <w:tcPr>
            <w:tcW w:w="140" w:type="dxa"/>
            <w:vAlign w:val="bottom"/>
          </w:tcPr>
          <w:p>
            <w:pPr>
              <w:spacing w:after="0"/>
              <w:rPr>
                <w:sz w:val="18"/>
                <w:szCs w:val="18"/>
                <w:color w:val="auto"/>
              </w:rPr>
            </w:pPr>
          </w:p>
        </w:tc>
        <w:tc>
          <w:tcPr>
            <w:tcW w:w="6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35,144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5"/>
        </w:trPr>
        <w:tc>
          <w:tcPr>
            <w:tcW w:w="20" w:type="dxa"/>
            <w:vAlign w:val="bottom"/>
          </w:tcPr>
          <w:p>
            <w:pPr>
              <w:spacing w:after="0"/>
              <w:rPr>
                <w:sz w:val="24"/>
                <w:szCs w:val="24"/>
                <w:color w:val="auto"/>
              </w:rPr>
            </w:pPr>
          </w:p>
        </w:tc>
        <w:tc>
          <w:tcPr>
            <w:tcW w:w="81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4"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Segment Information - 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416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500" w:type="dxa"/>
            <w:vAlign w:val="bottom"/>
            <w:gridSpan w:val="4"/>
          </w:tcPr>
          <w:p>
            <w:pPr>
              <w:jc w:val="right"/>
              <w:ind w:right="960"/>
              <w:spacing w:after="0"/>
              <w:rPr>
                <w:sz w:val="20"/>
                <w:szCs w:val="20"/>
                <w:color w:val="auto"/>
              </w:rPr>
            </w:pPr>
            <w:r>
              <w:rPr>
                <w:rFonts w:ascii="Arial" w:cs="Arial" w:eastAsia="Arial" w:hAnsi="Arial"/>
                <w:sz w:val="18"/>
                <w:szCs w:val="18"/>
                <w:color w:val="auto"/>
              </w:rPr>
              <w:t>Quarter Ended</w:t>
            </w:r>
          </w:p>
        </w:tc>
        <w:tc>
          <w:tcPr>
            <w:tcW w:w="240" w:type="dxa"/>
            <w:vAlign w:val="bottom"/>
          </w:tcPr>
          <w:p>
            <w:pPr>
              <w:spacing w:after="0"/>
              <w:rPr>
                <w:sz w:val="20"/>
                <w:szCs w:val="20"/>
                <w:color w:val="auto"/>
              </w:rPr>
            </w:pP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Year Ended</w:t>
            </w: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416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300" w:type="dxa"/>
            <w:vAlign w:val="bottom"/>
            <w:tcBorders>
              <w:top w:val="single" w:sz="8" w:color="auto"/>
            </w:tcBorders>
            <w:gridSpan w:val="2"/>
          </w:tcPr>
          <w:p>
            <w:pPr>
              <w:jc w:val="right"/>
              <w:ind w:right="130"/>
              <w:spacing w:after="0" w:line="195" w:lineRule="exact"/>
              <w:rPr>
                <w:sz w:val="20"/>
                <w:szCs w:val="20"/>
                <w:color w:val="auto"/>
              </w:rPr>
            </w:pPr>
            <w:r>
              <w:rPr>
                <w:rFonts w:ascii="Arial" w:cs="Arial" w:eastAsia="Arial" w:hAnsi="Arial"/>
                <w:sz w:val="18"/>
                <w:szCs w:val="18"/>
                <w:color w:val="auto"/>
                <w:w w:val="93"/>
              </w:rPr>
              <w:t>November 25,</w:t>
            </w:r>
          </w:p>
        </w:tc>
        <w:tc>
          <w:tcPr>
            <w:tcW w:w="1240" w:type="dxa"/>
            <w:vAlign w:val="bottom"/>
            <w:tcBorders>
              <w:top w:val="single" w:sz="8" w:color="auto"/>
            </w:tcBorders>
            <w:gridSpan w:val="2"/>
          </w:tcPr>
          <w:p>
            <w:pPr>
              <w:jc w:val="right"/>
              <w:spacing w:after="0" w:line="195" w:lineRule="exact"/>
              <w:rPr>
                <w:sz w:val="20"/>
                <w:szCs w:val="20"/>
                <w:color w:val="auto"/>
              </w:rPr>
            </w:pPr>
            <w:r>
              <w:rPr>
                <w:rFonts w:ascii="Arial" w:cs="Arial" w:eastAsia="Arial" w:hAnsi="Arial"/>
                <w:sz w:val="18"/>
                <w:szCs w:val="18"/>
                <w:color w:val="auto"/>
              </w:rPr>
              <w:t>November 26,</w:t>
            </w:r>
          </w:p>
        </w:tc>
        <w:tc>
          <w:tcPr>
            <w:tcW w:w="200" w:type="dxa"/>
            <w:vAlign w:val="bottom"/>
          </w:tcPr>
          <w:p>
            <w:pPr>
              <w:spacing w:after="0"/>
              <w:rPr>
                <w:sz w:val="16"/>
                <w:szCs w:val="16"/>
                <w:color w:val="auto"/>
              </w:rPr>
            </w:pPr>
          </w:p>
        </w:tc>
        <w:tc>
          <w:tcPr>
            <w:tcW w:w="1280" w:type="dxa"/>
            <w:vAlign w:val="bottom"/>
            <w:tcBorders>
              <w:top w:val="single" w:sz="8" w:color="auto"/>
            </w:tcBorders>
            <w:gridSpan w:val="2"/>
          </w:tcPr>
          <w:p>
            <w:pPr>
              <w:jc w:val="right"/>
              <w:ind w:right="110"/>
              <w:spacing w:after="0" w:line="195" w:lineRule="exact"/>
              <w:rPr>
                <w:sz w:val="20"/>
                <w:szCs w:val="20"/>
                <w:color w:val="auto"/>
              </w:rPr>
            </w:pPr>
            <w:r>
              <w:rPr>
                <w:rFonts w:ascii="Arial" w:cs="Arial" w:eastAsia="Arial" w:hAnsi="Arial"/>
                <w:sz w:val="18"/>
                <w:szCs w:val="18"/>
                <w:color w:val="auto"/>
                <w:w w:val="93"/>
              </w:rPr>
              <w:t>November 25,</w:t>
            </w:r>
          </w:p>
        </w:tc>
        <w:tc>
          <w:tcPr>
            <w:tcW w:w="1220" w:type="dxa"/>
            <w:vAlign w:val="bottom"/>
            <w:tcBorders>
              <w:top w:val="single" w:sz="8" w:color="auto"/>
            </w:tcBorders>
            <w:gridSpan w:val="2"/>
          </w:tcPr>
          <w:p>
            <w:pPr>
              <w:jc w:val="right"/>
              <w:spacing w:after="0" w:line="195" w:lineRule="exact"/>
              <w:rPr>
                <w:sz w:val="20"/>
                <w:szCs w:val="20"/>
                <w:color w:val="auto"/>
              </w:rPr>
            </w:pPr>
            <w:r>
              <w:rPr>
                <w:rFonts w:ascii="Arial" w:cs="Arial" w:eastAsia="Arial" w:hAnsi="Arial"/>
                <w:sz w:val="18"/>
                <w:szCs w:val="18"/>
                <w:color w:val="auto"/>
              </w:rPr>
              <w:t>November 26,</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16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color w:val="auto"/>
              </w:rPr>
              <w:t>2017</w:t>
            </w:r>
          </w:p>
        </w:tc>
        <w:tc>
          <w:tcPr>
            <w:tcW w:w="3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2016</w:t>
            </w:r>
          </w:p>
        </w:tc>
        <w:tc>
          <w:tcPr>
            <w:tcW w:w="2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2017</w:t>
            </w:r>
          </w:p>
        </w:tc>
        <w:tc>
          <w:tcPr>
            <w:tcW w:w="4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w w:val="94"/>
              </w:rPr>
              <w:t>2016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Sales</w:t>
            </w:r>
          </w:p>
        </w:tc>
        <w:tc>
          <w:tcPr>
            <w:tcW w:w="1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Wholesale</w:t>
            </w:r>
          </w:p>
        </w:tc>
        <w:tc>
          <w:tcPr>
            <w:tcW w:w="21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63,168</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62,561</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249,193</w:t>
            </w:r>
          </w:p>
        </w:tc>
        <w:tc>
          <w:tcPr>
            <w:tcW w:w="42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240,346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Retail - Company-owned stores</w:t>
            </w:r>
          </w:p>
        </w:tc>
        <w:tc>
          <w:tcPr>
            <w:tcW w:w="1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72,125</w:t>
            </w:r>
          </w:p>
        </w:tc>
        <w:tc>
          <w:tcPr>
            <w:tcW w:w="3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69,913</w:t>
            </w:r>
          </w:p>
        </w:tc>
        <w:tc>
          <w:tcPr>
            <w:tcW w:w="24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268,264</w:t>
            </w:r>
          </w:p>
        </w:tc>
        <w:tc>
          <w:tcPr>
            <w:tcW w:w="4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254,667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Logistical services</w:t>
            </w:r>
          </w:p>
        </w:tc>
        <w:tc>
          <w:tcPr>
            <w:tcW w:w="1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25,693</w:t>
            </w:r>
          </w:p>
        </w:tc>
        <w:tc>
          <w:tcPr>
            <w:tcW w:w="3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24,227</w:t>
            </w:r>
          </w:p>
        </w:tc>
        <w:tc>
          <w:tcPr>
            <w:tcW w:w="240" w:type="dxa"/>
            <w:vAlign w:val="bottom"/>
          </w:tcPr>
          <w:p>
            <w:pPr>
              <w:spacing w:after="0"/>
              <w:rPr>
                <w:sz w:val="18"/>
                <w:szCs w:val="18"/>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97,578</w:t>
            </w:r>
          </w:p>
        </w:tc>
        <w:tc>
          <w:tcPr>
            <w:tcW w:w="4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95,707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Inter-company eliminations:</w:t>
            </w:r>
          </w:p>
        </w:tc>
        <w:tc>
          <w:tcPr>
            <w:tcW w:w="1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Furniture and accessories</w:t>
            </w:r>
          </w:p>
        </w:tc>
        <w:tc>
          <w:tcPr>
            <w:tcW w:w="1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(31,340)</w:t>
            </w:r>
          </w:p>
        </w:tc>
        <w:tc>
          <w:tcPr>
            <w:tcW w:w="34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(32,135)</w:t>
            </w:r>
          </w:p>
        </w:tc>
        <w:tc>
          <w:tcPr>
            <w:tcW w:w="2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(119,360)</w:t>
            </w:r>
          </w:p>
        </w:tc>
        <w:tc>
          <w:tcPr>
            <w:tcW w:w="42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(117,817)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Logistical services</w:t>
            </w:r>
          </w:p>
        </w:tc>
        <w:tc>
          <w:tcPr>
            <w:tcW w:w="1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(11,421)</w:t>
            </w:r>
          </w:p>
        </w:tc>
        <w:tc>
          <w:tcPr>
            <w:tcW w:w="3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(10,780)</w:t>
            </w:r>
          </w:p>
        </w:tc>
        <w:tc>
          <w:tcPr>
            <w:tcW w:w="2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(43,172)</w:t>
            </w:r>
          </w:p>
        </w:tc>
        <w:tc>
          <w:tcPr>
            <w:tcW w:w="4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(40,865)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shd w:val="clear" w:color="auto" w:fill="CCEEFF"/>
          </w:tcPr>
          <w:p>
            <w:pPr>
              <w:spacing w:after="0" w:line="20" w:lineRule="exact"/>
              <w:rPr>
                <w:sz w:val="1"/>
                <w:szCs w:val="1"/>
                <w:color w:val="auto"/>
              </w:rPr>
            </w:pPr>
          </w:p>
        </w:tc>
        <w:tc>
          <w:tcPr>
            <w:tcW w:w="190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180" w:type="dxa"/>
            <w:vAlign w:val="bottom"/>
            <w:gridSpan w:val="2"/>
          </w:tcPr>
          <w:p>
            <w:pPr>
              <w:spacing w:after="0"/>
              <w:rPr>
                <w:sz w:val="20"/>
                <w:szCs w:val="20"/>
                <w:color w:val="auto"/>
              </w:rPr>
            </w:pPr>
            <w:r>
              <w:rPr>
                <w:rFonts w:ascii="Arial" w:cs="Arial" w:eastAsia="Arial" w:hAnsi="Arial"/>
                <w:sz w:val="18"/>
                <w:szCs w:val="18"/>
                <w:color w:val="auto"/>
              </w:rPr>
              <w:t>Consolidated</w:t>
            </w:r>
          </w:p>
        </w:tc>
        <w:tc>
          <w:tcPr>
            <w:tcW w:w="21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118,225</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113,786</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452,503</w:t>
            </w:r>
          </w:p>
        </w:tc>
        <w:tc>
          <w:tcPr>
            <w:tcW w:w="42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432,038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160" w:type="dxa"/>
            <w:vAlign w:val="bottom"/>
            <w:shd w:val="clear" w:color="auto" w:fill="CCEEFF"/>
          </w:tcPr>
          <w:p>
            <w:pPr>
              <w:spacing w:after="0"/>
              <w:rPr>
                <w:sz w:val="17"/>
                <w:szCs w:val="17"/>
                <w:color w:val="auto"/>
              </w:rPr>
            </w:pPr>
          </w:p>
        </w:tc>
        <w:tc>
          <w:tcPr>
            <w:tcW w:w="19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b w:val="1"/>
                <w:bCs w:val="1"/>
                <w:color w:val="auto"/>
              </w:rPr>
              <w:t>Operating Income</w:t>
            </w:r>
          </w:p>
        </w:tc>
        <w:tc>
          <w:tcPr>
            <w:tcW w:w="1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Wholesale</w:t>
            </w:r>
          </w:p>
        </w:tc>
        <w:tc>
          <w:tcPr>
            <w:tcW w:w="21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3,979</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4,292</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19,121</w:t>
            </w:r>
          </w:p>
        </w:tc>
        <w:tc>
          <w:tcPr>
            <w:tcW w:w="42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18,672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Retail</w:t>
            </w:r>
          </w:p>
        </w:tc>
        <w:tc>
          <w:tcPr>
            <w:tcW w:w="1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2,113</w:t>
            </w:r>
          </w:p>
        </w:tc>
        <w:tc>
          <w:tcPr>
            <w:tcW w:w="3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2,868</w:t>
            </w:r>
          </w:p>
        </w:tc>
        <w:tc>
          <w:tcPr>
            <w:tcW w:w="240" w:type="dxa"/>
            <w:vAlign w:val="bottom"/>
          </w:tcPr>
          <w:p>
            <w:pPr>
              <w:spacing w:after="0"/>
              <w:rPr>
                <w:sz w:val="18"/>
                <w:szCs w:val="18"/>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3,490</w:t>
            </w:r>
          </w:p>
        </w:tc>
        <w:tc>
          <w:tcPr>
            <w:tcW w:w="4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4,333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Logistical services</w:t>
            </w:r>
          </w:p>
        </w:tc>
        <w:tc>
          <w:tcPr>
            <w:tcW w:w="1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1,226</w:t>
            </w:r>
          </w:p>
        </w:tc>
        <w:tc>
          <w:tcPr>
            <w:tcW w:w="3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1,432</w:t>
            </w:r>
          </w:p>
        </w:tc>
        <w:tc>
          <w:tcPr>
            <w:tcW w:w="24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2,962</w:t>
            </w:r>
          </w:p>
        </w:tc>
        <w:tc>
          <w:tcPr>
            <w:tcW w:w="4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Inter-company elimination</w:t>
            </w:r>
          </w:p>
        </w:tc>
        <w:tc>
          <w:tcPr>
            <w:tcW w:w="19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176</w:t>
            </w:r>
          </w:p>
        </w:tc>
        <w:tc>
          <w:tcPr>
            <w:tcW w:w="3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417</w:t>
            </w:r>
          </w:p>
        </w:tc>
        <w:tc>
          <w:tcPr>
            <w:tcW w:w="2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1,445</w:t>
            </w:r>
          </w:p>
        </w:tc>
        <w:tc>
          <w:tcPr>
            <w:tcW w:w="4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1,677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Consolidated</w:t>
            </w:r>
          </w:p>
        </w:tc>
        <w:tc>
          <w:tcPr>
            <w:tcW w:w="21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7,494</w:t>
            </w:r>
          </w:p>
        </w:tc>
        <w:tc>
          <w:tcPr>
            <w:tcW w:w="34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9,009</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27,018</w:t>
            </w:r>
          </w:p>
        </w:tc>
        <w:tc>
          <w:tcPr>
            <w:tcW w:w="42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28,193</w:t>
            </w:r>
          </w:p>
        </w:tc>
        <w:tc>
          <w:tcPr>
            <w:tcW w:w="0" w:type="dxa"/>
            <w:vAlign w:val="bottom"/>
          </w:tcPr>
          <w:p>
            <w:pPr>
              <w:spacing w:after="0"/>
              <w:rPr>
                <w:sz w:val="1"/>
                <w:szCs w:val="1"/>
                <w:color w:val="auto"/>
              </w:rPr>
            </w:pPr>
          </w:p>
        </w:tc>
      </w:tr>
      <w:tr>
        <w:trPr>
          <w:trHeight w:val="555"/>
        </w:trPr>
        <w:tc>
          <w:tcPr>
            <w:tcW w:w="20" w:type="dxa"/>
            <w:vAlign w:val="bottom"/>
          </w:tcPr>
          <w:p>
            <w:pPr>
              <w:spacing w:after="0"/>
              <w:rPr>
                <w:sz w:val="24"/>
                <w:szCs w:val="24"/>
                <w:color w:val="auto"/>
              </w:rPr>
            </w:pPr>
          </w:p>
        </w:tc>
        <w:tc>
          <w:tcPr>
            <w:tcW w:w="4160" w:type="dxa"/>
            <w:vAlign w:val="bottom"/>
            <w:tcBorders>
              <w:top w:val="single" w:sz="8" w:color="CCEEFF"/>
              <w:bottom w:val="single" w:sz="8" w:color="auto"/>
            </w:tcBorders>
          </w:tcPr>
          <w:p>
            <w:pPr>
              <w:spacing w:after="0"/>
              <w:rPr>
                <w:sz w:val="24"/>
                <w:szCs w:val="24"/>
                <w:color w:val="auto"/>
              </w:rPr>
            </w:pPr>
          </w:p>
        </w:tc>
        <w:tc>
          <w:tcPr>
            <w:tcW w:w="1900" w:type="dxa"/>
            <w:vAlign w:val="bottom"/>
            <w:tcBorders>
              <w:top w:val="single" w:sz="8" w:color="CCEEFF"/>
              <w:bottom w:val="single" w:sz="8" w:color="auto"/>
            </w:tcBorders>
          </w:tcPr>
          <w:p>
            <w:pPr>
              <w:spacing w:after="0"/>
              <w:rPr>
                <w:sz w:val="24"/>
                <w:szCs w:val="24"/>
                <w:color w:val="auto"/>
              </w:rPr>
            </w:pPr>
          </w:p>
        </w:tc>
        <w:tc>
          <w:tcPr>
            <w:tcW w:w="240" w:type="dxa"/>
            <w:vAlign w:val="bottom"/>
            <w:tcBorders>
              <w:top w:val="single" w:sz="8" w:color="auto"/>
              <w:bottom w:val="single" w:sz="8" w:color="auto"/>
            </w:tcBorders>
          </w:tcPr>
          <w:p>
            <w:pPr>
              <w:spacing w:after="0"/>
              <w:rPr>
                <w:sz w:val="24"/>
                <w:szCs w:val="24"/>
                <w:color w:val="auto"/>
              </w:rPr>
            </w:pPr>
          </w:p>
        </w:tc>
        <w:tc>
          <w:tcPr>
            <w:tcW w:w="106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90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CCEEFF"/>
              <w:bottom w:val="single" w:sz="8" w:color="auto"/>
            </w:tcBorders>
          </w:tcPr>
          <w:p>
            <w:pPr>
              <w:spacing w:after="0"/>
              <w:rPr>
                <w:sz w:val="24"/>
                <w:szCs w:val="24"/>
                <w:color w:val="auto"/>
              </w:rPr>
            </w:pPr>
          </w:p>
        </w:tc>
        <w:tc>
          <w:tcPr>
            <w:tcW w:w="240" w:type="dxa"/>
            <w:vAlign w:val="bottom"/>
            <w:tcBorders>
              <w:top w:val="single" w:sz="8" w:color="auto"/>
              <w:bottom w:val="single" w:sz="8" w:color="auto"/>
            </w:tcBorders>
          </w:tcPr>
          <w:p>
            <w:pPr>
              <w:spacing w:after="0"/>
              <w:rPr>
                <w:sz w:val="24"/>
                <w:szCs w:val="24"/>
                <w:color w:val="auto"/>
              </w:rPr>
            </w:pPr>
          </w:p>
        </w:tc>
        <w:tc>
          <w:tcPr>
            <w:tcW w:w="104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80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4"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Rollforward of BHF Store Count</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420" w:type="dxa"/>
            <w:vAlign w:val="bottom"/>
          </w:tcPr>
          <w:p>
            <w:pPr>
              <w:jc w:val="right"/>
              <w:ind w:right="230"/>
              <w:spacing w:after="0"/>
              <w:rPr>
                <w:sz w:val="20"/>
                <w:szCs w:val="20"/>
                <w:color w:val="auto"/>
              </w:rPr>
            </w:pPr>
            <w:r>
              <w:rPr>
                <w:rFonts w:ascii="Arial" w:cs="Arial" w:eastAsia="Arial" w:hAnsi="Arial"/>
                <w:sz w:val="18"/>
                <w:szCs w:val="18"/>
                <w:color w:val="auto"/>
                <w:w w:val="95"/>
              </w:rPr>
              <w:t>November 26,</w:t>
            </w:r>
          </w:p>
        </w:tc>
        <w:tc>
          <w:tcPr>
            <w:tcW w:w="13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300" w:type="dxa"/>
            <w:vAlign w:val="bottom"/>
            <w:gridSpan w:val="2"/>
          </w:tcPr>
          <w:p>
            <w:pPr>
              <w:ind w:left="100"/>
              <w:spacing w:after="0"/>
              <w:rPr>
                <w:sz w:val="20"/>
                <w:szCs w:val="20"/>
                <w:color w:val="auto"/>
              </w:rPr>
            </w:pPr>
            <w:r>
              <w:rPr>
                <w:rFonts w:ascii="Arial" w:cs="Arial" w:eastAsia="Arial" w:hAnsi="Arial"/>
                <w:sz w:val="18"/>
                <w:szCs w:val="18"/>
                <w:color w:val="auto"/>
              </w:rPr>
              <w:t>November 25,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142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color w:val="auto"/>
              </w:rPr>
              <w:t>2016</w:t>
            </w:r>
          </w:p>
        </w:tc>
        <w:tc>
          <w:tcPr>
            <w:tcW w:w="13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color w:val="auto"/>
              </w:rPr>
              <w:t>Opened*</w:t>
            </w:r>
          </w:p>
        </w:tc>
        <w:tc>
          <w:tcPr>
            <w:tcW w:w="13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Closed*</w:t>
            </w:r>
          </w:p>
        </w:tc>
        <w:tc>
          <w:tcPr>
            <w:tcW w:w="12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Transfers</w:t>
            </w:r>
          </w:p>
        </w:tc>
        <w:tc>
          <w:tcPr>
            <w:tcW w:w="12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Company-owned stores</w:t>
            </w:r>
          </w:p>
        </w:tc>
        <w:tc>
          <w:tcPr>
            <w:tcW w:w="142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59</w:t>
            </w:r>
          </w:p>
        </w:tc>
        <w:tc>
          <w:tcPr>
            <w:tcW w:w="1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5</w:t>
            </w:r>
          </w:p>
        </w:tc>
        <w:tc>
          <w:tcPr>
            <w:tcW w:w="13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(5)</w:t>
            </w:r>
          </w:p>
        </w:tc>
        <w:tc>
          <w:tcPr>
            <w:tcW w:w="1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Licensee-owned stores</w:t>
            </w:r>
          </w:p>
        </w:tc>
        <w:tc>
          <w:tcPr>
            <w:tcW w:w="14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31</w:t>
            </w:r>
          </w:p>
        </w:tc>
        <w:tc>
          <w:tcPr>
            <w:tcW w:w="13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1</w:t>
            </w:r>
          </w:p>
        </w:tc>
        <w:tc>
          <w:tcPr>
            <w:tcW w:w="13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w:t>
            </w:r>
          </w:p>
        </w:tc>
        <w:tc>
          <w:tcPr>
            <w:tcW w:w="12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320"/>
              <w:spacing w:after="0"/>
              <w:rPr>
                <w:sz w:val="20"/>
                <w:szCs w:val="20"/>
                <w:color w:val="auto"/>
              </w:rPr>
            </w:pPr>
            <w:r>
              <w:rPr>
                <w:rFonts w:ascii="Arial" w:cs="Arial" w:eastAsia="Arial" w:hAnsi="Arial"/>
                <w:sz w:val="18"/>
                <w:szCs w:val="18"/>
                <w:color w:val="auto"/>
              </w:rPr>
              <w:t>Total</w:t>
            </w:r>
          </w:p>
        </w:tc>
        <w:tc>
          <w:tcPr>
            <w:tcW w:w="14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90</w:t>
            </w:r>
          </w:p>
        </w:tc>
        <w:tc>
          <w:tcPr>
            <w:tcW w:w="13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6</w:t>
            </w:r>
          </w:p>
        </w:tc>
        <w:tc>
          <w:tcPr>
            <w:tcW w:w="13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(6)</w:t>
            </w:r>
          </w:p>
        </w:tc>
        <w:tc>
          <w:tcPr>
            <w:tcW w:w="1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 Does not include openings and closures due to relocation of existing stores within a market.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375285</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color w:val="auto"/>
        </w:rPr>
        <w:t>BASSETT FURNITURE INDUSTRIES, INC. AND SUBSIDIARIES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Supplemental Retail Information--unaudited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2300" w:type="dxa"/>
            <w:vAlign w:val="bottom"/>
            <w:tcBorders>
              <w:bottom w:val="single" w:sz="8" w:color="auto"/>
            </w:tcBorders>
            <w:gridSpan w:val="4"/>
          </w:tcPr>
          <w:p>
            <w:pPr>
              <w:jc w:val="right"/>
              <w:ind w:right="330"/>
              <w:spacing w:after="0"/>
              <w:rPr>
                <w:sz w:val="20"/>
                <w:szCs w:val="20"/>
                <w:color w:val="auto"/>
              </w:rPr>
            </w:pPr>
            <w:r>
              <w:rPr>
                <w:rFonts w:ascii="Arial" w:cs="Arial" w:eastAsia="Arial" w:hAnsi="Arial"/>
                <w:sz w:val="18"/>
                <w:szCs w:val="18"/>
                <w:color w:val="auto"/>
              </w:rPr>
              <w:t>54 Comparable Stores</w:t>
            </w:r>
          </w:p>
        </w:tc>
        <w:tc>
          <w:tcPr>
            <w:tcW w:w="94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2300" w:type="dxa"/>
            <w:vAlign w:val="bottom"/>
            <w:tcBorders>
              <w:bottom w:val="single" w:sz="8" w:color="auto"/>
            </w:tcBorders>
            <w:gridSpan w:val="4"/>
          </w:tcPr>
          <w:p>
            <w:pPr>
              <w:jc w:val="right"/>
              <w:ind w:right="330"/>
              <w:spacing w:after="0"/>
              <w:rPr>
                <w:sz w:val="20"/>
                <w:szCs w:val="20"/>
                <w:color w:val="auto"/>
              </w:rPr>
            </w:pPr>
            <w:r>
              <w:rPr>
                <w:rFonts w:ascii="Arial" w:cs="Arial" w:eastAsia="Arial" w:hAnsi="Arial"/>
                <w:sz w:val="18"/>
                <w:szCs w:val="18"/>
                <w:color w:val="auto"/>
              </w:rPr>
              <w:t>52 Comparable Stores</w:t>
            </w:r>
          </w:p>
        </w:tc>
        <w:tc>
          <w:tcPr>
            <w:tcW w:w="94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180" w:type="dxa"/>
            <w:vAlign w:val="bottom"/>
            <w:gridSpan w:val="3"/>
          </w:tcPr>
          <w:p>
            <w:pPr>
              <w:jc w:val="center"/>
              <w:ind w:right="380"/>
              <w:spacing w:after="0" w:line="195" w:lineRule="exact"/>
              <w:rPr>
                <w:sz w:val="20"/>
                <w:szCs w:val="20"/>
                <w:color w:val="auto"/>
              </w:rPr>
            </w:pPr>
            <w:r>
              <w:rPr>
                <w:rFonts w:ascii="Arial" w:cs="Arial" w:eastAsia="Arial" w:hAnsi="Arial"/>
                <w:sz w:val="18"/>
                <w:szCs w:val="18"/>
                <w:color w:val="auto"/>
                <w:w w:val="88"/>
              </w:rPr>
              <w:t>Quarter Ended</w:t>
            </w:r>
          </w:p>
        </w:tc>
        <w:tc>
          <w:tcPr>
            <w:tcW w:w="120" w:type="dxa"/>
            <w:vAlign w:val="bottom"/>
          </w:tcPr>
          <w:p>
            <w:pPr>
              <w:spacing w:after="0"/>
              <w:rPr>
                <w:sz w:val="16"/>
                <w:szCs w:val="16"/>
                <w:color w:val="auto"/>
              </w:rPr>
            </w:pPr>
          </w:p>
        </w:tc>
        <w:tc>
          <w:tcPr>
            <w:tcW w:w="1900" w:type="dxa"/>
            <w:vAlign w:val="bottom"/>
            <w:gridSpan w:val="2"/>
          </w:tcPr>
          <w:p>
            <w:pPr>
              <w:jc w:val="center"/>
              <w:ind w:right="30"/>
              <w:spacing w:after="0" w:line="195" w:lineRule="exact"/>
              <w:rPr>
                <w:sz w:val="20"/>
                <w:szCs w:val="20"/>
                <w:color w:val="auto"/>
              </w:rPr>
            </w:pPr>
            <w:r>
              <w:rPr>
                <w:rFonts w:ascii="Arial" w:cs="Arial" w:eastAsia="Arial" w:hAnsi="Arial"/>
                <w:sz w:val="18"/>
                <w:szCs w:val="18"/>
                <w:color w:val="auto"/>
                <w:w w:val="89"/>
              </w:rPr>
              <w:t>Quarter Ended</w:t>
            </w:r>
          </w:p>
        </w:tc>
        <w:tc>
          <w:tcPr>
            <w:tcW w:w="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180" w:type="dxa"/>
            <w:vAlign w:val="bottom"/>
            <w:gridSpan w:val="3"/>
          </w:tcPr>
          <w:p>
            <w:pPr>
              <w:jc w:val="center"/>
              <w:ind w:right="400"/>
              <w:spacing w:after="0" w:line="195" w:lineRule="exact"/>
              <w:rPr>
                <w:sz w:val="20"/>
                <w:szCs w:val="20"/>
                <w:color w:val="auto"/>
              </w:rPr>
            </w:pPr>
            <w:r>
              <w:rPr>
                <w:rFonts w:ascii="Arial" w:cs="Arial" w:eastAsia="Arial" w:hAnsi="Arial"/>
                <w:sz w:val="18"/>
                <w:szCs w:val="18"/>
                <w:color w:val="auto"/>
                <w:w w:val="86"/>
              </w:rPr>
              <w:t>Year Ended</w:t>
            </w:r>
          </w:p>
        </w:tc>
        <w:tc>
          <w:tcPr>
            <w:tcW w:w="120" w:type="dxa"/>
            <w:vAlign w:val="bottom"/>
          </w:tcPr>
          <w:p>
            <w:pPr>
              <w:spacing w:after="0"/>
              <w:rPr>
                <w:sz w:val="16"/>
                <w:szCs w:val="16"/>
                <w:color w:val="auto"/>
              </w:rPr>
            </w:pPr>
          </w:p>
        </w:tc>
        <w:tc>
          <w:tcPr>
            <w:tcW w:w="1900" w:type="dxa"/>
            <w:vAlign w:val="bottom"/>
            <w:gridSpan w:val="2"/>
          </w:tcPr>
          <w:p>
            <w:pPr>
              <w:jc w:val="center"/>
              <w:ind w:right="50"/>
              <w:spacing w:after="0" w:line="195" w:lineRule="exact"/>
              <w:rPr>
                <w:sz w:val="20"/>
                <w:szCs w:val="20"/>
                <w:color w:val="auto"/>
              </w:rPr>
            </w:pPr>
            <w:r>
              <w:rPr>
                <w:rFonts w:ascii="Arial" w:cs="Arial" w:eastAsia="Arial" w:hAnsi="Arial"/>
                <w:sz w:val="18"/>
                <w:szCs w:val="18"/>
                <w:color w:val="auto"/>
                <w:w w:val="88"/>
              </w:rPr>
              <w:t>Year Ended</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180" w:type="dxa"/>
            <w:vAlign w:val="bottom"/>
            <w:gridSpan w:val="3"/>
          </w:tcPr>
          <w:p>
            <w:pPr>
              <w:jc w:val="center"/>
              <w:ind w:right="380"/>
              <w:spacing w:after="0"/>
              <w:rPr>
                <w:sz w:val="20"/>
                <w:szCs w:val="20"/>
                <w:color w:val="auto"/>
              </w:rPr>
            </w:pPr>
            <w:r>
              <w:rPr>
                <w:rFonts w:ascii="Arial" w:cs="Arial" w:eastAsia="Arial" w:hAnsi="Arial"/>
                <w:sz w:val="18"/>
                <w:szCs w:val="18"/>
                <w:color w:val="auto"/>
                <w:w w:val="91"/>
              </w:rPr>
              <w:t>November 25, 2017</w:t>
            </w:r>
          </w:p>
        </w:tc>
        <w:tc>
          <w:tcPr>
            <w:tcW w:w="120" w:type="dxa"/>
            <w:vAlign w:val="bottom"/>
          </w:tcPr>
          <w:p>
            <w:pPr>
              <w:spacing w:after="0"/>
              <w:rPr>
                <w:sz w:val="20"/>
                <w:szCs w:val="20"/>
                <w:color w:val="auto"/>
              </w:rPr>
            </w:pPr>
          </w:p>
        </w:tc>
        <w:tc>
          <w:tcPr>
            <w:tcW w:w="2180" w:type="dxa"/>
            <w:vAlign w:val="bottom"/>
            <w:gridSpan w:val="3"/>
          </w:tcPr>
          <w:p>
            <w:pPr>
              <w:jc w:val="center"/>
              <w:ind w:right="380"/>
              <w:spacing w:after="0"/>
              <w:rPr>
                <w:sz w:val="20"/>
                <w:szCs w:val="20"/>
                <w:color w:val="auto"/>
              </w:rPr>
            </w:pPr>
            <w:r>
              <w:rPr>
                <w:rFonts w:ascii="Arial" w:cs="Arial" w:eastAsia="Arial" w:hAnsi="Arial"/>
                <w:sz w:val="18"/>
                <w:szCs w:val="18"/>
                <w:color w:val="auto"/>
                <w:w w:val="91"/>
              </w:rPr>
              <w:t>November 26, 2016</w:t>
            </w:r>
          </w:p>
        </w:tc>
        <w:tc>
          <w:tcPr>
            <w:tcW w:w="120" w:type="dxa"/>
            <w:vAlign w:val="bottom"/>
          </w:tcPr>
          <w:p>
            <w:pPr>
              <w:spacing w:after="0"/>
              <w:rPr>
                <w:sz w:val="20"/>
                <w:szCs w:val="20"/>
                <w:color w:val="auto"/>
              </w:rPr>
            </w:pPr>
          </w:p>
        </w:tc>
        <w:tc>
          <w:tcPr>
            <w:tcW w:w="2180" w:type="dxa"/>
            <w:vAlign w:val="bottom"/>
            <w:gridSpan w:val="3"/>
          </w:tcPr>
          <w:p>
            <w:pPr>
              <w:jc w:val="center"/>
              <w:ind w:right="400"/>
              <w:spacing w:after="0"/>
              <w:rPr>
                <w:sz w:val="20"/>
                <w:szCs w:val="20"/>
                <w:color w:val="auto"/>
              </w:rPr>
            </w:pPr>
            <w:r>
              <w:rPr>
                <w:rFonts w:ascii="Arial" w:cs="Arial" w:eastAsia="Arial" w:hAnsi="Arial"/>
                <w:sz w:val="18"/>
                <w:szCs w:val="18"/>
                <w:color w:val="auto"/>
                <w:w w:val="89"/>
              </w:rPr>
              <w:t>November 25, 2017</w:t>
            </w:r>
          </w:p>
        </w:tc>
        <w:tc>
          <w:tcPr>
            <w:tcW w:w="120" w:type="dxa"/>
            <w:vAlign w:val="bottom"/>
          </w:tcPr>
          <w:p>
            <w:pPr>
              <w:spacing w:after="0"/>
              <w:rPr>
                <w:sz w:val="20"/>
                <w:szCs w:val="20"/>
                <w:color w:val="auto"/>
              </w:rPr>
            </w:pPr>
          </w:p>
        </w:tc>
        <w:tc>
          <w:tcPr>
            <w:tcW w:w="2060" w:type="dxa"/>
            <w:vAlign w:val="bottom"/>
            <w:gridSpan w:val="3"/>
          </w:tcPr>
          <w:p>
            <w:pPr>
              <w:jc w:val="center"/>
              <w:ind w:right="300"/>
              <w:spacing w:after="0"/>
              <w:rPr>
                <w:sz w:val="20"/>
                <w:szCs w:val="20"/>
                <w:color w:val="auto"/>
              </w:rPr>
            </w:pPr>
            <w:r>
              <w:rPr>
                <w:rFonts w:ascii="Arial" w:cs="Arial" w:eastAsia="Arial" w:hAnsi="Arial"/>
                <w:sz w:val="18"/>
                <w:szCs w:val="18"/>
                <w:color w:val="auto"/>
                <w:w w:val="91"/>
              </w:rPr>
              <w:t>November 26, 2016</w:t>
            </w: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87"/>
              </w:rPr>
              <w:t>Percent of</w:t>
            </w:r>
          </w:p>
        </w:tc>
        <w:tc>
          <w:tcPr>
            <w:tcW w:w="24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0"/>
              </w:rPr>
              <w:t>Percent of</w:t>
            </w:r>
          </w:p>
        </w:tc>
        <w:tc>
          <w:tcPr>
            <w:tcW w:w="2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0"/>
              </w:rPr>
              <w:t>Percent of</w:t>
            </w:r>
          </w:p>
        </w:tc>
        <w:tc>
          <w:tcPr>
            <w:tcW w:w="2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0"/>
              </w:rPr>
              <w:t>Percent of</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tcPr>
          <w:p>
            <w:pPr>
              <w:jc w:val="right"/>
              <w:ind w:right="230"/>
              <w:spacing w:after="0"/>
              <w:rPr>
                <w:sz w:val="20"/>
                <w:szCs w:val="20"/>
                <w:color w:val="auto"/>
              </w:rPr>
            </w:pPr>
            <w:r>
              <w:rPr>
                <w:rFonts w:ascii="Arial" w:cs="Arial" w:eastAsia="Arial" w:hAnsi="Arial"/>
                <w:sz w:val="18"/>
                <w:szCs w:val="18"/>
                <w:color w:val="auto"/>
                <w:w w:val="99"/>
              </w:rPr>
              <w:t>Amount</w:t>
            </w:r>
          </w:p>
        </w:tc>
        <w:tc>
          <w:tcPr>
            <w:tcW w:w="1220" w:type="dxa"/>
            <w:vAlign w:val="bottom"/>
            <w:gridSpan w:val="2"/>
          </w:tcPr>
          <w:p>
            <w:pPr>
              <w:jc w:val="center"/>
              <w:ind w:right="220"/>
              <w:spacing w:after="0"/>
              <w:rPr>
                <w:sz w:val="20"/>
                <w:szCs w:val="20"/>
                <w:color w:val="auto"/>
              </w:rPr>
            </w:pPr>
            <w:r>
              <w:rPr>
                <w:rFonts w:ascii="Arial" w:cs="Arial" w:eastAsia="Arial" w:hAnsi="Arial"/>
                <w:sz w:val="18"/>
                <w:szCs w:val="18"/>
                <w:color w:val="auto"/>
                <w:w w:val="87"/>
              </w:rPr>
              <w:t>Net Sales</w:t>
            </w:r>
          </w:p>
        </w:tc>
        <w:tc>
          <w:tcPr>
            <w:tcW w:w="120" w:type="dxa"/>
            <w:vAlign w:val="bottom"/>
          </w:tcPr>
          <w:p>
            <w:pPr>
              <w:spacing w:after="0"/>
              <w:rPr>
                <w:sz w:val="20"/>
                <w:szCs w:val="20"/>
                <w:color w:val="auto"/>
              </w:rPr>
            </w:pPr>
          </w:p>
        </w:tc>
        <w:tc>
          <w:tcPr>
            <w:tcW w:w="960" w:type="dxa"/>
            <w:vAlign w:val="bottom"/>
          </w:tcPr>
          <w:p>
            <w:pPr>
              <w:jc w:val="right"/>
              <w:ind w:right="250"/>
              <w:spacing w:after="0"/>
              <w:rPr>
                <w:sz w:val="20"/>
                <w:szCs w:val="20"/>
                <w:color w:val="auto"/>
              </w:rPr>
            </w:pPr>
            <w:r>
              <w:rPr>
                <w:rFonts w:ascii="Arial" w:cs="Arial" w:eastAsia="Arial" w:hAnsi="Arial"/>
                <w:sz w:val="18"/>
                <w:szCs w:val="18"/>
                <w:color w:val="auto"/>
                <w:w w:val="96"/>
              </w:rPr>
              <w:t>Amount</w:t>
            </w:r>
          </w:p>
        </w:tc>
        <w:tc>
          <w:tcPr>
            <w:tcW w:w="1220" w:type="dxa"/>
            <w:vAlign w:val="bottom"/>
            <w:gridSpan w:val="2"/>
          </w:tcPr>
          <w:p>
            <w:pPr>
              <w:jc w:val="center"/>
              <w:ind w:right="220"/>
              <w:spacing w:after="0"/>
              <w:rPr>
                <w:sz w:val="20"/>
                <w:szCs w:val="20"/>
                <w:color w:val="auto"/>
              </w:rPr>
            </w:pPr>
            <w:r>
              <w:rPr>
                <w:rFonts w:ascii="Arial" w:cs="Arial" w:eastAsia="Arial" w:hAnsi="Arial"/>
                <w:sz w:val="18"/>
                <w:szCs w:val="18"/>
                <w:color w:val="auto"/>
                <w:w w:val="87"/>
              </w:rPr>
              <w:t>Net Sales</w:t>
            </w:r>
          </w:p>
        </w:tc>
        <w:tc>
          <w:tcPr>
            <w:tcW w:w="120" w:type="dxa"/>
            <w:vAlign w:val="bottom"/>
          </w:tcPr>
          <w:p>
            <w:pPr>
              <w:spacing w:after="0"/>
              <w:rPr>
                <w:sz w:val="20"/>
                <w:szCs w:val="20"/>
                <w:color w:val="auto"/>
              </w:rPr>
            </w:pPr>
          </w:p>
        </w:tc>
        <w:tc>
          <w:tcPr>
            <w:tcW w:w="960" w:type="dxa"/>
            <w:vAlign w:val="bottom"/>
          </w:tcPr>
          <w:p>
            <w:pPr>
              <w:jc w:val="right"/>
              <w:ind w:right="250"/>
              <w:spacing w:after="0"/>
              <w:rPr>
                <w:sz w:val="20"/>
                <w:szCs w:val="20"/>
                <w:color w:val="auto"/>
              </w:rPr>
            </w:pPr>
            <w:r>
              <w:rPr>
                <w:rFonts w:ascii="Arial" w:cs="Arial" w:eastAsia="Arial" w:hAnsi="Arial"/>
                <w:sz w:val="18"/>
                <w:szCs w:val="18"/>
                <w:color w:val="auto"/>
                <w:w w:val="96"/>
              </w:rPr>
              <w:t>Amount</w:t>
            </w:r>
          </w:p>
        </w:tc>
        <w:tc>
          <w:tcPr>
            <w:tcW w:w="1220" w:type="dxa"/>
            <w:vAlign w:val="bottom"/>
            <w:gridSpan w:val="2"/>
          </w:tcPr>
          <w:p>
            <w:pPr>
              <w:jc w:val="center"/>
              <w:ind w:right="240"/>
              <w:spacing w:after="0"/>
              <w:rPr>
                <w:sz w:val="20"/>
                <w:szCs w:val="20"/>
                <w:color w:val="auto"/>
              </w:rPr>
            </w:pPr>
            <w:r>
              <w:rPr>
                <w:rFonts w:ascii="Arial" w:cs="Arial" w:eastAsia="Arial" w:hAnsi="Arial"/>
                <w:sz w:val="18"/>
                <w:szCs w:val="18"/>
                <w:color w:val="auto"/>
                <w:w w:val="89"/>
              </w:rPr>
              <w:t>Net Sales</w:t>
            </w:r>
          </w:p>
        </w:tc>
        <w:tc>
          <w:tcPr>
            <w:tcW w:w="120" w:type="dxa"/>
            <w:vAlign w:val="bottom"/>
          </w:tcPr>
          <w:p>
            <w:pPr>
              <w:spacing w:after="0"/>
              <w:rPr>
                <w:sz w:val="20"/>
                <w:szCs w:val="20"/>
                <w:color w:val="auto"/>
              </w:rPr>
            </w:pPr>
          </w:p>
        </w:tc>
        <w:tc>
          <w:tcPr>
            <w:tcW w:w="960" w:type="dxa"/>
            <w:vAlign w:val="bottom"/>
          </w:tcPr>
          <w:p>
            <w:pPr>
              <w:jc w:val="right"/>
              <w:ind w:right="250"/>
              <w:spacing w:after="0"/>
              <w:rPr>
                <w:sz w:val="20"/>
                <w:szCs w:val="20"/>
                <w:color w:val="auto"/>
              </w:rPr>
            </w:pPr>
            <w:r>
              <w:rPr>
                <w:rFonts w:ascii="Arial" w:cs="Arial" w:eastAsia="Arial" w:hAnsi="Arial"/>
                <w:sz w:val="18"/>
                <w:szCs w:val="18"/>
                <w:color w:val="auto"/>
                <w:w w:val="96"/>
              </w:rPr>
              <w:t>Amount</w:t>
            </w:r>
          </w:p>
        </w:tc>
        <w:tc>
          <w:tcPr>
            <w:tcW w:w="1100" w:type="dxa"/>
            <w:vAlign w:val="bottom"/>
            <w:gridSpan w:val="2"/>
          </w:tcPr>
          <w:p>
            <w:pPr>
              <w:jc w:val="center"/>
              <w:ind w:right="140"/>
              <w:spacing w:after="0"/>
              <w:rPr>
                <w:sz w:val="20"/>
                <w:szCs w:val="20"/>
                <w:color w:val="auto"/>
              </w:rPr>
            </w:pPr>
            <w:r>
              <w:rPr>
                <w:rFonts w:ascii="Arial" w:cs="Arial" w:eastAsia="Arial" w:hAnsi="Arial"/>
                <w:sz w:val="18"/>
                <w:szCs w:val="18"/>
                <w:color w:val="auto"/>
                <w:w w:val="87"/>
              </w:rPr>
              <w:t>Net Sales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3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63,868</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64,947</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233,823</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229,530</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Cost of sales</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30,343</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47.5%</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32,156</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49.5%</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114,277</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48.9%</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114,427</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49.9%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3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Gross profit</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33,525</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52.5%</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32,791</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50.5%</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119,546</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51.1%</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115,103</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50.1%</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3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23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Selling, general and</w:t>
            </w:r>
          </w:p>
        </w:tc>
        <w:tc>
          <w:tcPr>
            <w:tcW w:w="120" w:type="dxa"/>
            <w:vAlign w:val="bottom"/>
            <w:shd w:val="clear" w:color="auto" w:fill="CCEEFF"/>
          </w:tcPr>
          <w:p>
            <w:pPr>
              <w:spacing w:after="0"/>
              <w:rPr>
                <w:sz w:val="17"/>
                <w:szCs w:val="17"/>
                <w:color w:val="auto"/>
              </w:rPr>
            </w:pPr>
          </w:p>
        </w:tc>
        <w:tc>
          <w:tcPr>
            <w:tcW w:w="960" w:type="dxa"/>
            <w:vAlign w:val="bottom"/>
            <w:vMerge w:val="restart"/>
            <w:shd w:val="clear" w:color="auto" w:fill="CCEEFF"/>
          </w:tcPr>
          <w:p>
            <w:pPr>
              <w:jc w:val="right"/>
              <w:ind w:right="90"/>
              <w:spacing w:after="0"/>
              <w:rPr>
                <w:sz w:val="20"/>
                <w:szCs w:val="20"/>
                <w:color w:val="auto"/>
              </w:rPr>
            </w:pPr>
            <w:r>
              <w:rPr>
                <w:rFonts w:ascii="Arial" w:cs="Arial" w:eastAsia="Arial" w:hAnsi="Arial"/>
                <w:sz w:val="18"/>
                <w:szCs w:val="18"/>
                <w:color w:val="auto"/>
              </w:rPr>
              <w:t>30,011</w:t>
            </w:r>
          </w:p>
        </w:tc>
        <w:tc>
          <w:tcPr>
            <w:tcW w:w="122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47.0%</w:t>
            </w:r>
          </w:p>
        </w:tc>
        <w:tc>
          <w:tcPr>
            <w:tcW w:w="120" w:type="dxa"/>
            <w:vAlign w:val="bottom"/>
            <w:shd w:val="clear" w:color="auto" w:fill="CCEEFF"/>
          </w:tcPr>
          <w:p>
            <w:pPr>
              <w:spacing w:after="0"/>
              <w:rPr>
                <w:sz w:val="17"/>
                <w:szCs w:val="17"/>
                <w:color w:val="auto"/>
              </w:rPr>
            </w:pPr>
          </w:p>
        </w:tc>
        <w:tc>
          <w:tcPr>
            <w:tcW w:w="960" w:type="dxa"/>
            <w:vAlign w:val="bottom"/>
            <w:vMerge w:val="restart"/>
            <w:shd w:val="clear" w:color="auto" w:fill="CCEEFF"/>
          </w:tcPr>
          <w:p>
            <w:pPr>
              <w:jc w:val="right"/>
              <w:ind w:right="90"/>
              <w:spacing w:after="0"/>
              <w:rPr>
                <w:sz w:val="20"/>
                <w:szCs w:val="20"/>
                <w:color w:val="auto"/>
              </w:rPr>
            </w:pPr>
            <w:r>
              <w:rPr>
                <w:rFonts w:ascii="Arial" w:cs="Arial" w:eastAsia="Arial" w:hAnsi="Arial"/>
                <w:sz w:val="18"/>
                <w:szCs w:val="18"/>
                <w:color w:val="auto"/>
              </w:rPr>
              <w:t>29,533</w:t>
            </w:r>
          </w:p>
        </w:tc>
        <w:tc>
          <w:tcPr>
            <w:tcW w:w="1220" w:type="dxa"/>
            <w:vAlign w:val="bottom"/>
            <w:tcBorders>
              <w:right w:val="single" w:sz="8" w:color="CCEEFF"/>
            </w:tcBorders>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45.5%</w:t>
            </w:r>
          </w:p>
        </w:tc>
        <w:tc>
          <w:tcPr>
            <w:tcW w:w="120" w:type="dxa"/>
            <w:vAlign w:val="bottom"/>
            <w:shd w:val="clear" w:color="auto" w:fill="CCEEFF"/>
          </w:tcPr>
          <w:p>
            <w:pPr>
              <w:spacing w:after="0"/>
              <w:rPr>
                <w:sz w:val="17"/>
                <w:szCs w:val="17"/>
                <w:color w:val="auto"/>
              </w:rPr>
            </w:pPr>
          </w:p>
        </w:tc>
        <w:tc>
          <w:tcPr>
            <w:tcW w:w="960" w:type="dxa"/>
            <w:vAlign w:val="bottom"/>
            <w:vMerge w:val="restart"/>
            <w:shd w:val="clear" w:color="auto" w:fill="CCEEFF"/>
          </w:tcPr>
          <w:p>
            <w:pPr>
              <w:jc w:val="right"/>
              <w:ind w:right="90"/>
              <w:spacing w:after="0"/>
              <w:rPr>
                <w:sz w:val="20"/>
                <w:szCs w:val="20"/>
                <w:color w:val="auto"/>
              </w:rPr>
            </w:pPr>
            <w:r>
              <w:rPr>
                <w:rFonts w:ascii="Arial" w:cs="Arial" w:eastAsia="Arial" w:hAnsi="Arial"/>
                <w:sz w:val="18"/>
                <w:szCs w:val="18"/>
                <w:color w:val="auto"/>
              </w:rPr>
              <w:t>112,428</w:t>
            </w:r>
          </w:p>
        </w:tc>
        <w:tc>
          <w:tcPr>
            <w:tcW w:w="122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48.1%</w:t>
            </w:r>
          </w:p>
        </w:tc>
        <w:tc>
          <w:tcPr>
            <w:tcW w:w="120" w:type="dxa"/>
            <w:vAlign w:val="bottom"/>
            <w:shd w:val="clear" w:color="auto" w:fill="CCEEFF"/>
          </w:tcPr>
          <w:p>
            <w:pPr>
              <w:spacing w:after="0"/>
              <w:rPr>
                <w:sz w:val="17"/>
                <w:szCs w:val="17"/>
                <w:color w:val="auto"/>
              </w:rPr>
            </w:pPr>
          </w:p>
        </w:tc>
        <w:tc>
          <w:tcPr>
            <w:tcW w:w="960" w:type="dxa"/>
            <w:vAlign w:val="bottom"/>
            <w:vMerge w:val="restart"/>
            <w:shd w:val="clear" w:color="auto" w:fill="CCEEFF"/>
          </w:tcPr>
          <w:p>
            <w:pPr>
              <w:jc w:val="right"/>
              <w:ind w:right="90"/>
              <w:spacing w:after="0"/>
              <w:rPr>
                <w:sz w:val="20"/>
                <w:szCs w:val="20"/>
                <w:color w:val="auto"/>
              </w:rPr>
            </w:pPr>
            <w:r>
              <w:rPr>
                <w:rFonts w:ascii="Arial" w:cs="Arial" w:eastAsia="Arial" w:hAnsi="Arial"/>
                <w:sz w:val="18"/>
                <w:szCs w:val="18"/>
                <w:color w:val="auto"/>
              </w:rPr>
              <w:t>108,328</w:t>
            </w:r>
          </w:p>
        </w:tc>
        <w:tc>
          <w:tcPr>
            <w:tcW w:w="110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color w:val="auto"/>
              </w:rPr>
              <w:t>47.2%</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administrative expense*</w:t>
            </w:r>
          </w:p>
        </w:tc>
        <w:tc>
          <w:tcPr>
            <w:tcW w:w="120" w:type="dxa"/>
            <w:vAlign w:val="bottom"/>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122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1220" w:type="dxa"/>
            <w:vAlign w:val="bottom"/>
            <w:tcBorders>
              <w:right w:val="single" w:sz="8" w:color="CCEEFF"/>
            </w:tcBorders>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122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110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3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2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Income from operations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3,514</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3,258</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7,118</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6,775</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3"/>
        </w:trPr>
        <w:tc>
          <w:tcPr>
            <w:tcW w:w="2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gridSpan w:val="4"/>
          </w:tcPr>
          <w:p>
            <w:pPr>
              <w:jc w:val="right"/>
              <w:ind w:right="530"/>
              <w:spacing w:after="0"/>
              <w:rPr>
                <w:sz w:val="20"/>
                <w:szCs w:val="20"/>
                <w:color w:val="auto"/>
              </w:rPr>
            </w:pPr>
            <w:r>
              <w:rPr>
                <w:rFonts w:ascii="Arial" w:cs="Arial" w:eastAsia="Arial" w:hAnsi="Arial"/>
                <w:sz w:val="18"/>
                <w:szCs w:val="18"/>
                <w:color w:val="auto"/>
              </w:rPr>
              <w:t>All Other Stores</w:t>
            </w:r>
          </w:p>
        </w:tc>
        <w:tc>
          <w:tcPr>
            <w:tcW w:w="940" w:type="dxa"/>
            <w:vAlign w:val="bottom"/>
            <w:tcBorders>
              <w:bottom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gridSpan w:val="4"/>
          </w:tcPr>
          <w:p>
            <w:pPr>
              <w:jc w:val="right"/>
              <w:ind w:right="550"/>
              <w:spacing w:after="0"/>
              <w:rPr>
                <w:sz w:val="20"/>
                <w:szCs w:val="20"/>
                <w:color w:val="auto"/>
              </w:rPr>
            </w:pPr>
            <w:r>
              <w:rPr>
                <w:rFonts w:ascii="Arial" w:cs="Arial" w:eastAsia="Arial" w:hAnsi="Arial"/>
                <w:sz w:val="18"/>
                <w:szCs w:val="18"/>
                <w:color w:val="auto"/>
              </w:rPr>
              <w:t>All Other Stores</w:t>
            </w:r>
          </w:p>
        </w:tc>
        <w:tc>
          <w:tcPr>
            <w:tcW w:w="94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180" w:type="dxa"/>
            <w:vAlign w:val="bottom"/>
            <w:gridSpan w:val="3"/>
          </w:tcPr>
          <w:p>
            <w:pPr>
              <w:jc w:val="center"/>
              <w:ind w:right="380"/>
              <w:spacing w:after="0" w:line="195" w:lineRule="exact"/>
              <w:rPr>
                <w:sz w:val="20"/>
                <w:szCs w:val="20"/>
                <w:color w:val="auto"/>
              </w:rPr>
            </w:pPr>
            <w:r>
              <w:rPr>
                <w:rFonts w:ascii="Arial" w:cs="Arial" w:eastAsia="Arial" w:hAnsi="Arial"/>
                <w:sz w:val="18"/>
                <w:szCs w:val="18"/>
                <w:color w:val="auto"/>
                <w:w w:val="88"/>
              </w:rPr>
              <w:t>Quarter Ended</w:t>
            </w:r>
          </w:p>
        </w:tc>
        <w:tc>
          <w:tcPr>
            <w:tcW w:w="120" w:type="dxa"/>
            <w:vAlign w:val="bottom"/>
          </w:tcPr>
          <w:p>
            <w:pPr>
              <w:spacing w:after="0"/>
              <w:rPr>
                <w:sz w:val="16"/>
                <w:szCs w:val="16"/>
                <w:color w:val="auto"/>
              </w:rPr>
            </w:pPr>
          </w:p>
        </w:tc>
        <w:tc>
          <w:tcPr>
            <w:tcW w:w="1900" w:type="dxa"/>
            <w:vAlign w:val="bottom"/>
            <w:gridSpan w:val="2"/>
          </w:tcPr>
          <w:p>
            <w:pPr>
              <w:jc w:val="center"/>
              <w:ind w:right="30"/>
              <w:spacing w:after="0" w:line="195" w:lineRule="exact"/>
              <w:rPr>
                <w:sz w:val="20"/>
                <w:szCs w:val="20"/>
                <w:color w:val="auto"/>
              </w:rPr>
            </w:pPr>
            <w:r>
              <w:rPr>
                <w:rFonts w:ascii="Arial" w:cs="Arial" w:eastAsia="Arial" w:hAnsi="Arial"/>
                <w:sz w:val="18"/>
                <w:szCs w:val="18"/>
                <w:color w:val="auto"/>
                <w:w w:val="89"/>
              </w:rPr>
              <w:t>Quarter Ended</w:t>
            </w:r>
          </w:p>
        </w:tc>
        <w:tc>
          <w:tcPr>
            <w:tcW w:w="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180" w:type="dxa"/>
            <w:vAlign w:val="bottom"/>
            <w:gridSpan w:val="3"/>
          </w:tcPr>
          <w:p>
            <w:pPr>
              <w:jc w:val="center"/>
              <w:ind w:right="400"/>
              <w:spacing w:after="0" w:line="195" w:lineRule="exact"/>
              <w:rPr>
                <w:sz w:val="20"/>
                <w:szCs w:val="20"/>
                <w:color w:val="auto"/>
              </w:rPr>
            </w:pPr>
            <w:r>
              <w:rPr>
                <w:rFonts w:ascii="Arial" w:cs="Arial" w:eastAsia="Arial" w:hAnsi="Arial"/>
                <w:sz w:val="18"/>
                <w:szCs w:val="18"/>
                <w:color w:val="auto"/>
                <w:w w:val="86"/>
              </w:rPr>
              <w:t>Year Ended</w:t>
            </w:r>
          </w:p>
        </w:tc>
        <w:tc>
          <w:tcPr>
            <w:tcW w:w="120" w:type="dxa"/>
            <w:vAlign w:val="bottom"/>
          </w:tcPr>
          <w:p>
            <w:pPr>
              <w:spacing w:after="0"/>
              <w:rPr>
                <w:sz w:val="16"/>
                <w:szCs w:val="16"/>
                <w:color w:val="auto"/>
              </w:rPr>
            </w:pPr>
          </w:p>
        </w:tc>
        <w:tc>
          <w:tcPr>
            <w:tcW w:w="1900" w:type="dxa"/>
            <w:vAlign w:val="bottom"/>
            <w:gridSpan w:val="2"/>
          </w:tcPr>
          <w:p>
            <w:pPr>
              <w:jc w:val="center"/>
              <w:ind w:right="50"/>
              <w:spacing w:after="0" w:line="195" w:lineRule="exact"/>
              <w:rPr>
                <w:sz w:val="20"/>
                <w:szCs w:val="20"/>
                <w:color w:val="auto"/>
              </w:rPr>
            </w:pPr>
            <w:r>
              <w:rPr>
                <w:rFonts w:ascii="Arial" w:cs="Arial" w:eastAsia="Arial" w:hAnsi="Arial"/>
                <w:sz w:val="18"/>
                <w:szCs w:val="18"/>
                <w:color w:val="auto"/>
                <w:w w:val="88"/>
              </w:rPr>
              <w:t>Year Ended</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180" w:type="dxa"/>
            <w:vAlign w:val="bottom"/>
            <w:gridSpan w:val="3"/>
          </w:tcPr>
          <w:p>
            <w:pPr>
              <w:jc w:val="center"/>
              <w:ind w:right="380"/>
              <w:spacing w:after="0"/>
              <w:rPr>
                <w:sz w:val="20"/>
                <w:szCs w:val="20"/>
                <w:color w:val="auto"/>
              </w:rPr>
            </w:pPr>
            <w:r>
              <w:rPr>
                <w:rFonts w:ascii="Arial" w:cs="Arial" w:eastAsia="Arial" w:hAnsi="Arial"/>
                <w:sz w:val="18"/>
                <w:szCs w:val="18"/>
                <w:color w:val="auto"/>
                <w:w w:val="91"/>
              </w:rPr>
              <w:t>November 25, 2017</w:t>
            </w:r>
          </w:p>
        </w:tc>
        <w:tc>
          <w:tcPr>
            <w:tcW w:w="120" w:type="dxa"/>
            <w:vAlign w:val="bottom"/>
          </w:tcPr>
          <w:p>
            <w:pPr>
              <w:spacing w:after="0"/>
              <w:rPr>
                <w:sz w:val="20"/>
                <w:szCs w:val="20"/>
                <w:color w:val="auto"/>
              </w:rPr>
            </w:pPr>
          </w:p>
        </w:tc>
        <w:tc>
          <w:tcPr>
            <w:tcW w:w="2180" w:type="dxa"/>
            <w:vAlign w:val="bottom"/>
            <w:gridSpan w:val="3"/>
          </w:tcPr>
          <w:p>
            <w:pPr>
              <w:jc w:val="center"/>
              <w:ind w:right="380"/>
              <w:spacing w:after="0"/>
              <w:rPr>
                <w:sz w:val="20"/>
                <w:szCs w:val="20"/>
                <w:color w:val="auto"/>
              </w:rPr>
            </w:pPr>
            <w:r>
              <w:rPr>
                <w:rFonts w:ascii="Arial" w:cs="Arial" w:eastAsia="Arial" w:hAnsi="Arial"/>
                <w:sz w:val="18"/>
                <w:szCs w:val="18"/>
                <w:color w:val="auto"/>
                <w:w w:val="91"/>
              </w:rPr>
              <w:t>November 26, 2016</w:t>
            </w:r>
          </w:p>
        </w:tc>
        <w:tc>
          <w:tcPr>
            <w:tcW w:w="120" w:type="dxa"/>
            <w:vAlign w:val="bottom"/>
          </w:tcPr>
          <w:p>
            <w:pPr>
              <w:spacing w:after="0"/>
              <w:rPr>
                <w:sz w:val="20"/>
                <w:szCs w:val="20"/>
                <w:color w:val="auto"/>
              </w:rPr>
            </w:pPr>
          </w:p>
        </w:tc>
        <w:tc>
          <w:tcPr>
            <w:tcW w:w="2180" w:type="dxa"/>
            <w:vAlign w:val="bottom"/>
            <w:gridSpan w:val="3"/>
          </w:tcPr>
          <w:p>
            <w:pPr>
              <w:jc w:val="center"/>
              <w:ind w:right="400"/>
              <w:spacing w:after="0"/>
              <w:rPr>
                <w:sz w:val="20"/>
                <w:szCs w:val="20"/>
                <w:color w:val="auto"/>
              </w:rPr>
            </w:pPr>
            <w:r>
              <w:rPr>
                <w:rFonts w:ascii="Arial" w:cs="Arial" w:eastAsia="Arial" w:hAnsi="Arial"/>
                <w:sz w:val="18"/>
                <w:szCs w:val="18"/>
                <w:color w:val="auto"/>
                <w:w w:val="89"/>
              </w:rPr>
              <w:t>November 25, 2017</w:t>
            </w:r>
          </w:p>
        </w:tc>
        <w:tc>
          <w:tcPr>
            <w:tcW w:w="120" w:type="dxa"/>
            <w:vAlign w:val="bottom"/>
          </w:tcPr>
          <w:p>
            <w:pPr>
              <w:spacing w:after="0"/>
              <w:rPr>
                <w:sz w:val="20"/>
                <w:szCs w:val="20"/>
                <w:color w:val="auto"/>
              </w:rPr>
            </w:pPr>
          </w:p>
        </w:tc>
        <w:tc>
          <w:tcPr>
            <w:tcW w:w="2060" w:type="dxa"/>
            <w:vAlign w:val="bottom"/>
            <w:gridSpan w:val="3"/>
          </w:tcPr>
          <w:p>
            <w:pPr>
              <w:jc w:val="center"/>
              <w:ind w:right="300"/>
              <w:spacing w:after="0"/>
              <w:rPr>
                <w:sz w:val="20"/>
                <w:szCs w:val="20"/>
                <w:color w:val="auto"/>
              </w:rPr>
            </w:pPr>
            <w:r>
              <w:rPr>
                <w:rFonts w:ascii="Arial" w:cs="Arial" w:eastAsia="Arial" w:hAnsi="Arial"/>
                <w:sz w:val="18"/>
                <w:szCs w:val="18"/>
                <w:color w:val="auto"/>
                <w:w w:val="91"/>
              </w:rPr>
              <w:t>November 26, 2016</w:t>
            </w: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87"/>
              </w:rPr>
              <w:t>Percent of</w:t>
            </w:r>
          </w:p>
        </w:tc>
        <w:tc>
          <w:tcPr>
            <w:tcW w:w="24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0"/>
              </w:rPr>
              <w:t>Percent of</w:t>
            </w:r>
          </w:p>
        </w:tc>
        <w:tc>
          <w:tcPr>
            <w:tcW w:w="2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0"/>
              </w:rPr>
              <w:t>Percent of</w:t>
            </w:r>
          </w:p>
        </w:tc>
        <w:tc>
          <w:tcPr>
            <w:tcW w:w="2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0"/>
              </w:rPr>
              <w:t>Percent of</w:t>
            </w: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tcPr>
          <w:p>
            <w:pPr>
              <w:jc w:val="right"/>
              <w:ind w:right="230"/>
              <w:spacing w:after="0"/>
              <w:rPr>
                <w:sz w:val="20"/>
                <w:szCs w:val="20"/>
                <w:color w:val="auto"/>
              </w:rPr>
            </w:pPr>
            <w:r>
              <w:rPr>
                <w:rFonts w:ascii="Arial" w:cs="Arial" w:eastAsia="Arial" w:hAnsi="Arial"/>
                <w:sz w:val="18"/>
                <w:szCs w:val="18"/>
                <w:color w:val="auto"/>
                <w:w w:val="99"/>
              </w:rPr>
              <w:t>Amount</w:t>
            </w:r>
          </w:p>
        </w:tc>
        <w:tc>
          <w:tcPr>
            <w:tcW w:w="1220" w:type="dxa"/>
            <w:vAlign w:val="bottom"/>
            <w:gridSpan w:val="2"/>
          </w:tcPr>
          <w:p>
            <w:pPr>
              <w:jc w:val="center"/>
              <w:ind w:right="220"/>
              <w:spacing w:after="0"/>
              <w:rPr>
                <w:sz w:val="20"/>
                <w:szCs w:val="20"/>
                <w:color w:val="auto"/>
              </w:rPr>
            </w:pPr>
            <w:r>
              <w:rPr>
                <w:rFonts w:ascii="Arial" w:cs="Arial" w:eastAsia="Arial" w:hAnsi="Arial"/>
                <w:sz w:val="18"/>
                <w:szCs w:val="18"/>
                <w:color w:val="auto"/>
                <w:w w:val="87"/>
              </w:rPr>
              <w:t>Net Sales</w:t>
            </w:r>
          </w:p>
        </w:tc>
        <w:tc>
          <w:tcPr>
            <w:tcW w:w="120" w:type="dxa"/>
            <w:vAlign w:val="bottom"/>
          </w:tcPr>
          <w:p>
            <w:pPr>
              <w:spacing w:after="0"/>
              <w:rPr>
                <w:sz w:val="20"/>
                <w:szCs w:val="20"/>
                <w:color w:val="auto"/>
              </w:rPr>
            </w:pPr>
          </w:p>
        </w:tc>
        <w:tc>
          <w:tcPr>
            <w:tcW w:w="960" w:type="dxa"/>
            <w:vAlign w:val="bottom"/>
          </w:tcPr>
          <w:p>
            <w:pPr>
              <w:jc w:val="right"/>
              <w:ind w:right="250"/>
              <w:spacing w:after="0"/>
              <w:rPr>
                <w:sz w:val="20"/>
                <w:szCs w:val="20"/>
                <w:color w:val="auto"/>
              </w:rPr>
            </w:pPr>
            <w:r>
              <w:rPr>
                <w:rFonts w:ascii="Arial" w:cs="Arial" w:eastAsia="Arial" w:hAnsi="Arial"/>
                <w:sz w:val="18"/>
                <w:szCs w:val="18"/>
                <w:color w:val="auto"/>
                <w:w w:val="96"/>
              </w:rPr>
              <w:t>Amount</w:t>
            </w:r>
          </w:p>
        </w:tc>
        <w:tc>
          <w:tcPr>
            <w:tcW w:w="1220" w:type="dxa"/>
            <w:vAlign w:val="bottom"/>
            <w:gridSpan w:val="2"/>
          </w:tcPr>
          <w:p>
            <w:pPr>
              <w:jc w:val="center"/>
              <w:ind w:right="220"/>
              <w:spacing w:after="0"/>
              <w:rPr>
                <w:sz w:val="20"/>
                <w:szCs w:val="20"/>
                <w:color w:val="auto"/>
              </w:rPr>
            </w:pPr>
            <w:r>
              <w:rPr>
                <w:rFonts w:ascii="Arial" w:cs="Arial" w:eastAsia="Arial" w:hAnsi="Arial"/>
                <w:sz w:val="18"/>
                <w:szCs w:val="18"/>
                <w:color w:val="auto"/>
                <w:w w:val="87"/>
              </w:rPr>
              <w:t>Net Sales</w:t>
            </w:r>
          </w:p>
        </w:tc>
        <w:tc>
          <w:tcPr>
            <w:tcW w:w="120" w:type="dxa"/>
            <w:vAlign w:val="bottom"/>
          </w:tcPr>
          <w:p>
            <w:pPr>
              <w:spacing w:after="0"/>
              <w:rPr>
                <w:sz w:val="20"/>
                <w:szCs w:val="20"/>
                <w:color w:val="auto"/>
              </w:rPr>
            </w:pPr>
          </w:p>
        </w:tc>
        <w:tc>
          <w:tcPr>
            <w:tcW w:w="960" w:type="dxa"/>
            <w:vAlign w:val="bottom"/>
          </w:tcPr>
          <w:p>
            <w:pPr>
              <w:jc w:val="right"/>
              <w:ind w:right="250"/>
              <w:spacing w:after="0"/>
              <w:rPr>
                <w:sz w:val="20"/>
                <w:szCs w:val="20"/>
                <w:color w:val="auto"/>
              </w:rPr>
            </w:pPr>
            <w:r>
              <w:rPr>
                <w:rFonts w:ascii="Arial" w:cs="Arial" w:eastAsia="Arial" w:hAnsi="Arial"/>
                <w:sz w:val="18"/>
                <w:szCs w:val="18"/>
                <w:color w:val="auto"/>
                <w:w w:val="96"/>
              </w:rPr>
              <w:t>Amount</w:t>
            </w:r>
          </w:p>
        </w:tc>
        <w:tc>
          <w:tcPr>
            <w:tcW w:w="1220" w:type="dxa"/>
            <w:vAlign w:val="bottom"/>
            <w:gridSpan w:val="2"/>
          </w:tcPr>
          <w:p>
            <w:pPr>
              <w:jc w:val="center"/>
              <w:ind w:right="240"/>
              <w:spacing w:after="0"/>
              <w:rPr>
                <w:sz w:val="20"/>
                <w:szCs w:val="20"/>
                <w:color w:val="auto"/>
              </w:rPr>
            </w:pPr>
            <w:r>
              <w:rPr>
                <w:rFonts w:ascii="Arial" w:cs="Arial" w:eastAsia="Arial" w:hAnsi="Arial"/>
                <w:sz w:val="18"/>
                <w:szCs w:val="18"/>
                <w:color w:val="auto"/>
                <w:w w:val="89"/>
              </w:rPr>
              <w:t>Net Sales</w:t>
            </w:r>
          </w:p>
        </w:tc>
        <w:tc>
          <w:tcPr>
            <w:tcW w:w="120" w:type="dxa"/>
            <w:vAlign w:val="bottom"/>
          </w:tcPr>
          <w:p>
            <w:pPr>
              <w:spacing w:after="0"/>
              <w:rPr>
                <w:sz w:val="20"/>
                <w:szCs w:val="20"/>
                <w:color w:val="auto"/>
              </w:rPr>
            </w:pPr>
          </w:p>
        </w:tc>
        <w:tc>
          <w:tcPr>
            <w:tcW w:w="960" w:type="dxa"/>
            <w:vAlign w:val="bottom"/>
          </w:tcPr>
          <w:p>
            <w:pPr>
              <w:jc w:val="right"/>
              <w:ind w:right="250"/>
              <w:spacing w:after="0"/>
              <w:rPr>
                <w:sz w:val="20"/>
                <w:szCs w:val="20"/>
                <w:color w:val="auto"/>
              </w:rPr>
            </w:pPr>
            <w:r>
              <w:rPr>
                <w:rFonts w:ascii="Arial" w:cs="Arial" w:eastAsia="Arial" w:hAnsi="Arial"/>
                <w:sz w:val="18"/>
                <w:szCs w:val="18"/>
                <w:color w:val="auto"/>
                <w:w w:val="96"/>
              </w:rPr>
              <w:t>Amount</w:t>
            </w:r>
          </w:p>
        </w:tc>
        <w:tc>
          <w:tcPr>
            <w:tcW w:w="1100" w:type="dxa"/>
            <w:vAlign w:val="bottom"/>
            <w:gridSpan w:val="2"/>
          </w:tcPr>
          <w:p>
            <w:pPr>
              <w:jc w:val="center"/>
              <w:ind w:right="140"/>
              <w:spacing w:after="0"/>
              <w:rPr>
                <w:sz w:val="20"/>
                <w:szCs w:val="20"/>
                <w:color w:val="auto"/>
              </w:rPr>
            </w:pPr>
            <w:r>
              <w:rPr>
                <w:rFonts w:ascii="Arial" w:cs="Arial" w:eastAsia="Arial" w:hAnsi="Arial"/>
                <w:sz w:val="18"/>
                <w:szCs w:val="18"/>
                <w:color w:val="auto"/>
                <w:w w:val="87"/>
              </w:rPr>
              <w:t>Net Sales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3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8,257</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4,966</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34,441</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25,137</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20" w:type="dxa"/>
            <w:vAlign w:val="bottom"/>
            <w:gridSpan w:val="2"/>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20" w:type="dxa"/>
            <w:vAlign w:val="bottom"/>
            <w:gridSpan w:val="2"/>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Cost of sales</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4,492</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54.4%</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2,618</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52.7%</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18,186</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52.8%</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13,781</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54.8%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3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Gross profit</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3,765</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45.6%</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2,348</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47.3%</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16,255</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47.2%</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11,356</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45.2%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3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23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Selling, general and</w:t>
            </w: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980" w:type="dxa"/>
            <w:vAlign w:val="bottom"/>
            <w:tcBorders>
              <w:right w:val="single" w:sz="8" w:color="CCEEFF"/>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80" w:type="dxa"/>
            <w:vAlign w:val="bottom"/>
            <w:tcBorders>
              <w:right w:val="single" w:sz="8" w:color="CCEEFF"/>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8"/>
                <w:szCs w:val="18"/>
                <w:color w:val="auto"/>
              </w:rPr>
              <w:t>administrative expense</w:t>
            </w:r>
          </w:p>
        </w:tc>
        <w:tc>
          <w:tcPr>
            <w:tcW w:w="120" w:type="dxa"/>
            <w:vAlign w:val="bottom"/>
            <w:shd w:val="clear" w:color="auto" w:fill="CCEEFF"/>
          </w:tcPr>
          <w:p>
            <w:pPr>
              <w:spacing w:after="0"/>
              <w:rPr>
                <w:sz w:val="20"/>
                <w:szCs w:val="20"/>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4,336</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52.5%</w:t>
            </w:r>
          </w:p>
        </w:tc>
        <w:tc>
          <w:tcPr>
            <w:tcW w:w="120" w:type="dxa"/>
            <w:vAlign w:val="bottom"/>
            <w:shd w:val="clear" w:color="auto" w:fill="CCEEFF"/>
          </w:tcPr>
          <w:p>
            <w:pPr>
              <w:spacing w:after="0"/>
              <w:rPr>
                <w:sz w:val="20"/>
                <w:szCs w:val="20"/>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2,317</w:t>
            </w:r>
          </w:p>
        </w:tc>
        <w:tc>
          <w:tcPr>
            <w:tcW w:w="12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46.7%</w:t>
            </w:r>
          </w:p>
        </w:tc>
        <w:tc>
          <w:tcPr>
            <w:tcW w:w="120" w:type="dxa"/>
            <w:vAlign w:val="bottom"/>
            <w:shd w:val="clear" w:color="auto" w:fill="CCEEFF"/>
          </w:tcPr>
          <w:p>
            <w:pPr>
              <w:spacing w:after="0"/>
              <w:rPr>
                <w:sz w:val="20"/>
                <w:szCs w:val="20"/>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17,470</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50.7%</w:t>
            </w:r>
          </w:p>
        </w:tc>
        <w:tc>
          <w:tcPr>
            <w:tcW w:w="120" w:type="dxa"/>
            <w:vAlign w:val="bottom"/>
            <w:shd w:val="clear" w:color="auto" w:fill="CCEEFF"/>
          </w:tcPr>
          <w:p>
            <w:pPr>
              <w:spacing w:after="0"/>
              <w:rPr>
                <w:sz w:val="20"/>
                <w:szCs w:val="20"/>
                <w:color w:val="auto"/>
              </w:rPr>
            </w:pPr>
          </w:p>
        </w:tc>
        <w:tc>
          <w:tcPr>
            <w:tcW w:w="96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12,650</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20" w:type="dxa"/>
            <w:vAlign w:val="bottom"/>
          </w:tcPr>
          <w:p>
            <w:pPr>
              <w:spacing w:after="0"/>
              <w:rPr>
                <w:sz w:val="20"/>
                <w:szCs w:val="20"/>
                <w:color w:val="auto"/>
              </w:rPr>
            </w:pPr>
            <w:r>
              <w:rPr>
                <w:rFonts w:ascii="Arial" w:cs="Arial" w:eastAsia="Arial" w:hAnsi="Arial"/>
                <w:sz w:val="18"/>
                <w:szCs w:val="18"/>
                <w:color w:val="auto"/>
              </w:rPr>
              <w:t>Pre-opening store costs**</w:t>
            </w:r>
          </w:p>
        </w:tc>
        <w:tc>
          <w:tcPr>
            <w:tcW w:w="120" w:type="dxa"/>
            <w:vAlign w:val="bottom"/>
          </w:tcPr>
          <w:p>
            <w:pPr>
              <w:spacing w:after="0"/>
              <w:rPr>
                <w:sz w:val="18"/>
                <w:szCs w:val="18"/>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830</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10.1%</w:t>
            </w:r>
          </w:p>
        </w:tc>
        <w:tc>
          <w:tcPr>
            <w:tcW w:w="120" w:type="dxa"/>
            <w:vAlign w:val="bottom"/>
          </w:tcPr>
          <w:p>
            <w:pPr>
              <w:spacing w:after="0"/>
              <w:rPr>
                <w:sz w:val="18"/>
                <w:szCs w:val="18"/>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421</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8.5%</w:t>
            </w:r>
          </w:p>
        </w:tc>
        <w:tc>
          <w:tcPr>
            <w:tcW w:w="120" w:type="dxa"/>
            <w:vAlign w:val="bottom"/>
          </w:tcPr>
          <w:p>
            <w:pPr>
              <w:spacing w:after="0"/>
              <w:rPr>
                <w:sz w:val="18"/>
                <w:szCs w:val="18"/>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2,413</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7.0%</w:t>
            </w:r>
          </w:p>
        </w:tc>
        <w:tc>
          <w:tcPr>
            <w:tcW w:w="120" w:type="dxa"/>
            <w:vAlign w:val="bottom"/>
          </w:tcPr>
          <w:p>
            <w:pPr>
              <w:spacing w:after="0"/>
              <w:rPr>
                <w:sz w:val="18"/>
                <w:szCs w:val="18"/>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1,148</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3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20" w:type="dxa"/>
            <w:vAlign w:val="bottom"/>
          </w:tcPr>
          <w:p>
            <w:pPr>
              <w:ind w:left="160"/>
              <w:spacing w:after="0"/>
              <w:rPr>
                <w:sz w:val="20"/>
                <w:szCs w:val="20"/>
                <w:color w:val="auto"/>
              </w:rPr>
            </w:pPr>
            <w:r>
              <w:rPr>
                <w:rFonts w:ascii="Arial" w:cs="Arial" w:eastAsia="Arial" w:hAnsi="Arial"/>
                <w:sz w:val="18"/>
                <w:szCs w:val="18"/>
                <w:color w:val="auto"/>
              </w:rPr>
              <w:t>Loss from operations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(1,401)</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-17.0%</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(390)</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-8.0%</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(3,628)</w:t>
            </w: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-10.6%</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(2,442)</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Comparable store SG&amp;A includes retail corporate overhead and administrative costs.</w:t>
      </w:r>
    </w:p>
    <w:p>
      <w:pPr>
        <w:spacing w:after="0" w:line="23" w:lineRule="exact"/>
        <w:rPr>
          <w:sz w:val="20"/>
          <w:szCs w:val="20"/>
          <w:color w:val="auto"/>
        </w:rPr>
      </w:pPr>
    </w:p>
    <w:p>
      <w:pPr>
        <w:ind w:left="340" w:right="4300" w:hanging="332"/>
        <w:spacing w:after="0" w:line="277" w:lineRule="auto"/>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color w:val="auto"/>
        </w:rPr>
        <w:t>Pre-opening store costs include the accrual for straight-line rent recorded during the period between date of possesion and store opening date, employee payroll and training costs prior to store opening and other various expenses incurred prior to store opening.</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2019-12-29T02:30:46Z</dcterms:created>
  <dcterms:modified xsi:type="dcterms:W3CDTF">2019-12-29T02:30:46Z</dcterms:modified>
</cp:coreProperties>
</file>